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left"/>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附件三、廊坊市发展和改革委员会关于网络安全设备升级维保服务采购的公告</w:t>
      </w:r>
    </w:p>
    <w:p>
      <w:pPr>
        <w:pStyle w:val="2"/>
        <w:rPr>
          <w:rFonts w:hint="eastAsia"/>
          <w:lang w:val="en-US" w:eastAsia="zh-CN"/>
        </w:rPr>
      </w:pPr>
    </w:p>
    <w:p>
      <w:pPr>
        <w:spacing w:line="58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廊坊市发展和改革委员会关于</w:t>
      </w:r>
    </w:p>
    <w:p>
      <w:pPr>
        <w:spacing w:line="58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网络安全设备升级维保</w:t>
      </w:r>
      <w:r>
        <w:rPr>
          <w:rFonts w:hint="eastAsia" w:ascii="方正小标宋简体" w:hAnsi="方正小标宋简体" w:eastAsia="方正小标宋简体" w:cs="方正小标宋简体"/>
          <w:sz w:val="44"/>
          <w:szCs w:val="44"/>
        </w:rPr>
        <w:t>服务采购的公告</w:t>
      </w:r>
    </w:p>
    <w:p>
      <w:pPr>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一、资质要求：符合《政府采购法》第二十二条规定：</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（一）具有独立承担民事责任的能力；</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（二）具有良好的商业信誉和健全的财务会计制度；</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（三）具有履行合同所必需的设备和专业技术能力；</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（四）有依法缴纳税收和社会保障资金的良好记录；</w:t>
      </w:r>
    </w:p>
    <w:p>
      <w:pPr>
        <w:pStyle w:val="8"/>
        <w:widowControl/>
        <w:spacing w:line="580" w:lineRule="exact"/>
        <w:ind w:left="626"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（五）参加政府采购活动前三年内，在经营活动中没有重大违法记录；</w:t>
      </w:r>
    </w:p>
    <w:p>
      <w:pPr>
        <w:pStyle w:val="8"/>
        <w:widowControl/>
        <w:spacing w:line="580" w:lineRule="exact"/>
        <w:ind w:firstLine="632" w:firstLineChars="200"/>
        <w:outlineLvl w:val="0"/>
        <w:rPr>
          <w:rFonts w:ascii="仿宋_GB2312" w:hAnsi="仿宋_GB2312" w:eastAsia="仿宋_GB2312" w:cs="仿宋_GB2312"/>
          <w:sz w:val="32"/>
          <w:szCs w:val="32"/>
        </w:rPr>
      </w:pPr>
      <w:r>
        <w:rPr>
          <w:rFonts w:hint="eastAsia" w:ascii="仿宋_GB2312" w:hAnsi="仿宋_GB2312" w:eastAsia="仿宋_GB2312" w:cs="仿宋_GB2312"/>
          <w:b/>
          <w:bCs/>
          <w:sz w:val="32"/>
          <w:szCs w:val="32"/>
        </w:rPr>
        <w:t>以上需提供承诺函</w:t>
      </w:r>
      <w:r>
        <w:rPr>
          <w:rFonts w:hint="eastAsia" w:ascii="仿宋_GB2312" w:hAnsi="仿宋_GB2312" w:eastAsia="仿宋_GB2312" w:cs="仿宋_GB2312"/>
          <w:sz w:val="32"/>
          <w:szCs w:val="32"/>
        </w:rPr>
        <w:t>。</w:t>
      </w:r>
    </w:p>
    <w:p>
      <w:pPr>
        <w:pStyle w:val="8"/>
        <w:widowControl/>
        <w:spacing w:line="580" w:lineRule="exact"/>
        <w:ind w:firstLine="632"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（六）符合政府采购信用相关规定；</w:t>
      </w:r>
    </w:p>
    <w:p>
      <w:pPr>
        <w:pStyle w:val="8"/>
        <w:widowControl/>
        <w:spacing w:line="58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二、项目实施地点：廊坊市</w:t>
      </w:r>
      <w:r>
        <w:rPr>
          <w:rFonts w:hint="eastAsia" w:ascii="仿宋_GB2312" w:hAnsi="仿宋_GB2312" w:eastAsia="仿宋_GB2312" w:cs="仿宋_GB2312"/>
          <w:sz w:val="32"/>
          <w:szCs w:val="32"/>
          <w:lang w:val="en-US" w:eastAsia="zh-CN"/>
        </w:rPr>
        <w:t>人民政府网机房</w:t>
      </w:r>
    </w:p>
    <w:p>
      <w:pPr>
        <w:pStyle w:val="8"/>
        <w:widowControl/>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三、服务期限：合同签订后</w:t>
      </w:r>
      <w:r>
        <w:rPr>
          <w:rFonts w:hint="eastAsia" w:ascii="仿宋_GB2312" w:hAnsi="仿宋_GB2312" w:eastAsia="仿宋_GB2312" w:cs="仿宋_GB2312"/>
          <w:sz w:val="32"/>
          <w:szCs w:val="32"/>
          <w:lang w:val="en-US" w:eastAsia="zh-CN"/>
        </w:rPr>
        <w:t>1年</w:t>
      </w:r>
      <w:r>
        <w:rPr>
          <w:rFonts w:hint="eastAsia" w:ascii="仿宋_GB2312" w:hAnsi="仿宋_GB2312" w:eastAsia="仿宋_GB2312" w:cs="仿宋_GB2312"/>
          <w:sz w:val="32"/>
          <w:szCs w:val="32"/>
        </w:rPr>
        <w:t>。</w:t>
      </w:r>
    </w:p>
    <w:p>
      <w:pPr>
        <w:pStyle w:val="8"/>
        <w:widowControl/>
        <w:spacing w:line="58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四、服务内容及标准：</w:t>
      </w:r>
    </w:p>
    <w:p>
      <w:pPr>
        <w:pStyle w:val="8"/>
        <w:widowControl/>
        <w:spacing w:line="58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1.服务内容：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701"/>
        <w:gridCol w:w="3827"/>
        <w:gridCol w:w="1134"/>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序号</w:t>
            </w:r>
          </w:p>
        </w:tc>
        <w:tc>
          <w:tcPr>
            <w:tcW w:w="1701"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升级类型</w:t>
            </w:r>
          </w:p>
        </w:tc>
        <w:tc>
          <w:tcPr>
            <w:tcW w:w="3827"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设备描述</w:t>
            </w:r>
          </w:p>
        </w:tc>
        <w:tc>
          <w:tcPr>
            <w:tcW w:w="1134"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数量/套（台）</w:t>
            </w:r>
          </w:p>
        </w:tc>
        <w:tc>
          <w:tcPr>
            <w:tcW w:w="1043"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817"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1</w:t>
            </w:r>
          </w:p>
        </w:tc>
        <w:tc>
          <w:tcPr>
            <w:tcW w:w="1701"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软件系统</w:t>
            </w:r>
          </w:p>
        </w:tc>
        <w:tc>
          <w:tcPr>
            <w:tcW w:w="3827" w:type="dxa"/>
            <w:shd w:val="clear" w:color="auto" w:fill="auto"/>
            <w:noWrap w:val="0"/>
            <w:vAlign w:val="center"/>
          </w:tcPr>
          <w:p>
            <w:pPr>
              <w:tabs>
                <w:tab w:val="left" w:pos="2254"/>
              </w:tabs>
              <w:spacing w:line="440" w:lineRule="exact"/>
              <w:jc w:val="left"/>
              <w:rPr>
                <w:rFonts w:hint="eastAsia" w:ascii="宋体" w:hAnsi="宋体" w:cs="宋体"/>
                <w:sz w:val="24"/>
              </w:rPr>
            </w:pPr>
            <w:r>
              <w:rPr>
                <w:rFonts w:hint="eastAsia" w:ascii="宋体" w:hAnsi="宋体" w:cs="宋体"/>
                <w:sz w:val="24"/>
              </w:rPr>
              <w:t>网络杀毒软件1套，网页防篡改系统1套，邮件系统1套（含中转服务）</w:t>
            </w:r>
          </w:p>
        </w:tc>
        <w:tc>
          <w:tcPr>
            <w:tcW w:w="1134"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1套</w:t>
            </w:r>
          </w:p>
        </w:tc>
        <w:tc>
          <w:tcPr>
            <w:tcW w:w="1043" w:type="dxa"/>
            <w:shd w:val="clear" w:color="auto" w:fill="auto"/>
            <w:noWrap w:val="0"/>
            <w:vAlign w:val="center"/>
          </w:tcPr>
          <w:p>
            <w:pPr>
              <w:tabs>
                <w:tab w:val="left" w:pos="2254"/>
              </w:tabs>
              <w:spacing w:line="44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7" w:hRule="atLeast"/>
        </w:trPr>
        <w:tc>
          <w:tcPr>
            <w:tcW w:w="817"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2</w:t>
            </w:r>
          </w:p>
        </w:tc>
        <w:tc>
          <w:tcPr>
            <w:tcW w:w="1701"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安全</w:t>
            </w:r>
          </w:p>
          <w:p>
            <w:pPr>
              <w:tabs>
                <w:tab w:val="left" w:pos="2254"/>
              </w:tabs>
              <w:spacing w:line="440" w:lineRule="exact"/>
              <w:jc w:val="center"/>
              <w:rPr>
                <w:rFonts w:hint="eastAsia" w:ascii="宋体" w:hAnsi="宋体" w:cs="宋体"/>
                <w:sz w:val="24"/>
              </w:rPr>
            </w:pPr>
            <w:r>
              <w:rPr>
                <w:rFonts w:hint="eastAsia" w:ascii="宋体" w:hAnsi="宋体" w:cs="宋体"/>
                <w:sz w:val="24"/>
              </w:rPr>
              <w:t>保障设备</w:t>
            </w:r>
          </w:p>
        </w:tc>
        <w:tc>
          <w:tcPr>
            <w:tcW w:w="3827" w:type="dxa"/>
            <w:shd w:val="clear" w:color="auto" w:fill="auto"/>
            <w:noWrap w:val="0"/>
            <w:vAlign w:val="center"/>
          </w:tcPr>
          <w:p>
            <w:pPr>
              <w:tabs>
                <w:tab w:val="left" w:pos="2254"/>
              </w:tabs>
              <w:spacing w:line="440" w:lineRule="exact"/>
              <w:jc w:val="left"/>
              <w:rPr>
                <w:rFonts w:hint="eastAsia" w:ascii="宋体" w:hAnsi="宋体" w:cs="宋体"/>
                <w:sz w:val="24"/>
              </w:rPr>
            </w:pPr>
            <w:r>
              <w:rPr>
                <w:rFonts w:hint="eastAsia" w:ascii="宋体" w:hAnsi="宋体" w:cs="宋体"/>
                <w:sz w:val="24"/>
              </w:rPr>
              <w:t>防火墙2台，WAF应用防护系统1台，入侵防护系统1台，漏扫系统1台，</w:t>
            </w:r>
            <w:r>
              <w:rPr>
                <w:rFonts w:hint="eastAsia" w:ascii="宋体" w:hAnsi="宋体" w:cs="宋体"/>
                <w:sz w:val="24"/>
                <w:lang w:val="en-US" w:eastAsia="zh-CN"/>
              </w:rPr>
              <w:t>日志审计设备1套，入侵检测设备一套</w:t>
            </w:r>
            <w:r>
              <w:rPr>
                <w:rFonts w:hint="eastAsia" w:ascii="宋体" w:hAnsi="宋体" w:cs="宋体"/>
                <w:sz w:val="24"/>
              </w:rPr>
              <w:t>，堡垒机1台，防毒墙1台，DNS解析系统1套。设备硬件保修，系统升级，规则库升级。</w:t>
            </w:r>
          </w:p>
        </w:tc>
        <w:tc>
          <w:tcPr>
            <w:tcW w:w="1134"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1套</w:t>
            </w:r>
          </w:p>
        </w:tc>
        <w:tc>
          <w:tcPr>
            <w:tcW w:w="1043" w:type="dxa"/>
            <w:shd w:val="clear" w:color="auto" w:fill="auto"/>
            <w:noWrap w:val="0"/>
            <w:vAlign w:val="center"/>
          </w:tcPr>
          <w:p>
            <w:pPr>
              <w:tabs>
                <w:tab w:val="left" w:pos="2254"/>
              </w:tabs>
              <w:spacing w:line="44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817"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3</w:t>
            </w:r>
          </w:p>
        </w:tc>
        <w:tc>
          <w:tcPr>
            <w:tcW w:w="1701"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柴油发电</w:t>
            </w:r>
          </w:p>
          <w:p>
            <w:pPr>
              <w:tabs>
                <w:tab w:val="left" w:pos="2254"/>
              </w:tabs>
              <w:spacing w:line="440" w:lineRule="exact"/>
              <w:jc w:val="center"/>
              <w:rPr>
                <w:rFonts w:hint="eastAsia" w:ascii="宋体" w:hAnsi="宋体" w:cs="宋体"/>
                <w:sz w:val="24"/>
              </w:rPr>
            </w:pPr>
            <w:r>
              <w:rPr>
                <w:rFonts w:hint="eastAsia" w:ascii="宋体" w:hAnsi="宋体" w:cs="宋体"/>
                <w:sz w:val="24"/>
              </w:rPr>
              <w:t>机组维保</w:t>
            </w:r>
          </w:p>
        </w:tc>
        <w:tc>
          <w:tcPr>
            <w:tcW w:w="3827"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含机油滤芯、空气滤芯、柴油滤芯、除水过滤器及易损耗材更换等</w:t>
            </w:r>
          </w:p>
        </w:tc>
        <w:tc>
          <w:tcPr>
            <w:tcW w:w="1134" w:type="dxa"/>
            <w:shd w:val="clear" w:color="auto" w:fill="auto"/>
            <w:noWrap w:val="0"/>
            <w:vAlign w:val="center"/>
          </w:tcPr>
          <w:p>
            <w:pPr>
              <w:tabs>
                <w:tab w:val="left" w:pos="2254"/>
              </w:tabs>
              <w:spacing w:line="440" w:lineRule="exact"/>
              <w:jc w:val="center"/>
              <w:rPr>
                <w:rFonts w:hint="eastAsia" w:ascii="宋体" w:hAnsi="宋体" w:cs="宋体"/>
                <w:sz w:val="24"/>
              </w:rPr>
            </w:pPr>
            <w:r>
              <w:rPr>
                <w:rFonts w:hint="eastAsia" w:ascii="宋体" w:hAnsi="宋体" w:cs="宋体"/>
                <w:sz w:val="24"/>
              </w:rPr>
              <w:t>1台</w:t>
            </w:r>
          </w:p>
        </w:tc>
        <w:tc>
          <w:tcPr>
            <w:tcW w:w="1043" w:type="dxa"/>
            <w:shd w:val="clear" w:color="auto" w:fill="auto"/>
            <w:noWrap w:val="0"/>
            <w:vAlign w:val="center"/>
          </w:tcPr>
          <w:p>
            <w:pPr>
              <w:tabs>
                <w:tab w:val="left" w:pos="2254"/>
              </w:tabs>
              <w:spacing w:line="440" w:lineRule="exact"/>
              <w:jc w:val="center"/>
              <w:rPr>
                <w:rFonts w:hint="eastAsia" w:ascii="宋体" w:hAnsi="宋体" w:cs="宋体"/>
                <w:sz w:val="24"/>
              </w:rPr>
            </w:pPr>
          </w:p>
        </w:tc>
      </w:tr>
    </w:tbl>
    <w:p>
      <w:pPr>
        <w:pStyle w:val="8"/>
        <w:widowControl/>
        <w:spacing w:line="580" w:lineRule="exact"/>
        <w:rPr>
          <w:rFonts w:hint="default" w:ascii="仿宋_GB2312" w:hAnsi="仿宋_GB2312" w:eastAsia="仿宋_GB2312" w:cs="仿宋_GB2312"/>
          <w:sz w:val="32"/>
          <w:szCs w:val="32"/>
          <w:lang w:val="en-US" w:eastAsia="zh-CN"/>
        </w:rPr>
      </w:pPr>
    </w:p>
    <w:p>
      <w:pPr>
        <w:pStyle w:val="8"/>
        <w:widowControl/>
        <w:spacing w:line="580" w:lineRule="exact"/>
        <w:ind w:left="-6" w:hanging="6"/>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、请按以下格式制作报价文件。</w:t>
      </w:r>
      <w:r>
        <w:rPr>
          <w:rFonts w:hint="eastAsia" w:ascii="仿宋_GB2312" w:hAnsi="仿宋_GB2312" w:eastAsia="仿宋_GB2312" w:cs="仿宋_GB2312"/>
          <w:sz w:val="32"/>
          <w:szCs w:val="32"/>
          <w:lang w:val="en-US" w:eastAsia="zh-CN"/>
        </w:rPr>
        <w:t>纸版报价文件正本1份，副本4份，正本文件扫描件1份。请于2023年4月7日17点前将密封好后的纸版报价文件递交到我委，电子文件可发邮件到qdl@lf.gov.cn。</w:t>
      </w:r>
      <w:r>
        <w:rPr>
          <w:rFonts w:hint="eastAsia" w:ascii="仿宋_GB2312" w:hAnsi="仿宋_GB2312" w:eastAsia="仿宋_GB2312" w:cs="仿宋_GB2312"/>
          <w:sz w:val="32"/>
          <w:szCs w:val="32"/>
        </w:rPr>
        <w:t>联系人：齐工 电话：2317032</w:t>
      </w:r>
      <w:r>
        <w:rPr>
          <w:rFonts w:hint="eastAsia" w:ascii="仿宋_GB2312" w:hAnsi="仿宋_GB2312" w:eastAsia="仿宋_GB2312" w:cs="仿宋_GB2312"/>
          <w:sz w:val="32"/>
          <w:szCs w:val="32"/>
          <w:lang w:eastAsia="zh-CN"/>
        </w:rPr>
        <w:t>。</w:t>
      </w:r>
    </w:p>
    <w:p>
      <w:pPr>
        <w:pStyle w:val="8"/>
        <w:widowControl/>
        <w:spacing w:line="58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七、本项目最高报价15.5万元，超过本报价视为无效报价文件。</w:t>
      </w:r>
    </w:p>
    <w:p>
      <w:pPr>
        <w:pStyle w:val="8"/>
        <w:widowControl/>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、评分标准</w:t>
      </w:r>
    </w:p>
    <w:p>
      <w:pPr>
        <w:pStyle w:val="8"/>
        <w:widowControl/>
        <w:spacing w:line="580" w:lineRule="exact"/>
        <w:rPr>
          <w:rFonts w:ascii="仿宋_GB2312" w:hAnsi="仿宋_GB2312" w:eastAsia="仿宋_GB2312" w:cs="仿宋_GB2312"/>
          <w:sz w:val="32"/>
          <w:szCs w:val="32"/>
        </w:rPr>
      </w:pPr>
    </w:p>
    <w:p>
      <w:pPr>
        <w:widowControl/>
        <w:spacing w:line="360" w:lineRule="auto"/>
        <w:jc w:val="left"/>
        <w:rPr>
          <w:rFonts w:ascii="仿宋" w:hAnsi="仿宋" w:eastAsia="仿宋" w:cs="宋体"/>
          <w:color w:val="000000"/>
          <w:kern w:val="0"/>
          <w:sz w:val="28"/>
          <w:szCs w:val="28"/>
        </w:rPr>
      </w:pPr>
    </w:p>
    <w:p>
      <w:pPr>
        <w:widowControl/>
        <w:spacing w:line="360" w:lineRule="auto"/>
        <w:jc w:val="left"/>
        <w:rPr>
          <w:rFonts w:ascii="仿宋" w:hAnsi="仿宋" w:eastAsia="仿宋" w:cs="宋体"/>
          <w:color w:val="000000"/>
          <w:kern w:val="0"/>
          <w:sz w:val="28"/>
          <w:szCs w:val="28"/>
        </w:rPr>
      </w:pPr>
    </w:p>
    <w:p>
      <w:pPr>
        <w:widowControl/>
        <w:spacing w:line="360" w:lineRule="auto"/>
        <w:jc w:val="left"/>
        <w:rPr>
          <w:rFonts w:ascii="仿宋" w:hAnsi="仿宋" w:eastAsia="仿宋" w:cs="宋体"/>
          <w:color w:val="000000"/>
          <w:kern w:val="0"/>
          <w:sz w:val="28"/>
          <w:szCs w:val="28"/>
        </w:rPr>
      </w:pPr>
    </w:p>
    <w:tbl>
      <w:tblPr>
        <w:tblStyle w:val="9"/>
        <w:tblW w:w="5000" w:type="pct"/>
        <w:jc w:val="center"/>
        <w:tblLayout w:type="autofit"/>
        <w:tblCellMar>
          <w:top w:w="17" w:type="dxa"/>
          <w:left w:w="17" w:type="dxa"/>
          <w:bottom w:w="17" w:type="dxa"/>
          <w:right w:w="17" w:type="dxa"/>
        </w:tblCellMar>
      </w:tblPr>
      <w:tblGrid>
        <w:gridCol w:w="1312"/>
        <w:gridCol w:w="864"/>
        <w:gridCol w:w="6783"/>
      </w:tblGrid>
      <w:tr>
        <w:tblPrEx>
          <w:tblCellMar>
            <w:top w:w="17" w:type="dxa"/>
            <w:left w:w="17" w:type="dxa"/>
            <w:bottom w:w="17" w:type="dxa"/>
            <w:right w:w="17" w:type="dxa"/>
          </w:tblCellMar>
        </w:tblPrEx>
        <w:trPr>
          <w:trHeight w:val="557" w:hRule="atLeast"/>
          <w:jc w:val="center"/>
        </w:trPr>
        <w:tc>
          <w:tcPr>
            <w:tcW w:w="732"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评审项目</w:t>
            </w:r>
          </w:p>
        </w:tc>
        <w:tc>
          <w:tcPr>
            <w:tcW w:w="482" w:type="pct"/>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仿宋" w:hAnsi="仿宋" w:eastAsia="仿宋" w:cs="仿宋"/>
                <w:b/>
                <w:color w:val="000000"/>
                <w:kern w:val="0"/>
                <w:sz w:val="24"/>
              </w:rPr>
            </w:pPr>
            <w:r>
              <w:rPr>
                <w:rFonts w:hint="eastAsia" w:ascii="仿宋" w:hAnsi="仿宋" w:eastAsia="仿宋" w:cs="仿宋"/>
                <w:b/>
                <w:color w:val="000000"/>
                <w:kern w:val="0"/>
                <w:sz w:val="24"/>
              </w:rPr>
              <w:t>标准分</w:t>
            </w:r>
          </w:p>
        </w:tc>
        <w:tc>
          <w:tcPr>
            <w:tcW w:w="3785"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widowControl/>
              <w:jc w:val="center"/>
              <w:textAlignment w:val="center"/>
              <w:rPr>
                <w:rFonts w:ascii="仿宋" w:hAnsi="仿宋" w:eastAsia="仿宋" w:cs="仿宋"/>
                <w:b/>
                <w:color w:val="000000"/>
                <w:sz w:val="24"/>
              </w:rPr>
            </w:pPr>
            <w:r>
              <w:rPr>
                <w:rFonts w:hint="eastAsia" w:ascii="仿宋" w:hAnsi="仿宋" w:eastAsia="仿宋" w:cs="仿宋"/>
                <w:b/>
                <w:color w:val="000000"/>
                <w:kern w:val="0"/>
                <w:sz w:val="24"/>
              </w:rPr>
              <w:t>评分标准</w:t>
            </w:r>
          </w:p>
        </w:tc>
      </w:tr>
      <w:tr>
        <w:tblPrEx>
          <w:tblCellMar>
            <w:top w:w="17" w:type="dxa"/>
            <w:left w:w="17" w:type="dxa"/>
            <w:bottom w:w="17" w:type="dxa"/>
            <w:right w:w="17" w:type="dxa"/>
          </w:tblCellMar>
        </w:tblPrEx>
        <w:trPr>
          <w:trHeight w:val="1678" w:hRule="atLeast"/>
          <w:jc w:val="center"/>
        </w:trPr>
        <w:tc>
          <w:tcPr>
            <w:tcW w:w="732"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jc w:val="center"/>
              <w:rPr>
                <w:rFonts w:ascii="仿宋" w:hAnsi="仿宋" w:eastAsia="仿宋" w:cs="仿宋"/>
                <w:sz w:val="24"/>
              </w:rPr>
            </w:pPr>
            <w:r>
              <w:rPr>
                <w:rFonts w:hint="eastAsia" w:ascii="仿宋" w:hAnsi="仿宋" w:eastAsia="仿宋" w:cs="仿宋"/>
                <w:sz w:val="24"/>
              </w:rPr>
              <w:t>投标报价</w:t>
            </w:r>
          </w:p>
        </w:tc>
        <w:tc>
          <w:tcPr>
            <w:tcW w:w="482" w:type="pct"/>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sz w:val="24"/>
              </w:rPr>
            </w:pPr>
            <w:r>
              <w:rPr>
                <w:rFonts w:hint="eastAsia" w:ascii="仿宋" w:hAnsi="仿宋" w:eastAsia="仿宋" w:cs="仿宋"/>
                <w:sz w:val="24"/>
              </w:rPr>
              <w:t>10分</w:t>
            </w:r>
          </w:p>
        </w:tc>
        <w:tc>
          <w:tcPr>
            <w:tcW w:w="3785" w:type="pct"/>
            <w:tcBorders>
              <w:top w:val="single" w:color="000000" w:sz="4" w:space="0"/>
              <w:left w:val="single" w:color="000000" w:sz="4" w:space="0"/>
              <w:bottom w:val="single" w:color="000000" w:sz="4" w:space="0"/>
              <w:right w:val="single" w:color="000000" w:sz="4" w:space="0"/>
            </w:tcBorders>
            <w:tcMar>
              <w:top w:w="17" w:type="dxa"/>
              <w:left w:w="57" w:type="dxa"/>
              <w:bottom w:w="17" w:type="dxa"/>
              <w:right w:w="57" w:type="dxa"/>
            </w:tcMar>
            <w:vAlign w:val="center"/>
          </w:tcPr>
          <w:p>
            <w:pPr>
              <w:rPr>
                <w:rFonts w:ascii="仿宋" w:hAnsi="仿宋" w:eastAsia="仿宋" w:cs="仿宋"/>
                <w:sz w:val="24"/>
              </w:rPr>
            </w:pPr>
            <w:r>
              <w:rPr>
                <w:rFonts w:hint="eastAsia" w:ascii="仿宋" w:hAnsi="仿宋" w:eastAsia="仿宋" w:cs="仿宋"/>
                <w:sz w:val="24"/>
              </w:rPr>
              <w:t>综合评分法中的价格分统一采用低价优先法计算，即满足招标文件要求且最后报价最低的供应商的价格为投标基准价，其价格分为满分。其他供应商的价格分统一按照下列公式计算：</w:t>
            </w:r>
          </w:p>
          <w:p>
            <w:pPr>
              <w:rPr>
                <w:rFonts w:ascii="仿宋" w:hAnsi="仿宋" w:eastAsia="仿宋" w:cs="仿宋"/>
                <w:sz w:val="24"/>
              </w:rPr>
            </w:pPr>
            <w:r>
              <w:rPr>
                <w:rFonts w:hint="eastAsia" w:ascii="仿宋" w:hAnsi="仿宋" w:eastAsia="仿宋" w:cs="仿宋"/>
                <w:sz w:val="24"/>
              </w:rPr>
              <w:t>投标报价得分=（投标基准价/投标报价）×10</w:t>
            </w:r>
          </w:p>
        </w:tc>
      </w:tr>
      <w:tr>
        <w:tblPrEx>
          <w:tblCellMar>
            <w:top w:w="17" w:type="dxa"/>
            <w:left w:w="17" w:type="dxa"/>
            <w:bottom w:w="17" w:type="dxa"/>
            <w:right w:w="17" w:type="dxa"/>
          </w:tblCellMar>
        </w:tblPrEx>
        <w:trPr>
          <w:trHeight w:val="454" w:hRule="atLeast"/>
          <w:jc w:val="center"/>
        </w:trPr>
        <w:tc>
          <w:tcPr>
            <w:tcW w:w="732" w:type="pct"/>
            <w:tcBorders>
              <w:top w:val="single" w:color="auto" w:sz="4" w:space="0"/>
              <w:left w:val="single" w:color="auto" w:sz="4" w:space="0"/>
              <w:bottom w:val="single" w:color="auto" w:sz="4" w:space="0"/>
              <w:right w:val="single" w:color="auto" w:sz="4" w:space="0"/>
            </w:tcBorders>
            <w:tcMar>
              <w:top w:w="17" w:type="dxa"/>
              <w:left w:w="57" w:type="dxa"/>
              <w:bottom w:w="17" w:type="dxa"/>
              <w:right w:w="57" w:type="dxa"/>
            </w:tcMar>
            <w:vAlign w:val="center"/>
          </w:tcPr>
          <w:p>
            <w:pPr>
              <w:jc w:val="center"/>
              <w:rPr>
                <w:rFonts w:ascii="仿宋" w:hAnsi="仿宋" w:eastAsia="仿宋" w:cs="仿宋"/>
                <w:sz w:val="24"/>
              </w:rPr>
            </w:pPr>
            <w:r>
              <w:rPr>
                <w:rFonts w:hint="eastAsia" w:ascii="仿宋" w:hAnsi="仿宋" w:eastAsia="仿宋" w:cs="仿宋"/>
                <w:sz w:val="24"/>
              </w:rPr>
              <w:t>服务方案</w:t>
            </w:r>
          </w:p>
        </w:tc>
        <w:tc>
          <w:tcPr>
            <w:tcW w:w="482" w:type="pct"/>
            <w:tcBorders>
              <w:top w:val="single" w:color="auto" w:sz="4" w:space="0"/>
              <w:left w:val="single" w:color="auto" w:sz="4" w:space="0"/>
              <w:right w:val="single" w:color="auto" w:sz="4" w:space="0"/>
            </w:tcBorders>
            <w:vAlign w:val="center"/>
          </w:tcPr>
          <w:p>
            <w:pPr>
              <w:jc w:val="center"/>
              <w:rPr>
                <w:rFonts w:ascii="仿宋" w:hAnsi="仿宋" w:eastAsia="仿宋" w:cs="仿宋"/>
                <w:sz w:val="24"/>
              </w:rPr>
            </w:pPr>
            <w:r>
              <w:rPr>
                <w:rFonts w:hint="eastAsia" w:ascii="仿宋" w:hAnsi="仿宋" w:eastAsia="仿宋" w:cs="仿宋"/>
                <w:sz w:val="24"/>
                <w:lang w:val="en-US" w:eastAsia="zh-CN"/>
              </w:rPr>
              <w:t>50</w:t>
            </w:r>
            <w:r>
              <w:rPr>
                <w:rFonts w:hint="eastAsia" w:ascii="仿宋" w:hAnsi="仿宋" w:eastAsia="仿宋" w:cs="仿宋"/>
                <w:sz w:val="24"/>
              </w:rPr>
              <w:t>分</w:t>
            </w:r>
          </w:p>
        </w:tc>
        <w:tc>
          <w:tcPr>
            <w:tcW w:w="3785" w:type="pct"/>
            <w:tcBorders>
              <w:top w:val="single" w:color="auto" w:sz="4" w:space="0"/>
              <w:left w:val="single" w:color="auto" w:sz="4" w:space="0"/>
              <w:bottom w:val="single" w:color="auto" w:sz="4" w:space="0"/>
              <w:right w:val="single" w:color="auto" w:sz="4" w:space="0"/>
            </w:tcBorders>
            <w:tcMar>
              <w:top w:w="17" w:type="dxa"/>
              <w:left w:w="57" w:type="dxa"/>
              <w:bottom w:w="17" w:type="dxa"/>
              <w:right w:w="57" w:type="dxa"/>
            </w:tcMar>
            <w:vAlign w:val="center"/>
          </w:tcPr>
          <w:p>
            <w:pPr>
              <w:rPr>
                <w:rFonts w:hint="default" w:ascii="仿宋" w:hAnsi="仿宋" w:eastAsia="仿宋" w:cs="仿宋"/>
                <w:sz w:val="24"/>
                <w:lang w:val="en-US" w:eastAsia="zh-CN"/>
              </w:rPr>
            </w:pPr>
            <w:r>
              <w:rPr>
                <w:rFonts w:hint="eastAsia" w:ascii="仿宋" w:hAnsi="仿宋" w:eastAsia="仿宋" w:cs="仿宋"/>
                <w:sz w:val="24"/>
              </w:rPr>
              <w:t>熟悉项目所有工作内容，提供的服务方案规范性及标准化程度很高得</w:t>
            </w:r>
            <w:r>
              <w:rPr>
                <w:rFonts w:hint="eastAsia" w:ascii="仿宋" w:hAnsi="仿宋" w:eastAsia="仿宋" w:cs="仿宋"/>
                <w:sz w:val="24"/>
                <w:lang w:val="en-US" w:eastAsia="zh-CN"/>
              </w:rPr>
              <w:t>35.01</w:t>
            </w:r>
            <w:r>
              <w:rPr>
                <w:rFonts w:hint="eastAsia" w:ascii="仿宋" w:hAnsi="仿宋" w:eastAsia="仿宋" w:cs="仿宋"/>
                <w:sz w:val="24"/>
              </w:rPr>
              <w:t>-</w:t>
            </w:r>
            <w:r>
              <w:rPr>
                <w:rFonts w:hint="eastAsia" w:ascii="仿宋" w:hAnsi="仿宋" w:eastAsia="仿宋" w:cs="仿宋"/>
                <w:sz w:val="24"/>
                <w:lang w:val="en-US" w:eastAsia="zh-CN"/>
              </w:rPr>
              <w:t>50</w:t>
            </w:r>
            <w:r>
              <w:rPr>
                <w:rFonts w:hint="eastAsia" w:ascii="仿宋" w:hAnsi="仿宋" w:eastAsia="仿宋" w:cs="仿宋"/>
                <w:sz w:val="24"/>
              </w:rPr>
              <w:t>分</w:t>
            </w:r>
            <w:r>
              <w:rPr>
                <w:rFonts w:hint="eastAsia" w:ascii="仿宋" w:hAnsi="仿宋" w:eastAsia="仿宋" w:cs="仿宋"/>
                <w:sz w:val="24"/>
                <w:lang w:eastAsia="zh-CN"/>
              </w:rPr>
              <w:t>；</w:t>
            </w:r>
            <w:r>
              <w:rPr>
                <w:rFonts w:hint="eastAsia" w:ascii="仿宋" w:hAnsi="仿宋" w:eastAsia="仿宋" w:cs="仿宋"/>
                <w:sz w:val="24"/>
                <w:lang w:val="en-US" w:eastAsia="zh-CN"/>
              </w:rPr>
              <w:t>一般的得20.01-35分；较差的得0-20分。</w:t>
            </w:r>
          </w:p>
        </w:tc>
      </w:tr>
      <w:tr>
        <w:tblPrEx>
          <w:tblCellMar>
            <w:top w:w="17" w:type="dxa"/>
            <w:left w:w="17" w:type="dxa"/>
            <w:bottom w:w="17" w:type="dxa"/>
            <w:right w:w="17" w:type="dxa"/>
          </w:tblCellMar>
        </w:tblPrEx>
        <w:trPr>
          <w:trHeight w:val="454" w:hRule="atLeast"/>
          <w:jc w:val="center"/>
        </w:trPr>
        <w:tc>
          <w:tcPr>
            <w:tcW w:w="732" w:type="pct"/>
            <w:tcBorders>
              <w:top w:val="single" w:color="auto" w:sz="4" w:space="0"/>
              <w:left w:val="single" w:color="auto" w:sz="4" w:space="0"/>
              <w:bottom w:val="single" w:color="auto" w:sz="4" w:space="0"/>
              <w:right w:val="single" w:color="auto" w:sz="4" w:space="0"/>
            </w:tcBorders>
            <w:tcMar>
              <w:top w:w="17" w:type="dxa"/>
              <w:left w:w="57" w:type="dxa"/>
              <w:bottom w:w="17" w:type="dxa"/>
              <w:right w:w="57" w:type="dxa"/>
            </w:tcMar>
            <w:vAlign w:val="center"/>
          </w:tcPr>
          <w:p>
            <w:pPr>
              <w:jc w:val="center"/>
              <w:rPr>
                <w:rFonts w:hint="default" w:ascii="仿宋" w:hAnsi="仿宋" w:eastAsia="仿宋" w:cs="仿宋"/>
                <w:sz w:val="24"/>
                <w:lang w:val="en-US" w:eastAsia="zh-CN"/>
              </w:rPr>
            </w:pPr>
            <w:r>
              <w:rPr>
                <w:rFonts w:hint="eastAsia" w:ascii="仿宋" w:hAnsi="仿宋" w:eastAsia="仿宋" w:cs="仿宋"/>
                <w:sz w:val="24"/>
                <w:lang w:val="en-US" w:eastAsia="zh-CN"/>
              </w:rPr>
              <w:t>售后服务</w:t>
            </w:r>
          </w:p>
        </w:tc>
        <w:tc>
          <w:tcPr>
            <w:tcW w:w="482" w:type="pct"/>
            <w:tcBorders>
              <w:left w:val="single" w:color="auto" w:sz="4" w:space="0"/>
              <w:bottom w:val="single" w:color="auto" w:sz="4" w:space="0"/>
              <w:right w:val="single" w:color="auto" w:sz="4" w:space="0"/>
            </w:tcBorders>
            <w:vAlign w:val="center"/>
          </w:tcPr>
          <w:p>
            <w:pPr>
              <w:jc w:val="center"/>
              <w:rPr>
                <w:rFonts w:hint="default" w:ascii="仿宋" w:hAnsi="仿宋" w:eastAsia="仿宋" w:cs="仿宋"/>
                <w:sz w:val="24"/>
                <w:lang w:val="en-US" w:eastAsia="zh-CN"/>
              </w:rPr>
            </w:pPr>
            <w:r>
              <w:rPr>
                <w:rFonts w:hint="eastAsia" w:ascii="仿宋" w:hAnsi="仿宋" w:eastAsia="仿宋" w:cs="仿宋"/>
                <w:sz w:val="24"/>
                <w:lang w:val="en-US" w:eastAsia="zh-CN"/>
              </w:rPr>
              <w:t>40分</w:t>
            </w:r>
          </w:p>
        </w:tc>
        <w:tc>
          <w:tcPr>
            <w:tcW w:w="3785" w:type="pct"/>
            <w:tcBorders>
              <w:top w:val="single" w:color="auto" w:sz="4" w:space="0"/>
              <w:left w:val="single" w:color="auto" w:sz="4" w:space="0"/>
              <w:bottom w:val="single" w:color="auto" w:sz="4" w:space="0"/>
              <w:right w:val="single" w:color="auto" w:sz="4" w:space="0"/>
            </w:tcBorders>
            <w:tcMar>
              <w:top w:w="17" w:type="dxa"/>
              <w:left w:w="57" w:type="dxa"/>
              <w:bottom w:w="17" w:type="dxa"/>
              <w:right w:w="57" w:type="dxa"/>
            </w:tcMar>
            <w:vAlign w:val="center"/>
          </w:tcPr>
          <w:p>
            <w:pPr>
              <w:rPr>
                <w:rFonts w:hint="default" w:ascii="仿宋" w:hAnsi="仿宋" w:eastAsia="仿宋" w:cs="仿宋"/>
                <w:sz w:val="24"/>
                <w:lang w:val="en-US" w:eastAsia="zh-CN"/>
              </w:rPr>
            </w:pPr>
            <w:r>
              <w:rPr>
                <w:rFonts w:hint="eastAsia" w:ascii="仿宋" w:hAnsi="仿宋" w:eastAsia="仿宋" w:cs="仿宋"/>
                <w:sz w:val="24"/>
                <w:lang w:val="en-US" w:eastAsia="zh-CN"/>
              </w:rPr>
              <w:t>售后服务满足需求的前提下；方案优</w:t>
            </w:r>
            <w:bookmarkStart w:id="0" w:name="_GoBack"/>
            <w:bookmarkEnd w:id="0"/>
            <w:r>
              <w:rPr>
                <w:rFonts w:hint="eastAsia" w:ascii="仿宋" w:hAnsi="仿宋" w:eastAsia="仿宋" w:cs="仿宋"/>
                <w:sz w:val="24"/>
                <w:lang w:val="en-US" w:eastAsia="zh-CN"/>
              </w:rPr>
              <w:t>秀的得25.01-40分；一般的得15.01-25分；较差的得0-15分</w:t>
            </w:r>
          </w:p>
        </w:tc>
      </w:tr>
    </w:tbl>
    <w:p>
      <w:pPr>
        <w:rPr>
          <w:rFonts w:ascii="Times New Roman" w:hAnsi="Times New Roman" w:eastAsia="宋体" w:cs="Times New Roman"/>
          <w:szCs w:val="20"/>
        </w:rPr>
      </w:pPr>
    </w:p>
    <w:p>
      <w:pPr>
        <w:pStyle w:val="8"/>
        <w:widowControl/>
        <w:spacing w:line="580" w:lineRule="exact"/>
        <w:ind w:firstLine="632"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p>
    <w:p>
      <w:pPr>
        <w:pStyle w:val="8"/>
        <w:widowControl/>
        <w:spacing w:line="580" w:lineRule="exact"/>
        <w:ind w:firstLine="632" w:firstLineChars="200"/>
        <w:rPr>
          <w:rFonts w:ascii="仿宋_GB2312" w:hAnsi="仿宋_GB2312" w:eastAsia="仿宋_GB2312" w:cs="仿宋_GB2312"/>
          <w:sz w:val="32"/>
          <w:szCs w:val="32"/>
        </w:rPr>
      </w:pPr>
      <w:r>
        <w:rPr>
          <w:rFonts w:ascii="仿宋_GB2312" w:hAnsi="仿宋_GB2312" w:eastAsia="仿宋_GB2312" w:cs="仿宋_GB2312"/>
          <w:sz w:val="32"/>
          <w:szCs w:val="32"/>
        </w:rPr>
        <w:t>投标文件模板（</w:t>
      </w:r>
      <w:r>
        <w:rPr>
          <w:rFonts w:hint="eastAsia" w:ascii="仿宋_GB2312" w:hAnsi="仿宋_GB2312" w:eastAsia="仿宋_GB2312" w:cs="仿宋_GB2312"/>
          <w:sz w:val="32"/>
          <w:szCs w:val="32"/>
        </w:rPr>
        <w:t>*标项为必有项目，不得缺少</w:t>
      </w:r>
      <w:r>
        <w:rPr>
          <w:rFonts w:ascii="仿宋_GB2312" w:hAnsi="仿宋_GB2312" w:eastAsia="仿宋_GB2312" w:cs="仿宋_GB2312"/>
          <w:sz w:val="32"/>
          <w:szCs w:val="32"/>
        </w:rPr>
        <w:t>）</w:t>
      </w: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廊坊市发展和改革委员会</w:t>
      </w:r>
    </w:p>
    <w:p>
      <w:pPr>
        <w:spacing w:line="58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网络安全设备升级维保服务</w:t>
      </w:r>
      <w:r>
        <w:rPr>
          <w:rFonts w:hint="eastAsia" w:ascii="方正小标宋简体" w:hAnsi="方正小标宋简体" w:eastAsia="方正小标宋简体" w:cs="方正小标宋简体"/>
          <w:sz w:val="44"/>
          <w:szCs w:val="44"/>
        </w:rPr>
        <w:t>报价文件</w:t>
      </w: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center"/>
        <w:outlineLvl w:val="0"/>
        <w:rPr>
          <w:rFonts w:ascii="方正小标宋简体" w:hAnsi="方正小标宋简体" w:eastAsia="方正小标宋简体" w:cs="方正小标宋简体"/>
          <w:sz w:val="44"/>
          <w:szCs w:val="44"/>
        </w:rPr>
      </w:pPr>
    </w:p>
    <w:p>
      <w:pPr>
        <w:spacing w:line="580" w:lineRule="exact"/>
        <w:jc w:val="left"/>
        <w:outlineLvl w:val="0"/>
        <w:rPr>
          <w:rFonts w:ascii="仿宋" w:hAnsi="仿宋" w:eastAsia="仿宋" w:cs="方正小标宋简体"/>
          <w:sz w:val="32"/>
          <w:szCs w:val="32"/>
          <w:u w:val="single"/>
        </w:rPr>
      </w:pPr>
      <w:r>
        <w:rPr>
          <w:rFonts w:hint="eastAsia" w:ascii="仿宋" w:hAnsi="仿宋" w:eastAsia="仿宋" w:cs="方正小标宋简体"/>
          <w:sz w:val="32"/>
          <w:szCs w:val="32"/>
        </w:rPr>
        <w:t>报价公司名称（公章）：</w:t>
      </w:r>
      <w:r>
        <w:rPr>
          <w:rFonts w:hint="eastAsia" w:ascii="仿宋" w:hAnsi="仿宋" w:eastAsia="仿宋" w:cs="方正小标宋简体"/>
          <w:sz w:val="32"/>
          <w:szCs w:val="32"/>
          <w:u w:val="single"/>
        </w:rPr>
        <w:t xml:space="preserve">            </w:t>
      </w:r>
    </w:p>
    <w:p>
      <w:pPr>
        <w:spacing w:line="580" w:lineRule="exact"/>
        <w:jc w:val="left"/>
        <w:outlineLvl w:val="0"/>
        <w:rPr>
          <w:rFonts w:ascii="仿宋" w:hAnsi="仿宋" w:eastAsia="仿宋" w:cs="方正小标宋简体"/>
          <w:sz w:val="32"/>
          <w:szCs w:val="32"/>
          <w:u w:val="single"/>
        </w:rPr>
      </w:pPr>
      <w:r>
        <w:rPr>
          <w:rFonts w:ascii="仿宋" w:hAnsi="仿宋" w:eastAsia="仿宋" w:cs="方正小标宋简体"/>
          <w:sz w:val="32"/>
          <w:szCs w:val="32"/>
        </w:rPr>
        <w:t>法定代表人或授权委托人（签字或盖章）：</w:t>
      </w:r>
      <w:r>
        <w:rPr>
          <w:rFonts w:hint="eastAsia" w:ascii="仿宋" w:hAnsi="仿宋" w:eastAsia="仿宋" w:cs="方正小标宋简体"/>
          <w:sz w:val="32"/>
          <w:szCs w:val="32"/>
          <w:u w:val="single"/>
        </w:rPr>
        <w:t xml:space="preserve">         </w:t>
      </w:r>
    </w:p>
    <w:p>
      <w:pPr>
        <w:spacing w:line="580" w:lineRule="exact"/>
        <w:jc w:val="left"/>
        <w:outlineLvl w:val="0"/>
        <w:rPr>
          <w:rFonts w:ascii="仿宋" w:hAnsi="仿宋" w:eastAsia="仿宋" w:cs="方正小标宋简体"/>
          <w:sz w:val="32"/>
          <w:szCs w:val="32"/>
          <w:u w:val="single"/>
        </w:rPr>
      </w:pPr>
      <w:r>
        <w:rPr>
          <w:rFonts w:ascii="仿宋" w:hAnsi="仿宋" w:eastAsia="仿宋" w:cs="方正小标宋简体"/>
          <w:sz w:val="32"/>
          <w:szCs w:val="32"/>
          <w:u w:val="single"/>
        </w:rPr>
        <w:t>报价时间：</w:t>
      </w:r>
      <w:r>
        <w:rPr>
          <w:rFonts w:hint="eastAsia" w:ascii="仿宋" w:hAnsi="仿宋" w:eastAsia="仿宋" w:cs="方正小标宋简体"/>
          <w:sz w:val="32"/>
          <w:szCs w:val="32"/>
          <w:u w:val="single"/>
        </w:rPr>
        <w:t xml:space="preserve">    年    月     日</w:t>
      </w:r>
    </w:p>
    <w:p>
      <w:pPr>
        <w:spacing w:line="580" w:lineRule="exact"/>
        <w:jc w:val="left"/>
        <w:outlineLvl w:val="0"/>
        <w:rPr>
          <w:rFonts w:ascii="仿宋" w:hAnsi="仿宋" w:eastAsia="仿宋" w:cs="方正小标宋简体"/>
          <w:sz w:val="32"/>
          <w:szCs w:val="32"/>
          <w:u w:val="single"/>
        </w:rPr>
      </w:pPr>
    </w:p>
    <w:p>
      <w:pPr>
        <w:pStyle w:val="2"/>
        <w:rPr>
          <w:rFonts w:ascii="仿宋" w:hAnsi="仿宋" w:eastAsia="仿宋" w:cs="方正小标宋简体"/>
          <w:sz w:val="32"/>
          <w:szCs w:val="32"/>
          <w:u w:val="single"/>
        </w:rPr>
      </w:pPr>
    </w:p>
    <w:p>
      <w:pPr>
        <w:pStyle w:val="2"/>
        <w:rPr>
          <w:rFonts w:ascii="仿宋" w:hAnsi="仿宋" w:eastAsia="仿宋" w:cs="方正小标宋简体"/>
          <w:sz w:val="32"/>
          <w:szCs w:val="32"/>
          <w:u w:val="single"/>
        </w:rPr>
      </w:pPr>
    </w:p>
    <w:p>
      <w:pPr>
        <w:pStyle w:val="2"/>
        <w:rPr>
          <w:rFonts w:ascii="仿宋" w:hAnsi="仿宋" w:eastAsia="仿宋" w:cs="方正小标宋简体"/>
          <w:sz w:val="32"/>
          <w:szCs w:val="32"/>
          <w:u w:val="single"/>
        </w:rPr>
      </w:pPr>
    </w:p>
    <w:p>
      <w:pPr>
        <w:spacing w:line="580" w:lineRule="exact"/>
        <w:jc w:val="left"/>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*一、投 标 函</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致：廊坊市发展和改革委员会：</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(供应商全称)授权 (供应商代表姓名)</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(职务、职称)为我方代表，参加贵方组织的(写明项目名称、； )的招标活动，并对以上项目进行投标。为此：</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1、我方同意在本项目招标文件中规定的开标日起的有效期内（见前附表）遵守</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本投标文件中的承诺且在此期限期满之前均具有约束力。</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2、我方承诺已经具备《中华人民共和国政府采购法》中规定的参加政府采购活动的供应商应当具备的全部条件。</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3、提供投标须知规定的全部投标文件；</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4、按招标文件要求提供和交付的货物和服务的投标报价详见开标一览表。</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5、我方承诺：完全理解投标报价超过开标时公布的预算金额时，投标将被拒绝。</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6、保证忠实地执行双方所签订的合同，并承担合同规定的责任和义务。</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7、承诺完全满足和响应招标文件中的各项商务和技术要求，若有偏差，已在投标文件商务条款偏离表中予以明确特别说明。</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8、保证遵守招标文件的所有规定。</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9、我方完全理解贵方不一定接受最低价的投标或收到的任何投标。</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10、我方愿意向贵方提供任何与本项投标有关的数据、情况和技术资料。若贵方需要，我方愿意提供我方作出的一切承诺的证明材料。</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11、我方已详细审核全部投标文件，包括投标文件修改书（如有的话）、参考资料及有关附件，确认无误。</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12、我方承诺：采购人若需追加采购本项目招标文件所列货物及相关服务的，在不改变合同其他实质性条款的前提下，按相同或更优惠的折扣率保证供货。</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13、 我方承诺提供的所有材料均为真实的、有效的，愿承担所有责任。</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所有有关本投标的一切往来联系方式为：</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地址：     邮编：      电话：         传真：</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供应商代表姓名：    供应商代表联系电话：     E-mail：</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供应商(公章)：</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日 期：</w:t>
      </w:r>
    </w:p>
    <w:p>
      <w:pPr>
        <w:spacing w:line="580" w:lineRule="exact"/>
        <w:jc w:val="left"/>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说明：除可填报项目外，对本投标函的任何修改将被视为非实质性响应投标，从而导致该投标被拒绝。</w:t>
      </w: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spacing w:line="580" w:lineRule="exact"/>
        <w:jc w:val="left"/>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*二、报价一览表</w:t>
      </w:r>
    </w:p>
    <w:p>
      <w:pPr>
        <w:spacing w:line="580" w:lineRule="exact"/>
        <w:jc w:val="left"/>
        <w:outlineLvl w:val="0"/>
        <w:rPr>
          <w:rFonts w:ascii="仿宋_GB2312" w:hAnsi="仿宋_GB2312" w:eastAsia="仿宋_GB2312" w:cs="仿宋_GB2312"/>
          <w:b/>
          <w:sz w:val="32"/>
          <w:szCs w:val="32"/>
        </w:rPr>
      </w:pPr>
    </w:p>
    <w:p>
      <w:pPr>
        <w:spacing w:line="580" w:lineRule="exact"/>
        <w:jc w:val="left"/>
        <w:outlineLvl w:val="0"/>
        <w:rPr>
          <w:rFonts w:ascii="仿宋_GB2312" w:hAnsi="仿宋_GB2312" w:eastAsia="仿宋_GB2312" w:cs="仿宋_GB2312"/>
          <w:b/>
          <w:sz w:val="32"/>
          <w:szCs w:val="32"/>
        </w:rPr>
      </w:pPr>
    </w:p>
    <w:p>
      <w:pPr>
        <w:spacing w:line="580" w:lineRule="exact"/>
        <w:jc w:val="center"/>
        <w:outlineLvl w:val="0"/>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廊坊市发展和改革委员会</w:t>
      </w:r>
    </w:p>
    <w:p>
      <w:pPr>
        <w:spacing w:line="580" w:lineRule="exact"/>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网络安全设备升级维保服务采购</w:t>
      </w:r>
      <w:r>
        <w:rPr>
          <w:rFonts w:hint="eastAsia" w:ascii="方正小标宋简体" w:hAnsi="方正小标宋简体" w:eastAsia="方正小标宋简体" w:cs="方正小标宋简体"/>
          <w:sz w:val="44"/>
          <w:szCs w:val="44"/>
        </w:rPr>
        <w:t>报价一览表</w:t>
      </w:r>
    </w:p>
    <w:p>
      <w:pPr>
        <w:spacing w:line="580" w:lineRule="exact"/>
        <w:jc w:val="left"/>
        <w:outlineLvl w:val="0"/>
        <w:rPr>
          <w:rFonts w:ascii="仿宋_GB2312" w:hAnsi="仿宋_GB2312" w:eastAsia="仿宋_GB2312" w:cs="仿宋_GB2312"/>
          <w:b/>
          <w:sz w:val="32"/>
          <w:szCs w:val="32"/>
        </w:rPr>
      </w:pPr>
    </w:p>
    <w:p>
      <w:pPr>
        <w:spacing w:line="580" w:lineRule="exact"/>
        <w:jc w:val="left"/>
        <w:outlineLvl w:val="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报价公司（公章）：</w:t>
      </w:r>
      <w:r>
        <w:rPr>
          <w:rFonts w:hint="eastAsia" w:ascii="仿宋_GB2312" w:hAnsi="仿宋_GB2312" w:eastAsia="仿宋_GB2312" w:cs="仿宋_GB2312"/>
          <w:sz w:val="32"/>
          <w:szCs w:val="32"/>
          <w:u w:val="single"/>
        </w:rPr>
        <w:t xml:space="preserve">                </w:t>
      </w:r>
    </w:p>
    <w:p>
      <w:pPr>
        <w:spacing w:line="580" w:lineRule="exact"/>
        <w:jc w:val="left"/>
        <w:outlineLvl w:val="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报价时间：</w:t>
      </w:r>
      <w:r>
        <w:rPr>
          <w:rFonts w:hint="eastAsia" w:ascii="仿宋_GB2312" w:hAnsi="仿宋_GB2312" w:eastAsia="仿宋_GB2312" w:cs="仿宋_GB2312"/>
          <w:sz w:val="32"/>
          <w:szCs w:val="32"/>
          <w:u w:val="single"/>
        </w:rPr>
        <w:t xml:space="preserve">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955"/>
        <w:gridCol w:w="5139"/>
        <w:gridCol w:w="113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 w:type="pct"/>
            <w:vAlign w:val="center"/>
          </w:tcPr>
          <w:p>
            <w:pPr>
              <w:pStyle w:val="8"/>
              <w:widowControl/>
              <w:spacing w:line="58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363" w:type="pct"/>
            <w:gridSpan w:val="2"/>
            <w:vAlign w:val="center"/>
          </w:tcPr>
          <w:p>
            <w:pPr>
              <w:pStyle w:val="8"/>
              <w:widowControl/>
              <w:spacing w:line="58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服务内容</w:t>
            </w:r>
          </w:p>
        </w:tc>
        <w:tc>
          <w:tcPr>
            <w:tcW w:w="626" w:type="pct"/>
            <w:vAlign w:val="center"/>
          </w:tcPr>
          <w:p>
            <w:pPr>
              <w:pStyle w:val="8"/>
              <w:widowControl/>
              <w:spacing w:line="58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价格</w:t>
            </w:r>
          </w:p>
        </w:tc>
        <w:tc>
          <w:tcPr>
            <w:tcW w:w="716" w:type="pct"/>
            <w:vAlign w:val="center"/>
          </w:tcPr>
          <w:p>
            <w:pPr>
              <w:pStyle w:val="8"/>
              <w:widowControl/>
              <w:spacing w:line="58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 w:type="pct"/>
          </w:tcPr>
          <w:p>
            <w:pPr>
              <w:pStyle w:val="8"/>
              <w:widowControl/>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363" w:type="pct"/>
            <w:gridSpan w:val="2"/>
          </w:tcPr>
          <w:p>
            <w:pPr>
              <w:pStyle w:val="8"/>
              <w:widowControl/>
              <w:spacing w:line="580" w:lineRule="exact"/>
              <w:rPr>
                <w:rFonts w:hint="eastAsia" w:ascii="仿宋" w:hAnsi="仿宋" w:eastAsia="仿宋" w:cs="宋体"/>
                <w:sz w:val="32"/>
                <w:szCs w:val="32"/>
                <w:lang w:val="en-US" w:eastAsia="zh-CN"/>
              </w:rPr>
            </w:pPr>
            <w:r>
              <w:rPr>
                <w:rFonts w:hint="eastAsia" w:ascii="仿宋" w:hAnsi="仿宋" w:eastAsia="仿宋" w:cs="宋体"/>
                <w:sz w:val="32"/>
                <w:szCs w:val="32"/>
                <w:lang w:val="en-US" w:eastAsia="zh-CN"/>
              </w:rPr>
              <w:t xml:space="preserve"> 网络杀毒软件1套，网页防篡改系统1套，邮件系统1套（含中转服务）安全保障设备防火墙2台，WAF应用防护系统1台，入侵防护系统1台，漏扫系统1台，日志审计设备1套，入侵检测设备一套，堡垒机1台，防毒墙1台，DNS解析系统1套。设备硬件保修，系统升级，规则库升级。</w:t>
            </w:r>
          </w:p>
          <w:p>
            <w:pPr>
              <w:pStyle w:val="8"/>
              <w:widowControl/>
              <w:spacing w:line="580" w:lineRule="exact"/>
              <w:rPr>
                <w:rFonts w:hint="default" w:ascii="仿宋_GB2312" w:hAnsi="仿宋_GB2312" w:eastAsia="仿宋_GB2312" w:cs="仿宋_GB2312"/>
                <w:sz w:val="32"/>
                <w:szCs w:val="32"/>
                <w:lang w:val="en-US" w:eastAsia="zh-CN"/>
              </w:rPr>
            </w:pPr>
            <w:r>
              <w:rPr>
                <w:rFonts w:hint="eastAsia" w:ascii="仿宋" w:hAnsi="仿宋" w:eastAsia="仿宋" w:cs="宋体"/>
                <w:sz w:val="32"/>
                <w:szCs w:val="32"/>
                <w:lang w:val="en-US" w:eastAsia="zh-CN"/>
              </w:rPr>
              <w:t>柴油发电：机组维保</w:t>
            </w:r>
            <w:r>
              <w:rPr>
                <w:rFonts w:hint="eastAsia" w:ascii="仿宋" w:hAnsi="仿宋" w:eastAsia="仿宋" w:cs="宋体"/>
                <w:sz w:val="32"/>
                <w:szCs w:val="32"/>
                <w:lang w:val="en-US" w:eastAsia="zh-CN"/>
              </w:rPr>
              <w:tab/>
            </w:r>
            <w:r>
              <w:rPr>
                <w:rFonts w:hint="eastAsia" w:ascii="仿宋" w:hAnsi="仿宋" w:eastAsia="仿宋" w:cs="宋体"/>
                <w:sz w:val="32"/>
                <w:szCs w:val="32"/>
                <w:lang w:val="en-US" w:eastAsia="zh-CN"/>
              </w:rPr>
              <w:t>含机油滤芯、空气滤芯、柴油滤芯、除水过滤器及易损耗材更换等</w:t>
            </w:r>
          </w:p>
        </w:tc>
        <w:tc>
          <w:tcPr>
            <w:tcW w:w="626" w:type="pct"/>
          </w:tcPr>
          <w:p>
            <w:pPr>
              <w:pStyle w:val="8"/>
              <w:widowControl/>
              <w:spacing w:line="580" w:lineRule="exact"/>
              <w:rPr>
                <w:rFonts w:ascii="仿宋_GB2312" w:hAnsi="仿宋_GB2312" w:eastAsia="仿宋_GB2312" w:cs="仿宋_GB2312"/>
                <w:sz w:val="32"/>
                <w:szCs w:val="32"/>
              </w:rPr>
            </w:pPr>
          </w:p>
        </w:tc>
        <w:tc>
          <w:tcPr>
            <w:tcW w:w="716" w:type="pct"/>
          </w:tcPr>
          <w:p>
            <w:pPr>
              <w:pStyle w:val="8"/>
              <w:widowControl/>
              <w:spacing w:line="580" w:lineRule="exact"/>
              <w:rPr>
                <w:rFonts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 w:type="pct"/>
          </w:tcPr>
          <w:p>
            <w:pPr>
              <w:pStyle w:val="8"/>
              <w:widowControl/>
              <w:spacing w:line="58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527" w:type="pct"/>
          </w:tcPr>
          <w:p>
            <w:pPr>
              <w:pStyle w:val="8"/>
              <w:widowControl/>
              <w:spacing w:line="580" w:lineRule="exact"/>
              <w:rPr>
                <w:rFonts w:ascii="仿宋_GB2312" w:hAnsi="仿宋_GB2312" w:eastAsia="仿宋_GB2312" w:cs="仿宋_GB2312"/>
                <w:sz w:val="32"/>
                <w:szCs w:val="32"/>
              </w:rPr>
            </w:pPr>
            <w:r>
              <w:rPr>
                <w:rFonts w:ascii="仿宋_GB2312" w:hAnsi="仿宋_GB2312" w:eastAsia="仿宋_GB2312" w:cs="仿宋_GB2312"/>
                <w:sz w:val="32"/>
                <w:szCs w:val="32"/>
              </w:rPr>
              <w:t>总价</w:t>
            </w:r>
          </w:p>
        </w:tc>
        <w:tc>
          <w:tcPr>
            <w:tcW w:w="3462" w:type="pct"/>
            <w:gridSpan w:val="2"/>
          </w:tcPr>
          <w:p>
            <w:pPr>
              <w:pStyle w:val="8"/>
              <w:widowControl/>
              <w:spacing w:line="580" w:lineRule="exact"/>
              <w:rPr>
                <w:rFonts w:ascii="仿宋_GB2312" w:hAnsi="仿宋_GB2312" w:eastAsia="仿宋_GB2312" w:cs="仿宋_GB2312"/>
                <w:sz w:val="32"/>
                <w:szCs w:val="32"/>
              </w:rPr>
            </w:pPr>
          </w:p>
        </w:tc>
        <w:tc>
          <w:tcPr>
            <w:tcW w:w="716" w:type="pct"/>
          </w:tcPr>
          <w:p>
            <w:pPr>
              <w:pStyle w:val="8"/>
              <w:widowControl/>
              <w:spacing w:line="580" w:lineRule="exact"/>
              <w:rPr>
                <w:rFonts w:ascii="仿宋_GB2312" w:hAnsi="仿宋_GB2312" w:eastAsia="仿宋_GB2312" w:cs="仿宋_GB2312"/>
                <w:sz w:val="32"/>
                <w:szCs w:val="32"/>
              </w:rPr>
            </w:pPr>
          </w:p>
        </w:tc>
      </w:tr>
    </w:tbl>
    <w:p>
      <w:pPr>
        <w:spacing w:line="580" w:lineRule="exact"/>
        <w:jc w:val="left"/>
        <w:outlineLvl w:val="0"/>
        <w:rPr>
          <w:rFonts w:hint="default" w:ascii="仿宋_GB2312" w:hAnsi="仿宋_GB2312" w:eastAsia="仿宋_GB2312" w:cs="仿宋_GB2312"/>
          <w:b/>
          <w:sz w:val="32"/>
          <w:szCs w:val="32"/>
          <w:u w:val="single"/>
          <w:lang w:val="en-US" w:eastAsia="zh-CN"/>
        </w:rPr>
      </w:pPr>
      <w:r>
        <w:rPr>
          <w:rFonts w:ascii="仿宋_GB2312" w:hAnsi="仿宋_GB2312" w:eastAsia="仿宋_GB2312" w:cs="仿宋_GB2312"/>
          <w:b/>
          <w:sz w:val="32"/>
          <w:szCs w:val="32"/>
          <w:u w:val="single"/>
        </w:rPr>
        <w:t>报价说明：本表所报单价应包含购买本服务项目所需的各类费用（包含但不限于税费、人员工资、差旅费等）</w:t>
      </w:r>
      <w:r>
        <w:rPr>
          <w:rFonts w:hint="eastAsia" w:ascii="仿宋_GB2312" w:hAnsi="仿宋_GB2312" w:eastAsia="仿宋_GB2312" w:cs="仿宋_GB2312"/>
          <w:b/>
          <w:sz w:val="32"/>
          <w:szCs w:val="32"/>
          <w:u w:val="single"/>
          <w:lang w:eastAsia="zh-CN"/>
        </w:rPr>
        <w:t>，</w:t>
      </w:r>
      <w:r>
        <w:rPr>
          <w:rFonts w:hint="eastAsia" w:ascii="仿宋_GB2312" w:hAnsi="仿宋_GB2312" w:eastAsia="仿宋_GB2312" w:cs="仿宋_GB2312"/>
          <w:b/>
          <w:sz w:val="32"/>
          <w:szCs w:val="32"/>
          <w:u w:val="single"/>
          <w:lang w:val="en-US" w:eastAsia="zh-CN"/>
        </w:rPr>
        <w:t>报价为每年的价格</w:t>
      </w:r>
    </w:p>
    <w:p>
      <w:pPr>
        <w:spacing w:line="580" w:lineRule="exact"/>
        <w:jc w:val="left"/>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*三、资质证明文件：</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1、授权委托书；</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廊坊市发展和改革委员会：</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本授权委托书声明：注册于（供应商住址）的（供应商名称） 。法定代表人（法定代表人姓名、职务、身份证号）代表本公司在下面授权的 （供应商代表姓名、职务、身份证号）为本公司的合法代理人，就贵方组织的项目（项目名称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以本公司名义处理一切与之有关的事务。</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单位名称（公章）</w:t>
      </w:r>
    </w:p>
    <w:p>
      <w:pPr>
        <w:spacing w:line="580" w:lineRule="exact"/>
        <w:jc w:val="righ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pPr>
        <w:spacing w:line="58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委托代理人身份证复印件（正反面） 法定代表人身份证复印件（正反面）</w:t>
      </w:r>
    </w:p>
    <w:p>
      <w:pPr>
        <w:spacing w:line="580" w:lineRule="exact"/>
        <w:jc w:val="left"/>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（粘贴此处）                        （粘贴此处）</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2、营业执照复印件（加盖公章）；</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3、符合《政府采购法》第二十二条规定承诺函（格式自拟，加盖公章）；</w:t>
      </w:r>
    </w:p>
    <w:p>
      <w:pPr>
        <w:spacing w:line="580" w:lineRule="exact"/>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四、评审相关资料。</w:t>
      </w:r>
    </w:p>
    <w:sectPr>
      <w:footerReference r:id="rId3" w:type="default"/>
      <w:pgSz w:w="11906" w:h="16838"/>
      <w:pgMar w:top="2098" w:right="1474" w:bottom="1984" w:left="1587" w:header="851" w:footer="992" w:gutter="0"/>
      <w:cols w:space="0" w:num="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lODY0ODU2OTEwZWM2YjM2NmE3ZTY5ZDM2ZWE5MWIifQ=="/>
  </w:docVars>
  <w:rsids>
    <w:rsidRoot w:val="022E2A61"/>
    <w:rsid w:val="00193E9A"/>
    <w:rsid w:val="002D734B"/>
    <w:rsid w:val="004A7080"/>
    <w:rsid w:val="005D6D64"/>
    <w:rsid w:val="00706119"/>
    <w:rsid w:val="00710B7E"/>
    <w:rsid w:val="00722E74"/>
    <w:rsid w:val="00875306"/>
    <w:rsid w:val="0090321D"/>
    <w:rsid w:val="009E7B79"/>
    <w:rsid w:val="00A71E43"/>
    <w:rsid w:val="00C33D6D"/>
    <w:rsid w:val="00C84FB4"/>
    <w:rsid w:val="00CA5039"/>
    <w:rsid w:val="00DF16B6"/>
    <w:rsid w:val="00E24CEF"/>
    <w:rsid w:val="00E2751A"/>
    <w:rsid w:val="00F35F36"/>
    <w:rsid w:val="00FA30E7"/>
    <w:rsid w:val="022E2A61"/>
    <w:rsid w:val="02FE3E7B"/>
    <w:rsid w:val="0A466107"/>
    <w:rsid w:val="0C8F7B8F"/>
    <w:rsid w:val="0DB678E7"/>
    <w:rsid w:val="11313100"/>
    <w:rsid w:val="134F56FA"/>
    <w:rsid w:val="19B5703B"/>
    <w:rsid w:val="1BB942B2"/>
    <w:rsid w:val="1C7440F0"/>
    <w:rsid w:val="1F4D384B"/>
    <w:rsid w:val="1F8D061A"/>
    <w:rsid w:val="200039E8"/>
    <w:rsid w:val="243852A8"/>
    <w:rsid w:val="28F30470"/>
    <w:rsid w:val="2D025200"/>
    <w:rsid w:val="2D054871"/>
    <w:rsid w:val="36ED62AC"/>
    <w:rsid w:val="385724B1"/>
    <w:rsid w:val="38B71271"/>
    <w:rsid w:val="3D485B48"/>
    <w:rsid w:val="45D56C39"/>
    <w:rsid w:val="4AC24FBD"/>
    <w:rsid w:val="4DAE5385"/>
    <w:rsid w:val="4E402043"/>
    <w:rsid w:val="4F774944"/>
    <w:rsid w:val="506B1078"/>
    <w:rsid w:val="585354CE"/>
    <w:rsid w:val="654A4225"/>
    <w:rsid w:val="66001ED9"/>
    <w:rsid w:val="67994C8F"/>
    <w:rsid w:val="6A8420EE"/>
    <w:rsid w:val="73AC4B69"/>
    <w:rsid w:val="756B2C9F"/>
    <w:rsid w:val="76AF0E1F"/>
    <w:rsid w:val="782F4F2E"/>
    <w:rsid w:val="7BA77F01"/>
    <w:rsid w:val="7C095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qFormat/>
    <w:uiPriority w:val="99"/>
    <w:pPr>
      <w:widowControl w:val="0"/>
      <w:spacing w:after="120" w:line="360" w:lineRule="auto"/>
      <w:ind w:firstLine="420" w:firstLineChars="100"/>
      <w:jc w:val="both"/>
    </w:pPr>
    <w:rPr>
      <w:rFonts w:ascii="Arial" w:hAnsi="Arial" w:eastAsia="宋体" w:cs="Times New Roman"/>
      <w:kern w:val="0"/>
      <w:sz w:val="24"/>
      <w:szCs w:val="24"/>
      <w:shd w:val="pct10" w:color="auto" w:fill="FFFFFF"/>
      <w:lang w:val="en-US" w:eastAsia="zh-CN" w:bidi="ar-SA"/>
    </w:rPr>
  </w:style>
  <w:style w:type="paragraph" w:styleId="4">
    <w:name w:val="Body Text"/>
    <w:next w:val="5"/>
    <w:qFormat/>
    <w:uiPriority w:val="0"/>
    <w:pPr>
      <w:widowControl w:val="0"/>
      <w:spacing w:line="360" w:lineRule="auto"/>
      <w:jc w:val="both"/>
    </w:pPr>
    <w:rPr>
      <w:rFonts w:ascii="Times New Roman" w:hAnsi="Times New Roman" w:eastAsia="宋体" w:cs="Times New Roman"/>
      <w:kern w:val="2"/>
      <w:sz w:val="24"/>
      <w:szCs w:val="20"/>
      <w:shd w:val="pct10" w:color="auto" w:fill="FFFFFF"/>
      <w:lang w:val="en-US" w:eastAsia="zh-CN" w:bidi="ar-SA"/>
    </w:rPr>
  </w:style>
  <w:style w:type="paragraph" w:styleId="5">
    <w:name w:val="toc 2"/>
    <w:next w:val="1"/>
    <w:semiHidden/>
    <w:qFormat/>
    <w:uiPriority w:val="0"/>
    <w:pPr>
      <w:widowControl/>
      <w:spacing w:line="520" w:lineRule="exact"/>
      <w:ind w:left="200"/>
      <w:jc w:val="left"/>
    </w:pPr>
    <w:rPr>
      <w:rFonts w:ascii="Times New Roman" w:hAnsi="Times New Roman" w:eastAsia="宋体" w:cs="Times New Roman"/>
      <w:b/>
      <w:smallCaps/>
      <w:kern w:val="0"/>
      <w:sz w:val="24"/>
      <w:szCs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qFormat/>
    <w:uiPriority w:val="0"/>
    <w:pPr>
      <w:widowControl w:val="0"/>
      <w:jc w:val="both"/>
    </w:pPr>
    <w:rPr>
      <w:rFonts w:ascii="Calibri" w:hAnsi="Calibri" w:eastAsia="宋体" w:cs="Times New Roman"/>
      <w:kern w:val="2"/>
      <w:sz w:val="24"/>
      <w:szCs w:val="24"/>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Q1"/>
    <w:basedOn w:val="3"/>
    <w:next w:val="1"/>
    <w:qFormat/>
    <w:uiPriority w:val="0"/>
    <w:pPr>
      <w:tabs>
        <w:tab w:val="left" w:pos="360"/>
      </w:tabs>
      <w:spacing w:beforeLines="50" w:afterLines="50" w:line="360" w:lineRule="auto"/>
      <w:jc w:val="center"/>
    </w:pPr>
    <w:rPr>
      <w:rFonts w:ascii="Times New Roman" w:hAnsi="Times New Roman" w:eastAsia="黑体" w:cs="Times New Roman"/>
      <w:sz w:val="32"/>
    </w:rPr>
  </w:style>
  <w:style w:type="character" w:customStyle="1" w:styleId="13">
    <w:name w:val="标题 1 Char"/>
    <w:basedOn w:val="11"/>
    <w:link w:val="3"/>
    <w:qFormat/>
    <w:uiPriority w:val="0"/>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2188</Words>
  <Characters>2267</Characters>
  <Lines>44</Lines>
  <Paragraphs>12</Paragraphs>
  <TotalTime>70</TotalTime>
  <ScaleCrop>false</ScaleCrop>
  <LinksUpToDate>false</LinksUpToDate>
  <CharactersWithSpaces>2420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2022-09-23T06:49:00Z</dcterms:created>
  <dc:creator>水果君</dc:creator>
  <cp:lastModifiedBy>水果君</cp:lastModifiedBy>
  <cp:lastPrinted>2023-04-03T06:57:00Z</cp:lastPrinted>
  <dcterms:modified xsi:type="dcterms:W3CDTF">2023-04-04T07:55:51Z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CA6B68330D5D441E8AFFBF79F8119877</vt:lpwstr>
  </property>
</Properties>
</file>