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312" w:before="0" w:after="0"/>
        <w:ind w:right="0" w:firstLine="0"/>
        <w:rPr>
          <w:b w:val="1"/>
          <w:color w:val="auto"/>
          <w:position w:val="0"/>
          <w:sz w:val="44"/>
          <w:szCs w:val="44"/>
          <w:rFonts w:ascii="仿宋" w:eastAsia="仿宋" w:hAnsi="仿宋" w:hint="default"/>
        </w:rPr>
        <w:wordWrap w:val="off"/>
        <w:autoSpaceDE w:val="1"/>
        <w:autoSpaceDN w:val="1"/>
      </w:pPr>
      <w:r>
        <w:rPr>
          <w:b w:val="1"/>
          <w:color w:val="auto"/>
          <w:position w:val="0"/>
          <w:sz w:val="44"/>
          <w:szCs w:val="44"/>
          <w:rFonts w:ascii="仿宋" w:eastAsia="仿宋" w:hAnsi="仿宋" w:hint="default"/>
        </w:rPr>
        <w:t>惠民、金悦小区地下室销售方案</w:t>
      </w:r>
    </w:p>
    <w:p>
      <w:pPr>
        <w:numPr>
          <w:ilvl w:val="0"/>
          <w:numId w:val="0"/>
        </w:numPr>
        <w:jc w:val="both"/>
        <w:spacing w:lineRule="auto" w:line="312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wordWrap w:val="off"/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中号的购房户在确认购房交款后，开发公司另行通知业主按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楼、按单元领取地下室认购号，认购号领取后再另行通知认购地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下室并交纳地下室款。</w:t>
      </w:r>
    </w:p>
    <w:p>
      <w:pPr>
        <w:numPr>
          <w:ilvl w:val="0"/>
          <w:numId w:val="0"/>
        </w:numPr>
        <w:jc w:val="both"/>
        <w:spacing w:lineRule="auto" w:line="312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wordWrap w:val="off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312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wordWrap w:val="off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312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wordWrap w:val="off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312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wordWrap w:val="off"/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                       </w:t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jc w:val="both"/>
        <w:widowControl/>
        <w:wordWrap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4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