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8B8" w:rsidRPr="00A04359" w:rsidRDefault="00127A31" w:rsidP="00290555">
      <w:pPr>
        <w:adjustRightInd w:val="0"/>
        <w:snapToGrid w:val="0"/>
        <w:spacing w:line="56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</w:rPr>
      </w:pPr>
      <w:r>
        <w:rPr>
          <w:rFonts w:ascii="方正小标宋_GBK" w:eastAsia="方正小标宋_GBK" w:hint="eastAsia"/>
          <w:color w:val="000000" w:themeColor="text1"/>
          <w:sz w:val="44"/>
          <w:szCs w:val="44"/>
        </w:rPr>
        <w:t>气象</w:t>
      </w:r>
      <w:r>
        <w:rPr>
          <w:rFonts w:ascii="方正小标宋_GBK" w:eastAsia="方正小标宋_GBK"/>
          <w:color w:val="000000" w:themeColor="text1"/>
          <w:sz w:val="44"/>
          <w:szCs w:val="44"/>
        </w:rPr>
        <w:t>灾害防御</w:t>
      </w:r>
      <w:r w:rsidR="00A04359">
        <w:rPr>
          <w:rFonts w:ascii="方正小标宋_GBK" w:eastAsia="方正小标宋_GBK" w:hint="eastAsia"/>
          <w:color w:val="000000" w:themeColor="text1"/>
          <w:sz w:val="44"/>
          <w:szCs w:val="44"/>
        </w:rPr>
        <w:t>重点</w:t>
      </w:r>
      <w:r w:rsidR="00A04359">
        <w:rPr>
          <w:rFonts w:ascii="方正小标宋_GBK" w:eastAsia="方正小标宋_GBK"/>
          <w:color w:val="000000" w:themeColor="text1"/>
          <w:sz w:val="44"/>
          <w:szCs w:val="44"/>
        </w:rPr>
        <w:t>防御单位分类</w:t>
      </w:r>
    </w:p>
    <w:p w:rsidR="00FC0205" w:rsidRDefault="00FC0205" w:rsidP="001A1C67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:rsidR="00A7590C" w:rsidRPr="00BC356A" w:rsidRDefault="00A7590C" w:rsidP="001A1C67">
      <w:pPr>
        <w:adjustRightInd w:val="0"/>
        <w:snapToGrid w:val="0"/>
        <w:spacing w:line="560" w:lineRule="exact"/>
        <w:rPr>
          <w:rFonts w:ascii="黑体" w:eastAsia="黑体" w:hAnsi="黑体"/>
          <w:sz w:val="32"/>
          <w:szCs w:val="32"/>
        </w:rPr>
      </w:pPr>
      <w:r w:rsidRPr="00BC356A">
        <w:rPr>
          <w:rFonts w:ascii="黑体" w:eastAsia="黑体" w:hAnsi="黑体" w:hint="eastAsia"/>
          <w:sz w:val="32"/>
          <w:szCs w:val="32"/>
        </w:rPr>
        <w:t>1、学校、医院、火车站、客运车站等人员密集场所的单位或运</w:t>
      </w:r>
      <w:bookmarkStart w:id="0" w:name="_GoBack"/>
      <w:bookmarkEnd w:id="0"/>
      <w:r w:rsidRPr="00BC356A">
        <w:rPr>
          <w:rFonts w:ascii="黑体" w:eastAsia="黑体" w:hAnsi="黑体" w:hint="eastAsia"/>
          <w:sz w:val="32"/>
          <w:szCs w:val="32"/>
        </w:rPr>
        <w:t>行管理单位</w:t>
      </w:r>
    </w:p>
    <w:p w:rsidR="00A7590C" w:rsidRPr="002E2ADB" w:rsidRDefault="00A7590C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2ADB">
        <w:rPr>
          <w:rFonts w:ascii="仿宋_GB2312" w:eastAsia="仿宋_GB2312" w:hint="eastAsia"/>
          <w:sz w:val="32"/>
          <w:szCs w:val="32"/>
        </w:rPr>
        <w:t>包括以下单位：</w:t>
      </w:r>
    </w:p>
    <w:p w:rsidR="00A7590C" w:rsidRPr="002E2ADB" w:rsidRDefault="00A7590C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2ADB">
        <w:rPr>
          <w:rFonts w:ascii="仿宋_GB2312" w:eastAsia="仿宋_GB2312" w:hint="eastAsia"/>
          <w:sz w:val="32"/>
          <w:szCs w:val="32"/>
        </w:rPr>
        <w:t>----床位在500张及以上的医院、养老院、福利院。</w:t>
      </w:r>
    </w:p>
    <w:p w:rsidR="00A7590C" w:rsidRPr="002E2ADB" w:rsidRDefault="00A7590C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2ADB">
        <w:rPr>
          <w:rFonts w:ascii="仿宋_GB2312" w:eastAsia="仿宋_GB2312" w:hint="eastAsia"/>
          <w:sz w:val="32"/>
          <w:szCs w:val="32"/>
        </w:rPr>
        <w:t>----2000人及以上的学校，300及以上的托儿所、幼儿园、特殊教育学校。</w:t>
      </w:r>
    </w:p>
    <w:p w:rsidR="00A7590C" w:rsidRPr="002E2ADB" w:rsidRDefault="00A7590C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2ADB">
        <w:rPr>
          <w:rFonts w:ascii="仿宋_GB2312" w:eastAsia="仿宋_GB2312" w:hint="eastAsia"/>
          <w:sz w:val="32"/>
          <w:szCs w:val="32"/>
        </w:rPr>
        <w:t>----建筑面积10 km</w:t>
      </w:r>
      <w:r w:rsidRPr="002E2ADB">
        <w:rPr>
          <w:rFonts w:ascii="Calibri" w:eastAsia="仿宋_GB2312" w:hAnsi="Calibri" w:cs="Calibri"/>
          <w:sz w:val="32"/>
          <w:szCs w:val="32"/>
        </w:rPr>
        <w:t>²</w:t>
      </w:r>
      <w:r w:rsidRPr="002E2ADB">
        <w:rPr>
          <w:rFonts w:ascii="仿宋_GB2312" w:eastAsia="仿宋_GB2312" w:hint="eastAsia"/>
          <w:sz w:val="32"/>
          <w:szCs w:val="32"/>
        </w:rPr>
        <w:t>及以上的商场、市场；客房数量300间及以上的宾馆、饭店；建筑面积3000</w:t>
      </w:r>
      <w:r w:rsidRPr="002E2ADB">
        <w:rPr>
          <w:rFonts w:ascii="Batang" w:eastAsia="Batang" w:hAnsi="Batang" w:cs="Batang" w:hint="eastAsia"/>
          <w:color w:val="333333"/>
          <w:sz w:val="32"/>
          <w:szCs w:val="32"/>
          <w:shd w:val="clear" w:color="auto" w:fill="FFFFFF"/>
        </w:rPr>
        <w:t>㎡</w:t>
      </w:r>
      <w:r w:rsidRPr="002E2ADB">
        <w:rPr>
          <w:rFonts w:ascii="仿宋_GB2312" w:eastAsia="仿宋_GB2312" w:hint="eastAsia"/>
          <w:sz w:val="32"/>
          <w:szCs w:val="32"/>
        </w:rPr>
        <w:t>及以上的公共娱乐场所。</w:t>
      </w:r>
    </w:p>
    <w:p w:rsidR="00A7590C" w:rsidRPr="002E2ADB" w:rsidRDefault="00A7590C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 w:rsidRPr="002E2ADB">
        <w:rPr>
          <w:rFonts w:ascii="仿宋_GB2312" w:eastAsia="仿宋_GB2312" w:hint="eastAsia"/>
          <w:sz w:val="32"/>
          <w:szCs w:val="32"/>
        </w:rPr>
        <w:t>----候车厅的建筑面积在500</w:t>
      </w:r>
      <w:r w:rsidRPr="002E2ADB">
        <w:rPr>
          <w:rFonts w:ascii="Batang" w:eastAsia="Batang" w:hAnsi="Batang" w:cs="Batang" w:hint="eastAsia"/>
          <w:color w:val="333333"/>
          <w:sz w:val="32"/>
          <w:szCs w:val="32"/>
          <w:shd w:val="clear" w:color="auto" w:fill="FFFFFF"/>
        </w:rPr>
        <w:t>㎡</w:t>
      </w:r>
      <w:r w:rsidRPr="002E2ADB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及以上的客运车站</w:t>
      </w:r>
    </w:p>
    <w:p w:rsidR="00BC356A" w:rsidRPr="002E2ADB" w:rsidRDefault="00A7590C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 w:rsidRPr="002E2ADB">
        <w:rPr>
          <w:rFonts w:ascii="仿宋_GB2312" w:eastAsia="仿宋_GB2312" w:hint="eastAsia"/>
          <w:sz w:val="32"/>
          <w:szCs w:val="32"/>
        </w:rPr>
        <w:t>----建筑面积在1000</w:t>
      </w:r>
      <w:r w:rsidRPr="002E2ADB">
        <w:rPr>
          <w:rFonts w:ascii="Batang" w:eastAsia="Batang" w:hAnsi="Batang" w:cs="Batang" w:hint="eastAsia"/>
          <w:color w:val="333333"/>
          <w:sz w:val="32"/>
          <w:szCs w:val="32"/>
          <w:shd w:val="clear" w:color="auto" w:fill="FFFFFF"/>
        </w:rPr>
        <w:t>㎡</w:t>
      </w:r>
      <w:r w:rsidRPr="002E2ADB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及以上的教堂、清真寺、寺庙、道观等宗教场所。</w:t>
      </w:r>
    </w:p>
    <w:p w:rsidR="00A7590C" w:rsidRPr="00BC356A" w:rsidRDefault="00A7590C" w:rsidP="001A1C67">
      <w:pPr>
        <w:adjustRightInd w:val="0"/>
        <w:snapToGrid w:val="0"/>
        <w:spacing w:line="560" w:lineRule="exact"/>
        <w:rPr>
          <w:rFonts w:ascii="黑体" w:eastAsia="黑体" w:hAnsi="黑体"/>
          <w:sz w:val="32"/>
          <w:szCs w:val="32"/>
        </w:rPr>
      </w:pPr>
      <w:r w:rsidRPr="00BC356A">
        <w:rPr>
          <w:rFonts w:ascii="黑体" w:eastAsia="黑体" w:hAnsi="黑体" w:hint="eastAsia"/>
          <w:sz w:val="32"/>
          <w:szCs w:val="32"/>
        </w:rPr>
        <w:t>2、易燃易爆、有毒有害等危险物资的生产、储存、供应、销售单位</w:t>
      </w:r>
    </w:p>
    <w:p w:rsidR="00A7590C" w:rsidRPr="002E2ADB" w:rsidRDefault="00A7590C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 w:rsidRPr="002E2ADB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包括以下单位：</w:t>
      </w:r>
    </w:p>
    <w:p w:rsidR="00A7590C" w:rsidRPr="002E2ADB" w:rsidRDefault="002E2AD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 w:rsidRPr="002E2ADB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----</w:t>
      </w:r>
      <w:r w:rsidR="000C610E" w:rsidRPr="002E2ADB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按照GB18218—2009中的规定制造、使用和存储大量易燃易爆、有毒有害等危险物质的单位。</w:t>
      </w:r>
    </w:p>
    <w:p w:rsidR="000C610E" w:rsidRPr="002E2ADB" w:rsidRDefault="002E2AD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2ADB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----</w:t>
      </w:r>
      <w:r w:rsidR="000C610E" w:rsidRPr="002E2ADB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总容量在</w:t>
      </w:r>
      <w:r w:rsidR="000C610E" w:rsidRPr="002E2ADB">
        <w:rPr>
          <w:rFonts w:ascii="仿宋_GB2312" w:eastAsia="仿宋_GB2312" w:hint="eastAsia"/>
          <w:sz w:val="32"/>
          <w:szCs w:val="32"/>
        </w:rPr>
        <w:t>100km</w:t>
      </w:r>
      <w:r w:rsidR="000C610E" w:rsidRPr="002E2ADB">
        <w:rPr>
          <w:rFonts w:ascii="Calibri" w:eastAsia="仿宋_GB2312" w:hAnsi="Calibri" w:cs="Calibri"/>
          <w:sz w:val="32"/>
          <w:szCs w:val="32"/>
        </w:rPr>
        <w:t>³</w:t>
      </w:r>
      <w:r w:rsidR="000C610E" w:rsidRPr="002E2ADB">
        <w:rPr>
          <w:rFonts w:ascii="仿宋_GB2312" w:eastAsia="仿宋_GB2312" w:hint="eastAsia"/>
          <w:sz w:val="32"/>
          <w:szCs w:val="32"/>
        </w:rPr>
        <w:t>及以上的石油库。</w:t>
      </w:r>
    </w:p>
    <w:p w:rsidR="000C610E" w:rsidRPr="002E2ADB" w:rsidRDefault="000C610E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2ADB">
        <w:rPr>
          <w:rFonts w:ascii="仿宋_GB2312" w:eastAsia="仿宋_GB2312" w:hint="eastAsia"/>
          <w:sz w:val="32"/>
          <w:szCs w:val="32"/>
        </w:rPr>
        <w:t>---</w:t>
      </w:r>
      <w:r w:rsidR="002E2ADB">
        <w:rPr>
          <w:rFonts w:ascii="仿宋_GB2312" w:eastAsia="仿宋_GB2312"/>
          <w:sz w:val="32"/>
          <w:szCs w:val="32"/>
        </w:rPr>
        <w:t>-</w:t>
      </w:r>
      <w:r w:rsidRPr="002E2ADB">
        <w:rPr>
          <w:rFonts w:ascii="仿宋_GB2312" w:eastAsia="仿宋_GB2312" w:hint="eastAsia"/>
          <w:sz w:val="32"/>
          <w:szCs w:val="32"/>
        </w:rPr>
        <w:t>易燃易爆气体和液体的罐装站、调压站。</w:t>
      </w:r>
    </w:p>
    <w:p w:rsidR="002E2ADB" w:rsidRPr="002E2ADB" w:rsidRDefault="002E2AD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2ADB">
        <w:rPr>
          <w:rFonts w:ascii="仿宋_GB2312" w:eastAsia="仿宋_GB2312" w:hint="eastAsia"/>
          <w:sz w:val="32"/>
          <w:szCs w:val="32"/>
        </w:rPr>
        <w:t>----</w:t>
      </w:r>
      <w:r w:rsidR="000C610E" w:rsidRPr="002E2ADB">
        <w:rPr>
          <w:rFonts w:ascii="仿宋_GB2312" w:eastAsia="仿宋_GB2312" w:hint="eastAsia"/>
          <w:sz w:val="32"/>
          <w:szCs w:val="32"/>
        </w:rPr>
        <w:t>总</w:t>
      </w:r>
      <w:r w:rsidRPr="002E2ADB">
        <w:rPr>
          <w:rFonts w:ascii="仿宋_GB2312" w:eastAsia="仿宋_GB2312" w:hint="eastAsia"/>
          <w:sz w:val="32"/>
          <w:szCs w:val="32"/>
        </w:rPr>
        <w:t>容积在15000 m</w:t>
      </w:r>
      <w:r w:rsidRPr="002E2ADB">
        <w:rPr>
          <w:rFonts w:ascii="Calibri" w:eastAsia="仿宋_GB2312" w:hAnsi="Calibri" w:cs="Calibri"/>
          <w:sz w:val="32"/>
          <w:szCs w:val="32"/>
        </w:rPr>
        <w:t>³</w:t>
      </w:r>
      <w:r w:rsidRPr="002E2ADB">
        <w:rPr>
          <w:rFonts w:ascii="仿宋_GB2312" w:eastAsia="仿宋_GB2312" w:hint="eastAsia"/>
          <w:sz w:val="32"/>
          <w:szCs w:val="32"/>
        </w:rPr>
        <w:t>及以上的天然气或总容积在5000 m</w:t>
      </w:r>
      <w:r w:rsidRPr="002E2ADB">
        <w:rPr>
          <w:rFonts w:ascii="Calibri" w:eastAsia="仿宋_GB2312" w:hAnsi="Calibri" w:cs="Calibri"/>
          <w:sz w:val="32"/>
          <w:szCs w:val="32"/>
        </w:rPr>
        <w:t>³</w:t>
      </w:r>
      <w:r w:rsidRPr="002E2ADB">
        <w:rPr>
          <w:rFonts w:ascii="仿宋_GB2312" w:eastAsia="仿宋_GB2312" w:hint="eastAsia"/>
          <w:sz w:val="32"/>
          <w:szCs w:val="32"/>
        </w:rPr>
        <w:t>及以上的液化石油气、天然气凝液储存场所。</w:t>
      </w:r>
    </w:p>
    <w:p w:rsidR="002E2ADB" w:rsidRDefault="002E2AD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E2ADB">
        <w:rPr>
          <w:rFonts w:ascii="仿宋_GB2312" w:eastAsia="仿宋_GB2312" w:hint="eastAsia"/>
          <w:sz w:val="32"/>
          <w:szCs w:val="32"/>
        </w:rPr>
        <w:lastRenderedPageBreak/>
        <w:t>----</w:t>
      </w:r>
      <w:r w:rsidR="005904CA">
        <w:rPr>
          <w:rFonts w:ascii="仿宋_GB2312" w:eastAsia="仿宋_GB2312" w:hint="eastAsia"/>
          <w:sz w:val="32"/>
          <w:szCs w:val="32"/>
        </w:rPr>
        <w:t>二级</w:t>
      </w:r>
      <w:r w:rsidR="005904CA">
        <w:rPr>
          <w:rFonts w:ascii="仿宋_GB2312" w:eastAsia="仿宋_GB2312"/>
          <w:sz w:val="32"/>
          <w:szCs w:val="32"/>
        </w:rPr>
        <w:t>以上营业性汽车加油站、加气站、加油和液化石油气加气合建站，加油和压缩天然气加气合建站，液化石油气供应站（</w:t>
      </w:r>
      <w:r w:rsidR="005904CA">
        <w:rPr>
          <w:rFonts w:ascii="仿宋_GB2312" w:eastAsia="仿宋_GB2312" w:hint="eastAsia"/>
          <w:sz w:val="32"/>
          <w:szCs w:val="32"/>
        </w:rPr>
        <w:t>换瓶站</w:t>
      </w:r>
      <w:r w:rsidR="005904CA">
        <w:rPr>
          <w:rFonts w:ascii="仿宋_GB2312" w:eastAsia="仿宋_GB2312"/>
          <w:sz w:val="32"/>
          <w:szCs w:val="32"/>
        </w:rPr>
        <w:t>）</w:t>
      </w:r>
      <w:r w:rsidR="005904CA">
        <w:rPr>
          <w:rFonts w:ascii="仿宋_GB2312" w:eastAsia="仿宋_GB2312" w:hint="eastAsia"/>
          <w:sz w:val="32"/>
          <w:szCs w:val="32"/>
        </w:rPr>
        <w:t>。</w:t>
      </w:r>
    </w:p>
    <w:p w:rsidR="005904CA" w:rsidRDefault="005904CA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----建筑面积在</w:t>
      </w:r>
      <w:r>
        <w:rPr>
          <w:rFonts w:ascii="仿宋_GB2312" w:eastAsia="仿宋_GB2312" w:hint="eastAsia"/>
          <w:sz w:val="32"/>
          <w:szCs w:val="32"/>
        </w:rPr>
        <w:t>300</w:t>
      </w:r>
      <w:r w:rsidRPr="005904CA">
        <w:t xml:space="preserve"> </w:t>
      </w:r>
      <w:r w:rsidRPr="002E2ADB">
        <w:rPr>
          <w:rFonts w:ascii="Batang" w:eastAsia="Batang" w:hAnsi="Batang" w:cs="Batang" w:hint="eastAsia"/>
          <w:color w:val="333333"/>
          <w:sz w:val="32"/>
          <w:szCs w:val="32"/>
          <w:shd w:val="clear" w:color="auto" w:fill="FFFFFF"/>
        </w:rPr>
        <w:t>㎡</w:t>
      </w:r>
      <w:r w:rsidRPr="005904CA">
        <w:rPr>
          <w:rFonts w:ascii="仿宋_GB2312" w:eastAsia="仿宋_GB2312" w:hint="eastAsia"/>
          <w:sz w:val="32"/>
          <w:szCs w:val="32"/>
        </w:rPr>
        <w:t>及以上</w:t>
      </w:r>
      <w:r w:rsidRPr="005904CA">
        <w:rPr>
          <w:rFonts w:ascii="仿宋_GB2312" w:eastAsia="仿宋_GB2312"/>
          <w:sz w:val="32"/>
          <w:szCs w:val="32"/>
        </w:rPr>
        <w:t>的易燃易爆化学物品经营商店。</w:t>
      </w:r>
    </w:p>
    <w:p w:rsidR="007F7E6B" w:rsidRDefault="007F7E6B" w:rsidP="001A1C67">
      <w:pPr>
        <w:adjustRightInd w:val="0"/>
        <w:snapToGrid w:val="0"/>
        <w:spacing w:line="560" w:lineRule="exact"/>
        <w:rPr>
          <w:rFonts w:ascii="黑体" w:eastAsia="黑体" w:hAnsi="黑体"/>
          <w:sz w:val="32"/>
          <w:szCs w:val="32"/>
        </w:rPr>
      </w:pPr>
      <w:r w:rsidRPr="007F7E6B">
        <w:rPr>
          <w:rFonts w:ascii="黑体" w:eastAsia="黑体" w:hAnsi="黑体" w:hint="eastAsia"/>
          <w:sz w:val="32"/>
          <w:szCs w:val="32"/>
        </w:rPr>
        <w:t>3、通信</w:t>
      </w:r>
      <w:r>
        <w:rPr>
          <w:rFonts w:ascii="黑体" w:eastAsia="黑体" w:hAnsi="黑体" w:hint="eastAsia"/>
          <w:sz w:val="32"/>
          <w:szCs w:val="32"/>
        </w:rPr>
        <w:t>、</w:t>
      </w:r>
      <w:r w:rsidRPr="007F7E6B">
        <w:rPr>
          <w:rFonts w:ascii="黑体" w:eastAsia="黑体" w:hAnsi="黑体" w:hint="eastAsia"/>
          <w:sz w:val="32"/>
          <w:szCs w:val="32"/>
        </w:rPr>
        <w:t>电力</w:t>
      </w:r>
      <w:r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/>
          <w:sz w:val="32"/>
          <w:szCs w:val="32"/>
        </w:rPr>
        <w:t>燃气、广电及水生产等对</w:t>
      </w:r>
      <w:r>
        <w:rPr>
          <w:rFonts w:ascii="黑体" w:eastAsia="黑体" w:hAnsi="黑体" w:hint="eastAsia"/>
          <w:sz w:val="32"/>
          <w:szCs w:val="32"/>
        </w:rPr>
        <w:t>国</w:t>
      </w:r>
      <w:r>
        <w:rPr>
          <w:rFonts w:ascii="黑体" w:eastAsia="黑体" w:hAnsi="黑体"/>
          <w:sz w:val="32"/>
          <w:szCs w:val="32"/>
        </w:rPr>
        <w:t>计民生</w:t>
      </w:r>
      <w:r>
        <w:rPr>
          <w:rFonts w:ascii="黑体" w:eastAsia="黑体" w:hAnsi="黑体" w:hint="eastAsia"/>
          <w:sz w:val="32"/>
          <w:szCs w:val="32"/>
        </w:rPr>
        <w:t>有重大</w:t>
      </w:r>
      <w:r>
        <w:rPr>
          <w:rFonts w:ascii="黑体" w:eastAsia="黑体" w:hAnsi="黑体"/>
          <w:sz w:val="32"/>
          <w:szCs w:val="32"/>
        </w:rPr>
        <w:t>影响的企事业单位</w:t>
      </w:r>
    </w:p>
    <w:p w:rsidR="007F7E6B" w:rsidRDefault="007F7E6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 w:rsidRPr="007F7E6B"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包括</w:t>
      </w:r>
      <w:r w:rsidRPr="007F7E6B"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以下单位：</w:t>
      </w:r>
    </w:p>
    <w:p w:rsidR="007F7E6B" w:rsidRDefault="007F7E6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---邮政、通信枢纽单位。</w:t>
      </w:r>
    </w:p>
    <w:p w:rsidR="007F7E6B" w:rsidRDefault="007F7E6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---大型发电厂（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站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）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；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电网经营企业。</w:t>
      </w:r>
    </w:p>
    <w:p w:rsidR="007F7E6B" w:rsidRDefault="007F7E6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----燃气生产经营企业。</w:t>
      </w:r>
    </w:p>
    <w:p w:rsidR="007F7E6B" w:rsidRDefault="007F7E6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---广播电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台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、电视台。</w:t>
      </w:r>
    </w:p>
    <w:p w:rsidR="007F7E6B" w:rsidRDefault="007F7E6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---水利、供水等企事业单位。</w:t>
      </w:r>
    </w:p>
    <w:p w:rsidR="0071181A" w:rsidRDefault="007F7E6B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----大型农场、大型林场。</w:t>
      </w:r>
    </w:p>
    <w:p w:rsidR="0071181A" w:rsidRPr="0071181A" w:rsidRDefault="0071181A" w:rsidP="001A1C67">
      <w:pPr>
        <w:adjustRightInd w:val="0"/>
        <w:snapToGrid w:val="0"/>
        <w:spacing w:line="560" w:lineRule="exact"/>
        <w:rPr>
          <w:rFonts w:ascii="黑体" w:eastAsia="黑体" w:hAnsi="黑体"/>
          <w:sz w:val="32"/>
          <w:szCs w:val="32"/>
        </w:rPr>
      </w:pPr>
      <w:r w:rsidRPr="0071181A">
        <w:rPr>
          <w:rFonts w:ascii="黑体" w:eastAsia="黑体" w:hAnsi="黑体" w:hint="eastAsia"/>
          <w:sz w:val="32"/>
          <w:szCs w:val="32"/>
        </w:rPr>
        <w:t>4、道路交通</w:t>
      </w:r>
      <w:r w:rsidRPr="0071181A">
        <w:rPr>
          <w:rFonts w:ascii="黑体" w:eastAsia="黑体" w:hAnsi="黑体"/>
          <w:sz w:val="32"/>
          <w:szCs w:val="32"/>
        </w:rPr>
        <w:t>运输单位和运行管理单位</w:t>
      </w:r>
    </w:p>
    <w:p w:rsidR="0071181A" w:rsidRDefault="0071181A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包括以下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单位：</w:t>
      </w:r>
    </w:p>
    <w:p w:rsidR="0071181A" w:rsidRDefault="0071181A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---道路交通运输单位和运行管理单位。</w:t>
      </w:r>
    </w:p>
    <w:p w:rsidR="0071181A" w:rsidRPr="00A04359" w:rsidRDefault="0071181A" w:rsidP="001A1C67">
      <w:pPr>
        <w:adjustRightInd w:val="0"/>
        <w:snapToGrid w:val="0"/>
        <w:spacing w:line="560" w:lineRule="exact"/>
        <w:rPr>
          <w:rFonts w:ascii="黑体" w:eastAsia="黑体" w:hAnsi="黑体"/>
          <w:sz w:val="32"/>
          <w:szCs w:val="32"/>
        </w:rPr>
      </w:pPr>
      <w:r w:rsidRPr="00A04359">
        <w:rPr>
          <w:rFonts w:ascii="黑体" w:eastAsia="黑体" w:hAnsi="黑体" w:hint="eastAsia"/>
          <w:sz w:val="32"/>
          <w:szCs w:val="32"/>
        </w:rPr>
        <w:t>5、</w:t>
      </w:r>
      <w:r w:rsidR="001950F6" w:rsidRPr="00A04359">
        <w:rPr>
          <w:rFonts w:ascii="黑体" w:eastAsia="黑体" w:hAnsi="黑体" w:hint="eastAsia"/>
          <w:sz w:val="32"/>
          <w:szCs w:val="32"/>
        </w:rPr>
        <w:t>省级</w:t>
      </w:r>
      <w:r w:rsidR="001950F6" w:rsidRPr="00A04359">
        <w:rPr>
          <w:rFonts w:ascii="黑体" w:eastAsia="黑体" w:hAnsi="黑体"/>
          <w:sz w:val="32"/>
          <w:szCs w:val="32"/>
        </w:rPr>
        <w:t>或以上重点文物保护单位</w:t>
      </w:r>
    </w:p>
    <w:p w:rsidR="001950F6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包括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以下单位：</w:t>
      </w:r>
    </w:p>
    <w:p w:rsidR="001950F6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---中华人民共和国国务院核定公布的国家级重点文物保护单位。</w:t>
      </w:r>
    </w:p>
    <w:p w:rsidR="001950F6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----省级人民政府核定公布的省级重点文物保护单位。</w:t>
      </w:r>
    </w:p>
    <w:p w:rsidR="001950F6" w:rsidRPr="00A04359" w:rsidRDefault="001950F6" w:rsidP="001A1C67">
      <w:pPr>
        <w:adjustRightInd w:val="0"/>
        <w:snapToGrid w:val="0"/>
        <w:spacing w:line="560" w:lineRule="exact"/>
        <w:rPr>
          <w:rFonts w:ascii="黑体" w:eastAsia="黑体" w:hAnsi="黑体" w:cs="Arial"/>
          <w:color w:val="333333"/>
          <w:sz w:val="32"/>
          <w:szCs w:val="32"/>
          <w:shd w:val="clear" w:color="auto" w:fill="FFFFFF"/>
        </w:rPr>
      </w:pPr>
      <w:r w:rsidRPr="00A04359">
        <w:rPr>
          <w:rFonts w:ascii="黑体" w:eastAsia="黑体" w:hAnsi="黑体"/>
          <w:sz w:val="32"/>
          <w:szCs w:val="32"/>
        </w:rPr>
        <w:lastRenderedPageBreak/>
        <w:t>6</w:t>
      </w:r>
      <w:r w:rsidRPr="00A04359">
        <w:rPr>
          <w:rFonts w:ascii="黑体" w:eastAsia="黑体" w:hAnsi="黑体" w:hint="eastAsia"/>
          <w:sz w:val="32"/>
          <w:szCs w:val="32"/>
        </w:rPr>
        <w:t>、</w:t>
      </w:r>
      <w:r w:rsidRPr="00A04359">
        <w:rPr>
          <w:rFonts w:ascii="黑体" w:eastAsia="黑体" w:hAnsi="黑体"/>
          <w:sz w:val="32"/>
          <w:szCs w:val="32"/>
        </w:rPr>
        <w:t>从事大型生产、大型制造业</w:t>
      </w:r>
      <w:r w:rsidRPr="00A04359">
        <w:rPr>
          <w:rFonts w:ascii="黑体" w:eastAsia="黑体" w:hAnsi="黑体" w:hint="eastAsia"/>
          <w:sz w:val="32"/>
          <w:szCs w:val="32"/>
        </w:rPr>
        <w:t>的</w:t>
      </w:r>
      <w:r w:rsidRPr="00A04359">
        <w:rPr>
          <w:rFonts w:ascii="黑体" w:eastAsia="黑体" w:hAnsi="黑体"/>
          <w:sz w:val="32"/>
          <w:szCs w:val="32"/>
        </w:rPr>
        <w:t>单位和劳动密集型企业</w:t>
      </w:r>
    </w:p>
    <w:p w:rsidR="001950F6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包括以下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单位：</w:t>
      </w:r>
    </w:p>
    <w:p w:rsidR="001950F6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-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---同一时间同一建筑生产车间员工数在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300人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及以上的服装、鞋帽、玩具、木制品、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家具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、塑料、食品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加工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和纺织、印刷、印染、电子等劳动密集型企业。</w:t>
      </w:r>
    </w:p>
    <w:p w:rsidR="001950F6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----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固定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资产总额在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4亿元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以上的电子、汽车等企业。</w:t>
      </w:r>
    </w:p>
    <w:p w:rsidR="001950F6" w:rsidRPr="00A04359" w:rsidRDefault="001950F6" w:rsidP="001A1C67">
      <w:pPr>
        <w:adjustRightInd w:val="0"/>
        <w:snapToGrid w:val="0"/>
        <w:spacing w:line="560" w:lineRule="exact"/>
        <w:rPr>
          <w:rFonts w:ascii="黑体" w:eastAsia="黑体" w:hAnsi="黑体"/>
          <w:sz w:val="32"/>
          <w:szCs w:val="32"/>
        </w:rPr>
      </w:pPr>
      <w:r w:rsidRPr="00A04359">
        <w:rPr>
          <w:rFonts w:ascii="黑体" w:eastAsia="黑体" w:hAnsi="黑体"/>
          <w:sz w:val="32"/>
          <w:szCs w:val="32"/>
        </w:rPr>
        <w:t>7</w:t>
      </w:r>
      <w:r w:rsidRPr="00A04359">
        <w:rPr>
          <w:rFonts w:ascii="黑体" w:eastAsia="黑体" w:hAnsi="黑体" w:hint="eastAsia"/>
          <w:sz w:val="32"/>
          <w:szCs w:val="32"/>
        </w:rPr>
        <w:t>、地下建筑</w:t>
      </w:r>
      <w:r w:rsidRPr="00A04359">
        <w:rPr>
          <w:rFonts w:ascii="黑体" w:eastAsia="黑体" w:hAnsi="黑体"/>
          <w:sz w:val="32"/>
          <w:szCs w:val="32"/>
        </w:rPr>
        <w:t>、重要物资仓库和堆场</w:t>
      </w:r>
    </w:p>
    <w:p w:rsidR="001950F6" w:rsidRPr="00A23158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000000" w:themeColor="text1"/>
          <w:sz w:val="32"/>
          <w:szCs w:val="32"/>
          <w:shd w:val="clear" w:color="auto" w:fill="FFFFFF"/>
        </w:rPr>
      </w:pPr>
      <w:r w:rsidRPr="00A23158">
        <w:rPr>
          <w:rFonts w:ascii="仿宋_GB2312" w:eastAsia="仿宋_GB2312" w:hAnsi="Arial" w:cs="Arial" w:hint="eastAsia"/>
          <w:color w:val="000000" w:themeColor="text1"/>
          <w:sz w:val="32"/>
          <w:szCs w:val="32"/>
          <w:shd w:val="clear" w:color="auto" w:fill="FFFFFF"/>
        </w:rPr>
        <w:t>包括以下单位：</w:t>
      </w:r>
    </w:p>
    <w:p w:rsidR="001950F6" w:rsidRPr="00A23158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000000" w:themeColor="text1"/>
          <w:sz w:val="32"/>
          <w:szCs w:val="32"/>
          <w:shd w:val="clear" w:color="auto" w:fill="FFFFFF"/>
        </w:rPr>
      </w:pPr>
      <w:r w:rsidRPr="00A23158">
        <w:rPr>
          <w:rFonts w:ascii="仿宋_GB2312" w:eastAsia="仿宋_GB2312" w:hAnsi="Arial" w:cs="Arial" w:hint="eastAsia"/>
          <w:color w:val="000000" w:themeColor="text1"/>
          <w:sz w:val="32"/>
          <w:szCs w:val="32"/>
          <w:shd w:val="clear" w:color="auto" w:fill="FFFFFF"/>
        </w:rPr>
        <w:t>----地下商场等地下公共建筑；车位在50个及以上的地下车库。</w:t>
      </w:r>
    </w:p>
    <w:p w:rsidR="001950F6" w:rsidRPr="00A23158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000000" w:themeColor="text1"/>
          <w:sz w:val="32"/>
          <w:szCs w:val="32"/>
          <w:shd w:val="clear" w:color="auto" w:fill="FFFFFF"/>
        </w:rPr>
      </w:pPr>
      <w:r w:rsidRPr="00A23158">
        <w:rPr>
          <w:rFonts w:ascii="仿宋_GB2312" w:eastAsia="仿宋_GB2312" w:hAnsi="Arial" w:cs="Arial" w:hint="eastAsia"/>
          <w:color w:val="000000" w:themeColor="text1"/>
          <w:sz w:val="32"/>
          <w:szCs w:val="32"/>
          <w:shd w:val="clear" w:color="auto" w:fill="FFFFFF"/>
        </w:rPr>
        <w:t>----国家储备粮库、总储量在10000</w:t>
      </w:r>
      <w:r w:rsidR="00A04359" w:rsidRPr="00A23158">
        <w:rPr>
          <w:rFonts w:ascii="仿宋_GB2312" w:eastAsia="仿宋_GB2312" w:hAnsi="Arial" w:cs="Arial" w:hint="eastAsia"/>
          <w:color w:val="000000" w:themeColor="text1"/>
          <w:sz w:val="32"/>
          <w:szCs w:val="32"/>
          <w:shd w:val="clear" w:color="auto" w:fill="FFFFFF"/>
        </w:rPr>
        <w:t>t</w:t>
      </w:r>
      <w:r w:rsidRPr="00A23158">
        <w:rPr>
          <w:rFonts w:ascii="仿宋_GB2312" w:eastAsia="仿宋_GB2312" w:hAnsi="Arial" w:cs="Arial" w:hint="eastAsia"/>
          <w:color w:val="000000" w:themeColor="text1"/>
          <w:sz w:val="32"/>
          <w:szCs w:val="32"/>
          <w:shd w:val="clear" w:color="auto" w:fill="FFFFFF"/>
        </w:rPr>
        <w:t>及以上的其他粮库。</w:t>
      </w:r>
    </w:p>
    <w:p w:rsidR="001950F6" w:rsidRPr="00A23158" w:rsidRDefault="001950F6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000000" w:themeColor="text1"/>
          <w:sz w:val="32"/>
          <w:szCs w:val="32"/>
          <w:shd w:val="clear" w:color="auto" w:fill="FFFFFF"/>
        </w:rPr>
      </w:pPr>
      <w:r w:rsidRPr="00A23158">
        <w:rPr>
          <w:rFonts w:ascii="仿宋_GB2312" w:eastAsia="仿宋_GB2312" w:hAnsi="Arial" w:cs="Arial" w:hint="eastAsia"/>
          <w:color w:val="000000" w:themeColor="text1"/>
          <w:sz w:val="32"/>
          <w:szCs w:val="32"/>
          <w:shd w:val="clear" w:color="auto" w:fill="FFFFFF"/>
        </w:rPr>
        <w:t>----</w:t>
      </w:r>
      <w:r w:rsidR="00A04359" w:rsidRPr="00A23158">
        <w:rPr>
          <w:rFonts w:ascii="仿宋_GB2312" w:eastAsia="仿宋_GB2312" w:hAnsi="Arial" w:cs="Arial" w:hint="eastAsia"/>
          <w:color w:val="000000" w:themeColor="text1"/>
          <w:sz w:val="32"/>
          <w:szCs w:val="32"/>
          <w:shd w:val="clear" w:color="auto" w:fill="FFFFFF"/>
        </w:rPr>
        <w:t>总储量在500t及以上的棉库。</w:t>
      </w:r>
    </w:p>
    <w:p w:rsidR="0071181A" w:rsidRPr="00A23158" w:rsidRDefault="00A04359" w:rsidP="001A1C6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color w:val="000000" w:themeColor="text1"/>
          <w:sz w:val="32"/>
          <w:szCs w:val="32"/>
          <w:shd w:val="clear" w:color="auto" w:fill="FFFFFF"/>
        </w:rPr>
      </w:pPr>
      <w:r w:rsidRPr="00A23158">
        <w:rPr>
          <w:rFonts w:ascii="仿宋_GB2312" w:eastAsia="仿宋_GB2312" w:hAnsi="Arial" w:cs="Arial" w:hint="eastAsia"/>
          <w:color w:val="000000" w:themeColor="text1"/>
          <w:sz w:val="32"/>
          <w:szCs w:val="32"/>
          <w:shd w:val="clear" w:color="auto" w:fill="FFFFFF"/>
        </w:rPr>
        <w:t>----总储量在10000</w:t>
      </w:r>
      <w:r w:rsidRPr="00A23158">
        <w:rPr>
          <w:rFonts w:ascii="仿宋_GB2312" w:eastAsia="仿宋_GB2312" w:hint="eastAsia"/>
          <w:color w:val="000000" w:themeColor="text1"/>
          <w:sz w:val="32"/>
          <w:szCs w:val="32"/>
        </w:rPr>
        <w:t xml:space="preserve"> m</w:t>
      </w:r>
      <w:r w:rsidRPr="00A23158">
        <w:rPr>
          <w:rFonts w:ascii="Calibri" w:eastAsia="仿宋_GB2312" w:hAnsi="Calibri" w:cs="Calibri"/>
          <w:color w:val="000000" w:themeColor="text1"/>
          <w:sz w:val="32"/>
          <w:szCs w:val="32"/>
        </w:rPr>
        <w:t>³</w:t>
      </w:r>
      <w:r w:rsidRPr="00A23158">
        <w:rPr>
          <w:rFonts w:ascii="仿宋_GB2312" w:eastAsia="仿宋_GB2312" w:hAnsi="Calibri" w:cs="Calibri" w:hint="eastAsia"/>
          <w:color w:val="000000" w:themeColor="text1"/>
          <w:sz w:val="32"/>
          <w:szCs w:val="32"/>
        </w:rPr>
        <w:t>及以上的木材堆场。</w:t>
      </w:r>
    </w:p>
    <w:sectPr w:rsidR="0071181A" w:rsidRPr="00A23158" w:rsidSect="00A0435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6F9" w:rsidRDefault="00B966F9" w:rsidP="001A1C67">
      <w:r>
        <w:separator/>
      </w:r>
    </w:p>
  </w:endnote>
  <w:endnote w:type="continuationSeparator" w:id="0">
    <w:p w:rsidR="00B966F9" w:rsidRDefault="00B966F9" w:rsidP="001A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6F9" w:rsidRDefault="00B966F9" w:rsidP="001A1C67">
      <w:r>
        <w:separator/>
      </w:r>
    </w:p>
  </w:footnote>
  <w:footnote w:type="continuationSeparator" w:id="0">
    <w:p w:rsidR="00B966F9" w:rsidRDefault="00B966F9" w:rsidP="001A1C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B27"/>
    <w:rsid w:val="00072E41"/>
    <w:rsid w:val="000964BC"/>
    <w:rsid w:val="000C610E"/>
    <w:rsid w:val="00127A31"/>
    <w:rsid w:val="001950F6"/>
    <w:rsid w:val="001A1C67"/>
    <w:rsid w:val="00290555"/>
    <w:rsid w:val="002D0E79"/>
    <w:rsid w:val="002E2ADB"/>
    <w:rsid w:val="005904CA"/>
    <w:rsid w:val="0071181A"/>
    <w:rsid w:val="00717A66"/>
    <w:rsid w:val="007F7E6B"/>
    <w:rsid w:val="00A04359"/>
    <w:rsid w:val="00A23158"/>
    <w:rsid w:val="00A7590C"/>
    <w:rsid w:val="00AC2A29"/>
    <w:rsid w:val="00B451BA"/>
    <w:rsid w:val="00B966F9"/>
    <w:rsid w:val="00BC356A"/>
    <w:rsid w:val="00C31B27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3A46C3"/>
  <w15:chartTrackingRefBased/>
  <w15:docId w15:val="{BB419697-7B74-433B-B77D-EA60431B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7590C"/>
    <w:rPr>
      <w:i/>
      <w:iCs/>
    </w:rPr>
  </w:style>
  <w:style w:type="paragraph" w:styleId="a4">
    <w:name w:val="header"/>
    <w:basedOn w:val="a"/>
    <w:link w:val="a5"/>
    <w:uiPriority w:val="99"/>
    <w:unhideWhenUsed/>
    <w:rsid w:val="001A1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A1C6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A1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A1C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 NULL</dc:creator>
  <cp:keywords/>
  <dc:description/>
  <cp:lastModifiedBy>NOT NULL</cp:lastModifiedBy>
  <cp:revision>49</cp:revision>
  <dcterms:created xsi:type="dcterms:W3CDTF">2020-03-06T06:38:00Z</dcterms:created>
  <dcterms:modified xsi:type="dcterms:W3CDTF">2020-03-25T01:16:00Z</dcterms:modified>
</cp:coreProperties>
</file>