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p>
    <w:p>
      <w:pPr>
        <w:jc w:val="center"/>
        <w:rPr>
          <w:rFonts w:ascii="方正小标宋简体" w:eastAsia="方正小标宋简体"/>
          <w:sz w:val="44"/>
          <w:szCs w:val="44"/>
        </w:rPr>
      </w:pPr>
      <w:r>
        <w:rPr>
          <w:rFonts w:hint="eastAsia" w:ascii="方正小标宋简体" w:eastAsia="方正小标宋简体"/>
          <w:sz w:val="44"/>
          <w:szCs w:val="44"/>
        </w:rPr>
        <w:t>廊坊市发展和改革委员会</w:t>
      </w:r>
    </w:p>
    <w:p>
      <w:pPr>
        <w:jc w:val="center"/>
        <w:rPr>
          <w:rFonts w:ascii="方正小标宋简体" w:eastAsia="方正小标宋简体"/>
          <w:sz w:val="44"/>
          <w:szCs w:val="44"/>
        </w:rPr>
      </w:pPr>
      <w:r>
        <w:rPr>
          <w:rFonts w:hint="eastAsia" w:ascii="方正小标宋简体" w:eastAsia="方正小标宋简体"/>
          <w:sz w:val="44"/>
          <w:szCs w:val="44"/>
        </w:rPr>
        <w:t>关于聘请第三方安全专业机构开展电力设施</w:t>
      </w:r>
    </w:p>
    <w:p>
      <w:pPr>
        <w:jc w:val="center"/>
        <w:rPr>
          <w:rFonts w:ascii="方正小标宋简体" w:eastAsia="方正小标宋简体"/>
          <w:sz w:val="44"/>
          <w:szCs w:val="44"/>
        </w:rPr>
      </w:pPr>
      <w:r>
        <w:rPr>
          <w:rFonts w:hint="eastAsia" w:ascii="方正小标宋简体" w:eastAsia="方正小标宋简体"/>
          <w:sz w:val="44"/>
          <w:szCs w:val="44"/>
        </w:rPr>
        <w:t>安全检查项目询价的公告</w:t>
      </w:r>
    </w:p>
    <w:p>
      <w:pPr>
        <w:spacing w:line="560" w:lineRule="exact"/>
      </w:pPr>
    </w:p>
    <w:p>
      <w:pPr>
        <w:widowControl w:val="0"/>
        <w:spacing w:line="540" w:lineRule="exact"/>
        <w:ind w:firstLine="640" w:firstLineChars="200"/>
      </w:pPr>
      <w:r>
        <w:rPr>
          <w:rFonts w:hint="eastAsia"/>
        </w:rPr>
        <w:t>为更好地履行我委电力设施保护监管职责，进一步提高安全生产管理水平，强化隐患排查整改，确保全市电力设施安全平稳运行，经我委研究，拟委托第三方专业机构开展电力设施安全检查工作。相关事项公告如下：</w:t>
      </w:r>
    </w:p>
    <w:p>
      <w:pPr>
        <w:widowControl w:val="0"/>
        <w:tabs>
          <w:tab w:val="left" w:pos="3975"/>
        </w:tabs>
        <w:spacing w:line="540" w:lineRule="exact"/>
        <w:ind w:firstLine="640" w:firstLineChars="200"/>
        <w:rPr>
          <w:rFonts w:ascii="黑体" w:hAnsi="黑体" w:eastAsia="黑体"/>
        </w:rPr>
      </w:pPr>
      <w:r>
        <w:rPr>
          <w:rFonts w:hint="eastAsia" w:ascii="黑体" w:hAnsi="黑体" w:eastAsia="黑体"/>
        </w:rPr>
        <w:t>一、采购事项</w:t>
      </w:r>
      <w:r>
        <w:rPr>
          <w:rFonts w:ascii="黑体" w:hAnsi="黑体" w:eastAsia="黑体"/>
        </w:rPr>
        <w:tab/>
      </w:r>
    </w:p>
    <w:p>
      <w:pPr>
        <w:widowControl w:val="0"/>
        <w:spacing w:line="540" w:lineRule="exact"/>
        <w:ind w:firstLine="642" w:firstLineChars="200"/>
      </w:pPr>
      <w:r>
        <w:rPr>
          <w:rFonts w:hint="eastAsia" w:ascii="楷体_GB2312" w:hAnsi="楷体_GB2312" w:eastAsia="楷体_GB2312" w:cs="楷体_GB2312"/>
          <w:b/>
          <w:bCs/>
        </w:rPr>
        <w:t>（一）项目名称：</w:t>
      </w:r>
      <w:r>
        <w:rPr>
          <w:rFonts w:hint="eastAsia"/>
        </w:rPr>
        <w:t>2024年电力设施安全检查</w:t>
      </w:r>
    </w:p>
    <w:p>
      <w:pPr>
        <w:widowControl w:val="0"/>
        <w:spacing w:line="540" w:lineRule="exact"/>
        <w:ind w:firstLine="642" w:firstLineChars="200"/>
      </w:pPr>
      <w:r>
        <w:rPr>
          <w:rFonts w:hint="eastAsia" w:ascii="楷体_GB2312" w:hAnsi="楷体_GB2312" w:eastAsia="楷体_GB2312" w:cs="楷体_GB2312"/>
          <w:b/>
          <w:bCs/>
        </w:rPr>
        <w:t>（二）项目需求：</w:t>
      </w:r>
      <w:r>
        <w:rPr>
          <w:rFonts w:hint="eastAsia"/>
        </w:rPr>
        <w:t>在合同期内对全市电力设施进行两次检查，对检查中发现的重大安全隐患和一般安全隐患问题分级进行安全风险评估分析（重大安全隐患要立即报告），并提出整改指导意见。具体内容：</w:t>
      </w:r>
    </w:p>
    <w:p>
      <w:pPr>
        <w:widowControl w:val="0"/>
        <w:spacing w:line="540" w:lineRule="exact"/>
        <w:ind w:firstLine="640" w:firstLineChars="200"/>
      </w:pPr>
      <w:r>
        <w:rPr>
          <w:rFonts w:hint="eastAsia"/>
        </w:rPr>
        <w:t>1、高、低压电网输电线路保护区内安全检查(检查比例不低于全市高、低压线路数量的20%)。重点对电力设施保护区内违章作业、违章植树、违章建筑等威胁电网运行安全的隐患进行排查。</w:t>
      </w:r>
    </w:p>
    <w:p>
      <w:pPr>
        <w:widowControl w:val="0"/>
        <w:spacing w:line="540" w:lineRule="exact"/>
        <w:ind w:firstLine="640" w:firstLineChars="200"/>
      </w:pPr>
      <w:r>
        <w:rPr>
          <w:rFonts w:hint="eastAsia"/>
        </w:rPr>
        <w:t>2、高压变电站、开闭站、低压供电网络的安全检查（检查比例不低于全市变电站数量的10%）。</w:t>
      </w:r>
    </w:p>
    <w:p>
      <w:pPr>
        <w:widowControl w:val="0"/>
        <w:spacing w:line="540" w:lineRule="exact"/>
        <w:ind w:firstLine="640" w:firstLineChars="200"/>
      </w:pPr>
      <w:r>
        <w:rPr>
          <w:rFonts w:hint="eastAsia"/>
        </w:rPr>
        <w:t>3、高、低压配电系统(包括室外变压器、农村电网低改、电代煤户表以上低压供电系统)安全检查（检查比例不低于电代煤村街的10%）。</w:t>
      </w:r>
    </w:p>
    <w:p>
      <w:pPr>
        <w:widowControl w:val="0"/>
        <w:spacing w:line="540" w:lineRule="exact"/>
        <w:ind w:firstLine="640" w:firstLineChars="200"/>
      </w:pPr>
      <w:r>
        <w:rPr>
          <w:rFonts w:hint="eastAsia"/>
        </w:rPr>
        <w:t>4、第三方专业机构</w:t>
      </w:r>
      <w:r>
        <w:rPr>
          <w:rFonts w:hint="eastAsia"/>
          <w:lang w:eastAsia="zh-CN"/>
        </w:rPr>
        <w:t>在本年度第一次检查中要按照合同约定的内容进行检查，同时对上一年度检查发现的问题整改情况进行验收；在第二次检查中要对第一次检查的隐患问题整改情况开展“回头看”，并将两次检查结果出具整改情况报告。</w:t>
      </w:r>
    </w:p>
    <w:p>
      <w:pPr>
        <w:widowControl w:val="0"/>
        <w:spacing w:line="540" w:lineRule="exact"/>
        <w:ind w:firstLine="642" w:firstLineChars="200"/>
      </w:pPr>
      <w:r>
        <w:rPr>
          <w:rFonts w:hint="eastAsia" w:ascii="楷体_GB2312" w:hAnsi="楷体_GB2312" w:eastAsia="楷体_GB2312" w:cs="楷体_GB2312"/>
          <w:b/>
          <w:bCs/>
        </w:rPr>
        <w:t>（三）预算资金：</w:t>
      </w:r>
      <w:r>
        <w:rPr>
          <w:rFonts w:hint="eastAsia"/>
        </w:rPr>
        <w:t>人民币200000.00元（人民币贰拾万元整）（报价超出预算金额视为无效报价）</w:t>
      </w:r>
    </w:p>
    <w:p>
      <w:pPr>
        <w:widowControl w:val="0"/>
        <w:spacing w:line="540" w:lineRule="exact"/>
        <w:ind w:firstLine="642" w:firstLineChars="200"/>
      </w:pPr>
      <w:r>
        <w:rPr>
          <w:rFonts w:hint="eastAsia" w:ascii="楷体_GB2312" w:hAnsi="楷体_GB2312" w:eastAsia="楷体_GB2312" w:cs="楷体_GB2312"/>
          <w:b/>
          <w:bCs/>
        </w:rPr>
        <w:t>（四）服务期限：</w:t>
      </w:r>
      <w:r>
        <w:rPr>
          <w:rFonts w:hint="eastAsia"/>
        </w:rPr>
        <w:t>自合同签订之日起至2024年12月31日。</w:t>
      </w:r>
    </w:p>
    <w:p>
      <w:pPr>
        <w:widowControl w:val="0"/>
        <w:spacing w:line="540" w:lineRule="exact"/>
        <w:ind w:firstLine="640" w:firstLineChars="200"/>
        <w:rPr>
          <w:rFonts w:ascii="黑体" w:hAnsi="黑体" w:eastAsia="黑体"/>
        </w:rPr>
      </w:pPr>
      <w:r>
        <w:rPr>
          <w:rFonts w:hint="eastAsia" w:ascii="黑体" w:hAnsi="黑体" w:eastAsia="黑体"/>
        </w:rPr>
        <w:t>二、资格要求</w:t>
      </w:r>
    </w:p>
    <w:p>
      <w:pPr>
        <w:widowControl w:val="0"/>
        <w:spacing w:line="540" w:lineRule="exact"/>
        <w:ind w:left="640" w:leftChars="200"/>
      </w:pPr>
      <w:r>
        <w:rPr>
          <w:rFonts w:hint="eastAsia"/>
        </w:rPr>
        <w:t>（一）满足《中华人民共和国政府采购法》第二十二条规定。</w:t>
      </w:r>
    </w:p>
    <w:p>
      <w:pPr>
        <w:widowControl w:val="0"/>
        <w:spacing w:line="540" w:lineRule="exact"/>
        <w:ind w:firstLine="640" w:firstLineChars="200"/>
      </w:pPr>
      <w:r>
        <w:rPr>
          <w:rFonts w:hint="eastAsia"/>
        </w:rPr>
        <w:t>（二）投标人应为在中华人民共和国境内依法注册并依法纳税的安全工程师事务所，具有独立的法人资格或具有独立承担民事责任能力，具有履行合同所必需的设备和专业技术能力。不接受联合体投标和个人投标。</w:t>
      </w:r>
    </w:p>
    <w:p>
      <w:pPr>
        <w:widowControl w:val="0"/>
        <w:spacing w:line="540" w:lineRule="exact"/>
        <w:ind w:firstLine="640" w:firstLineChars="200"/>
      </w:pPr>
      <w:r>
        <w:rPr>
          <w:rFonts w:hint="eastAsia"/>
        </w:rPr>
        <w:t>（三）近三年以来无重大违法行为记录。</w:t>
      </w:r>
    </w:p>
    <w:p>
      <w:pPr>
        <w:widowControl w:val="0"/>
        <w:spacing w:line="540" w:lineRule="exact"/>
        <w:ind w:firstLine="640" w:firstLineChars="200"/>
        <w:rPr>
          <w:rFonts w:ascii="黑体" w:hAnsi="黑体" w:eastAsia="黑体"/>
        </w:rPr>
      </w:pPr>
      <w:r>
        <w:rPr>
          <w:rFonts w:hint="eastAsia" w:ascii="黑体" w:hAnsi="黑体" w:eastAsia="黑体"/>
        </w:rPr>
        <w:t>三、投标要求</w:t>
      </w:r>
    </w:p>
    <w:p>
      <w:pPr>
        <w:widowControl w:val="0"/>
        <w:spacing w:line="540" w:lineRule="exact"/>
        <w:ind w:firstLine="642" w:firstLineChars="200"/>
      </w:pPr>
      <w:r>
        <w:rPr>
          <w:rFonts w:hint="eastAsia" w:ascii="楷体_GB2312" w:hAnsi="楷体_GB2312" w:eastAsia="楷体_GB2312" w:cs="楷体_GB2312"/>
          <w:b/>
          <w:bCs/>
        </w:rPr>
        <w:t>（一）时限要求：</w:t>
      </w:r>
      <w:r>
        <w:rPr>
          <w:rFonts w:hint="eastAsia"/>
        </w:rPr>
        <w:t>报价人应在询价公告明确时限内，按照要求提交报价材料，超期视为无效报价。</w:t>
      </w:r>
    </w:p>
    <w:p>
      <w:pPr>
        <w:widowControl w:val="0"/>
        <w:spacing w:line="540" w:lineRule="exact"/>
        <w:ind w:firstLine="640" w:firstLineChars="200"/>
      </w:pPr>
      <w:r>
        <w:rPr>
          <w:rFonts w:hint="eastAsia"/>
        </w:rPr>
        <w:t>截止时间：2024年4月</w:t>
      </w:r>
      <w:r>
        <w:rPr>
          <w:rFonts w:hint="eastAsia"/>
          <w:lang w:val="en-US" w:eastAsia="zh-CN"/>
        </w:rPr>
        <w:t>9</w:t>
      </w:r>
      <w:r>
        <w:rPr>
          <w:rFonts w:hint="eastAsia"/>
        </w:rPr>
        <w:t>日17：30</w:t>
      </w:r>
    </w:p>
    <w:p>
      <w:pPr>
        <w:widowControl w:val="0"/>
        <w:spacing w:line="540" w:lineRule="exact"/>
        <w:ind w:firstLine="640" w:firstLineChars="200"/>
      </w:pPr>
      <w:r>
        <w:rPr>
          <w:rFonts w:hint="eastAsia"/>
        </w:rPr>
        <w:t>报送地址：廊坊市发展和改革委员会135室</w:t>
      </w:r>
    </w:p>
    <w:p>
      <w:pPr>
        <w:widowControl w:val="0"/>
        <w:spacing w:line="540" w:lineRule="exact"/>
        <w:ind w:firstLine="642" w:firstLineChars="200"/>
      </w:pPr>
      <w:r>
        <w:rPr>
          <w:rFonts w:hint="eastAsia" w:ascii="楷体_GB2312" w:hAnsi="楷体_GB2312" w:eastAsia="楷体_GB2312" w:cs="楷体_GB2312"/>
          <w:b/>
          <w:bCs/>
        </w:rPr>
        <w:t>（二）提供材料：</w:t>
      </w:r>
      <w:r>
        <w:rPr>
          <w:rFonts w:hint="eastAsia"/>
        </w:rPr>
        <w:t>①报价函（详见附件1）；②营业执照、法人身份证复印件；③项目负责人及参与检查的专家身份信息、资质证明（人数不得少于3人）；④受委托者到场需提供法定代表人授权委托书、委托人身份证原件；</w:t>
      </w:r>
      <w:r>
        <w:rPr>
          <w:rFonts w:hint="eastAsia" w:ascii="仿宋_GB2312" w:hAnsi="仿宋_GB2312" w:cs="仿宋_GB2312"/>
        </w:rPr>
        <w:t>⑤</w:t>
      </w:r>
      <w:r>
        <w:rPr>
          <w:rFonts w:hint="eastAsia"/>
        </w:rPr>
        <w:t>近三年以来无重大违法行为记录承诺函。</w:t>
      </w:r>
    </w:p>
    <w:p>
      <w:pPr>
        <w:widowControl w:val="0"/>
        <w:spacing w:line="540" w:lineRule="exact"/>
        <w:ind w:firstLine="640" w:firstLineChars="200"/>
      </w:pPr>
      <w:r>
        <w:rPr>
          <w:rFonts w:hint="eastAsia"/>
        </w:rPr>
        <w:t>以上资料提交纸质版三份，须加盖法人公章和法定代表人印章，参与报价的单位须保证提交材料真实、完整、有效，如报价人未按照以上要求递交报价文件，我单位将视同无效报价。</w:t>
      </w:r>
    </w:p>
    <w:p>
      <w:pPr>
        <w:widowControl w:val="0"/>
        <w:spacing w:line="540" w:lineRule="exact"/>
        <w:ind w:firstLine="640" w:firstLineChars="200"/>
        <w:rPr>
          <w:rFonts w:ascii="黑体" w:hAnsi="黑体" w:eastAsia="黑体" w:cs="黑体"/>
        </w:rPr>
      </w:pPr>
      <w:r>
        <w:rPr>
          <w:rFonts w:hint="eastAsia" w:ascii="黑体" w:hAnsi="黑体" w:eastAsia="黑体" w:cs="黑体"/>
        </w:rPr>
        <w:t>四、比选评分</w:t>
      </w:r>
    </w:p>
    <w:p>
      <w:pPr>
        <w:widowControl w:val="0"/>
        <w:spacing w:line="540" w:lineRule="exact"/>
        <w:ind w:firstLine="640" w:firstLineChars="200"/>
      </w:pPr>
      <w:r>
        <w:rPr>
          <w:rFonts w:hint="eastAsia"/>
        </w:rPr>
        <w:t>市发改委将在公告截止日起3个工作日内，通知有效报价供应商，组织召开比选会议，并将比选结果于当日通知各报价单位。</w:t>
      </w:r>
    </w:p>
    <w:p>
      <w:pPr>
        <w:widowControl w:val="0"/>
        <w:spacing w:line="540" w:lineRule="exact"/>
        <w:ind w:firstLine="640" w:firstLineChars="200"/>
      </w:pPr>
      <w:r>
        <w:rPr>
          <w:rFonts w:hint="eastAsia"/>
        </w:rPr>
        <w:t>评分标准：评分满分为100分，有3个评分子项，具体说明如下：</w:t>
      </w:r>
    </w:p>
    <w:p>
      <w:pPr>
        <w:widowControl w:val="0"/>
        <w:spacing w:line="540" w:lineRule="exact"/>
        <w:ind w:firstLine="642" w:firstLineChars="200"/>
        <w:rPr>
          <w:rFonts w:hint="eastAsia"/>
        </w:rPr>
      </w:pPr>
      <w:r>
        <w:rPr>
          <w:rFonts w:hint="eastAsia" w:ascii="楷体_GB2312" w:hAnsi="楷体_GB2312" w:eastAsia="楷体_GB2312" w:cs="楷体_GB2312"/>
          <w:b/>
          <w:bCs/>
        </w:rPr>
        <w:t>（一）报价得分，权重20分。</w:t>
      </w:r>
      <w:r>
        <w:rPr>
          <w:rFonts w:hint="eastAsia"/>
        </w:rPr>
        <w:t>低于预算金额的报价为有效报价，所有有效报价的算数平均值为评标基准价；报价等于评标基准价的得20分，</w:t>
      </w:r>
      <w:r>
        <w:rPr>
          <w:rFonts w:hint="eastAsia"/>
          <w:lang w:eastAsia="zh-CN"/>
        </w:rPr>
        <w:t>每高于评标基准价</w:t>
      </w:r>
      <w:r>
        <w:rPr>
          <w:rFonts w:hint="eastAsia"/>
          <w:lang w:val="en-US" w:eastAsia="zh-CN"/>
        </w:rPr>
        <w:t>500元减0.5分，每低于评标基准价500元减0.5分。（不足500元按照500元计分，超过500元不足1000元按照1000元计分，以此类推）</w:t>
      </w:r>
    </w:p>
    <w:p>
      <w:pPr>
        <w:widowControl w:val="0"/>
        <w:spacing w:line="540" w:lineRule="exact"/>
        <w:ind w:firstLine="642" w:firstLineChars="200"/>
      </w:pPr>
      <w:r>
        <w:rPr>
          <w:rFonts w:hint="eastAsia" w:ascii="楷体_GB2312" w:hAnsi="楷体_GB2312" w:eastAsia="楷体_GB2312" w:cs="楷体_GB2312"/>
          <w:b/>
          <w:bCs/>
        </w:rPr>
        <w:t>（二）资质实力，权重50分。</w:t>
      </w:r>
      <w:r>
        <w:rPr>
          <w:rFonts w:hint="eastAsia"/>
        </w:rPr>
        <w:t>根据参加比选单位提供的资质证明，针对企业实力、专家数量、职称级别、专业及特长、从业时间等五个方面进行评分。</w:t>
      </w:r>
    </w:p>
    <w:p>
      <w:pPr>
        <w:widowControl w:val="0"/>
        <w:spacing w:line="540" w:lineRule="exact"/>
        <w:ind w:firstLine="642" w:firstLineChars="200"/>
      </w:pPr>
      <w:r>
        <w:rPr>
          <w:rFonts w:hint="eastAsia" w:ascii="楷体_GB2312" w:hAnsi="楷体_GB2312" w:eastAsia="楷体_GB2312" w:cs="楷体_GB2312"/>
          <w:b/>
          <w:bCs/>
        </w:rPr>
        <w:t>（三）服务方案得分，权重30分。</w:t>
      </w:r>
      <w:r>
        <w:rPr>
          <w:rFonts w:hint="eastAsia"/>
        </w:rPr>
        <w:t>根据参比单位申报材料内容评分，综合分析参比单位工作计划安排进行打分。</w:t>
      </w:r>
    </w:p>
    <w:p>
      <w:pPr>
        <w:widowControl w:val="0"/>
        <w:spacing w:line="540" w:lineRule="exact"/>
        <w:ind w:firstLine="640" w:firstLineChars="200"/>
        <w:rPr>
          <w:rFonts w:ascii="黑体" w:hAnsi="黑体" w:eastAsia="黑体" w:cs="黑体"/>
        </w:rPr>
      </w:pPr>
      <w:r>
        <w:rPr>
          <w:rFonts w:hint="eastAsia" w:ascii="黑体" w:hAnsi="黑体" w:eastAsia="黑体" w:cs="黑体"/>
        </w:rPr>
        <w:t>五、联系方式</w:t>
      </w:r>
    </w:p>
    <w:p>
      <w:pPr>
        <w:widowControl w:val="0"/>
        <w:spacing w:line="540" w:lineRule="exact"/>
        <w:ind w:firstLine="640" w:firstLineChars="200"/>
      </w:pPr>
      <w:r>
        <w:rPr>
          <w:rFonts w:hint="eastAsia"/>
        </w:rPr>
        <w:t>询价单位：廊坊市发展和改革委员会</w:t>
      </w:r>
    </w:p>
    <w:p>
      <w:pPr>
        <w:widowControl w:val="0"/>
        <w:spacing w:line="540" w:lineRule="exact"/>
        <w:ind w:firstLine="640" w:firstLineChars="200"/>
      </w:pPr>
      <w:r>
        <w:rPr>
          <w:rFonts w:hint="eastAsia"/>
        </w:rPr>
        <w:t xml:space="preserve">地    址：廊坊市广阳区新华路66号           </w:t>
      </w:r>
    </w:p>
    <w:p>
      <w:pPr>
        <w:widowControl w:val="0"/>
        <w:spacing w:line="540" w:lineRule="exact"/>
        <w:ind w:firstLine="640" w:firstLineChars="200"/>
      </w:pPr>
      <w:r>
        <w:rPr>
          <w:rFonts w:hint="eastAsia"/>
        </w:rPr>
        <w:t xml:space="preserve">联 系 人：李汝滨                </w:t>
      </w:r>
    </w:p>
    <w:p>
      <w:pPr>
        <w:widowControl w:val="0"/>
        <w:spacing w:line="540" w:lineRule="exact"/>
        <w:ind w:firstLine="640" w:firstLineChars="200"/>
        <w:rPr>
          <w:rFonts w:hint="eastAsia"/>
        </w:rPr>
      </w:pPr>
      <w:r>
        <w:rPr>
          <w:rFonts w:hint="eastAsia"/>
        </w:rPr>
        <w:t>联系电话：0316-2316027    15732605512</w:t>
      </w:r>
    </w:p>
    <w:p>
      <w:pPr>
        <w:widowControl w:val="0"/>
        <w:spacing w:line="540" w:lineRule="exact"/>
        <w:ind w:right="640"/>
        <w:jc w:val="right"/>
      </w:pPr>
      <w:r>
        <w:rPr>
          <w:rFonts w:hint="eastAsia"/>
        </w:rPr>
        <w:t>廊坊市发展和改革委员会</w:t>
      </w:r>
    </w:p>
    <w:p>
      <w:pPr>
        <w:widowControl w:val="0"/>
        <w:spacing w:line="540" w:lineRule="exact"/>
        <w:ind w:right="640"/>
        <w:jc w:val="center"/>
        <w:rPr>
          <w:rFonts w:hint="eastAsia" w:ascii="黑体" w:hAnsi="黑体" w:eastAsia="黑体" w:cs="黑体"/>
          <w:sz w:val="28"/>
          <w:szCs w:val="28"/>
        </w:rPr>
      </w:pPr>
      <w:r>
        <w:rPr>
          <w:rFonts w:hint="eastAsia"/>
        </w:rPr>
        <w:t xml:space="preserve">                            2024年4月</w:t>
      </w:r>
      <w:r>
        <w:rPr>
          <w:rFonts w:hint="eastAsia"/>
          <w:lang w:val="en-US" w:eastAsia="zh-CN"/>
        </w:rPr>
        <w:t>7</w:t>
      </w:r>
      <w:r>
        <w:rPr>
          <w:rFonts w:hint="eastAsia"/>
        </w:rPr>
        <w:t>日</w:t>
      </w:r>
    </w:p>
    <w:p>
      <w:pPr>
        <w:widowControl w:val="0"/>
        <w:spacing w:line="540" w:lineRule="exact"/>
        <w:ind w:right="640"/>
        <w:jc w:val="left"/>
        <w:rPr>
          <w:rFonts w:ascii="黑体" w:hAnsi="黑体" w:eastAsia="黑体" w:cs="黑体"/>
          <w:sz w:val="28"/>
          <w:szCs w:val="28"/>
        </w:rPr>
      </w:pPr>
      <w:r>
        <w:rPr>
          <w:rFonts w:hint="eastAsia" w:ascii="黑体" w:hAnsi="黑体" w:eastAsia="黑体" w:cs="黑体"/>
          <w:sz w:val="28"/>
          <w:szCs w:val="28"/>
        </w:rPr>
        <w:t>附件1</w:t>
      </w:r>
    </w:p>
    <w:p>
      <w:pPr>
        <w:widowControl w:val="0"/>
        <w:spacing w:line="540" w:lineRule="exact"/>
        <w:ind w:right="640"/>
        <w:jc w:val="left"/>
      </w:pPr>
    </w:p>
    <w:p>
      <w:pPr>
        <w:widowControl w:val="0"/>
        <w:spacing w:line="5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报价函</w:t>
      </w:r>
    </w:p>
    <w:p>
      <w:pPr>
        <w:widowControl w:val="0"/>
        <w:spacing w:line="540" w:lineRule="exact"/>
        <w:ind w:right="640"/>
        <w:jc w:val="left"/>
      </w:pPr>
    </w:p>
    <w:p>
      <w:pPr>
        <w:widowControl w:val="0"/>
        <w:spacing w:line="540" w:lineRule="exact"/>
        <w:ind w:right="640"/>
        <w:jc w:val="left"/>
      </w:pPr>
      <w:r>
        <w:rPr>
          <w:rFonts w:hint="eastAsia"/>
        </w:rPr>
        <w:t>廊坊市发展和改革委员会：</w:t>
      </w:r>
    </w:p>
    <w:p>
      <w:pPr>
        <w:widowControl w:val="0"/>
        <w:spacing w:line="540" w:lineRule="exact"/>
        <w:ind w:right="640" w:firstLine="640" w:firstLineChars="200"/>
        <w:jc w:val="left"/>
      </w:pPr>
      <w:r>
        <w:rPr>
          <w:rFonts w:hint="eastAsia"/>
        </w:rPr>
        <w:t>我单位就电力设施安全检查项目提交报价文件，并同时自愿遵守下列条款：</w:t>
      </w:r>
    </w:p>
    <w:p>
      <w:pPr>
        <w:widowControl w:val="0"/>
        <w:spacing w:line="540" w:lineRule="exact"/>
        <w:ind w:right="640" w:firstLine="640" w:firstLineChars="200"/>
        <w:jc w:val="left"/>
      </w:pPr>
      <w:r>
        <w:rPr>
          <w:rFonts w:hint="eastAsia"/>
        </w:rPr>
        <w:t>1）承认和愿意按照《关于聘请第三方安全专业机构开展电力设施安全检查项目询价的公告》中各项规定和要求，提供本项目所需服务，所提供的服务完全满足贵方要求。</w:t>
      </w:r>
    </w:p>
    <w:p>
      <w:pPr>
        <w:widowControl w:val="0"/>
        <w:spacing w:line="540" w:lineRule="exact"/>
        <w:ind w:right="640"/>
        <w:jc w:val="left"/>
      </w:pPr>
      <w:r>
        <w:rPr>
          <w:rFonts w:hint="eastAsia"/>
        </w:rPr>
        <w:t>我单位报价为: 人民币（大写）       元整 (小写¥      )。</w:t>
      </w:r>
    </w:p>
    <w:p>
      <w:pPr>
        <w:widowControl w:val="0"/>
        <w:spacing w:line="540" w:lineRule="exact"/>
        <w:ind w:right="640" w:firstLine="640" w:firstLineChars="200"/>
        <w:jc w:val="left"/>
      </w:pPr>
      <w:r>
        <w:rPr>
          <w:rFonts w:hint="eastAsia"/>
        </w:rPr>
        <w:t>服务周期：自合同签</w:t>
      </w:r>
      <w:bookmarkStart w:id="0" w:name="_GoBack"/>
      <w:bookmarkEnd w:id="0"/>
      <w:r>
        <w:rPr>
          <w:rFonts w:hint="eastAsia"/>
        </w:rPr>
        <w:t xml:space="preserve">订之日起至2024年12月31日。 </w:t>
      </w:r>
    </w:p>
    <w:p>
      <w:pPr>
        <w:widowControl w:val="0"/>
        <w:spacing w:line="540" w:lineRule="exact"/>
        <w:ind w:right="640" w:firstLine="640" w:firstLineChars="200"/>
        <w:jc w:val="left"/>
      </w:pPr>
      <w:r>
        <w:rPr>
          <w:rFonts w:hint="eastAsia"/>
        </w:rPr>
        <w:t>2）愿意参考《中华人民共和国合同法》等相关法律法规履行自己的责任和义务。</w:t>
      </w:r>
    </w:p>
    <w:p>
      <w:pPr>
        <w:widowControl w:val="0"/>
        <w:spacing w:line="540" w:lineRule="exact"/>
        <w:ind w:right="640" w:firstLine="640" w:firstLineChars="200"/>
        <w:jc w:val="left"/>
      </w:pPr>
      <w:r>
        <w:rPr>
          <w:rFonts w:hint="eastAsia"/>
        </w:rPr>
        <w:t>3）如果我单位成功中标，我们将履行合同中规定的每一项要求和报价文件中的承诺，按期、按质、按量完成任务。</w:t>
      </w:r>
    </w:p>
    <w:p>
      <w:pPr>
        <w:widowControl w:val="0"/>
        <w:spacing w:line="540" w:lineRule="exact"/>
        <w:ind w:right="640" w:firstLine="640" w:firstLineChars="200"/>
        <w:jc w:val="left"/>
      </w:pPr>
      <w:r>
        <w:rPr>
          <w:rFonts w:hint="eastAsia"/>
        </w:rPr>
        <w:t>4）我们愿意提供采购人在询价函中要求的所有资料。</w:t>
      </w:r>
    </w:p>
    <w:p>
      <w:pPr>
        <w:widowControl w:val="0"/>
        <w:spacing w:line="540" w:lineRule="exact"/>
        <w:ind w:right="640" w:firstLine="640" w:firstLineChars="200"/>
        <w:jc w:val="left"/>
      </w:pPr>
      <w:r>
        <w:rPr>
          <w:rFonts w:hint="eastAsia"/>
        </w:rPr>
        <w:t>5）我方的报价文件有效期为：报价截止后15天。</w:t>
      </w:r>
    </w:p>
    <w:p>
      <w:pPr>
        <w:widowControl w:val="0"/>
        <w:spacing w:line="540" w:lineRule="exact"/>
        <w:ind w:right="640"/>
        <w:jc w:val="left"/>
      </w:pPr>
    </w:p>
    <w:p>
      <w:pPr>
        <w:widowControl w:val="0"/>
        <w:spacing w:line="540" w:lineRule="exact"/>
        <w:ind w:right="640"/>
        <w:jc w:val="left"/>
      </w:pPr>
    </w:p>
    <w:p>
      <w:pPr>
        <w:widowControl w:val="0"/>
        <w:spacing w:line="540" w:lineRule="exact"/>
        <w:ind w:left="5120" w:right="640" w:hanging="5120" w:hangingChars="1600"/>
        <w:jc w:val="left"/>
      </w:pPr>
      <w:r>
        <w:rPr>
          <w:rFonts w:hint="eastAsia"/>
        </w:rPr>
        <w:t xml:space="preserve">                            报价单位：（公章）           年  月  日</w:t>
      </w:r>
    </w:p>
    <w:sectPr>
      <w:footerReference r:id="rId5" w:type="default"/>
      <w:pgSz w:w="11906" w:h="16838"/>
      <w:pgMar w:top="1871" w:right="1417" w:bottom="1417" w:left="1417" w:header="851" w:footer="992" w:gutter="0"/>
      <w:pgNumType w:fmt="numberInDash"/>
      <w:cols w:space="0" w:num="1"/>
      <w:rtlGutter w:val="0"/>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1610455"/>
    </w:sdtPr>
    <w:sdtEndPr>
      <w:rPr>
        <w:rFonts w:asciiTheme="minorEastAsia" w:hAnsiTheme="minorEastAsia" w:eastAsiaTheme="minorEastAsia"/>
        <w:sz w:val="28"/>
        <w:szCs w:val="28"/>
      </w:rPr>
    </w:sdtEndPr>
    <w:sdtContent>
      <w:p>
        <w:pPr>
          <w:pStyle w:val="3"/>
          <w:jc w:val="center"/>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4 -</w:t>
        </w:r>
        <w:r>
          <w:rPr>
            <w:rFonts w:asciiTheme="minorEastAsia" w:hAnsiTheme="minorEastAsia" w:eastAsiaTheme="minorEastAsia"/>
            <w:sz w:val="28"/>
            <w:szCs w:val="28"/>
          </w:rPr>
          <w:fldChar w:fldCharType="end"/>
        </w:r>
      </w:p>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60"/>
  <w:drawingGridVerticalSpacing w:val="43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7C7F"/>
    <w:rsid w:val="00064341"/>
    <w:rsid w:val="00093EC8"/>
    <w:rsid w:val="000A00AA"/>
    <w:rsid w:val="000F11F6"/>
    <w:rsid w:val="000F4EDA"/>
    <w:rsid w:val="001306FA"/>
    <w:rsid w:val="0014752C"/>
    <w:rsid w:val="00180280"/>
    <w:rsid w:val="001B28DF"/>
    <w:rsid w:val="001B7197"/>
    <w:rsid w:val="001D1D8A"/>
    <w:rsid w:val="0020730B"/>
    <w:rsid w:val="00255121"/>
    <w:rsid w:val="002B4F75"/>
    <w:rsid w:val="002B7C7F"/>
    <w:rsid w:val="002C6313"/>
    <w:rsid w:val="002E27D7"/>
    <w:rsid w:val="00371B1B"/>
    <w:rsid w:val="0037303C"/>
    <w:rsid w:val="003C2E51"/>
    <w:rsid w:val="003D2B1D"/>
    <w:rsid w:val="00402600"/>
    <w:rsid w:val="00486A7F"/>
    <w:rsid w:val="004D0A2C"/>
    <w:rsid w:val="004E60A1"/>
    <w:rsid w:val="00583856"/>
    <w:rsid w:val="005E011B"/>
    <w:rsid w:val="00626AF7"/>
    <w:rsid w:val="006358FF"/>
    <w:rsid w:val="00675AA2"/>
    <w:rsid w:val="006C6FFA"/>
    <w:rsid w:val="0071339A"/>
    <w:rsid w:val="00732CBA"/>
    <w:rsid w:val="00784A35"/>
    <w:rsid w:val="007928F6"/>
    <w:rsid w:val="008047F2"/>
    <w:rsid w:val="00890EE4"/>
    <w:rsid w:val="00995C81"/>
    <w:rsid w:val="00995FFB"/>
    <w:rsid w:val="009F6DC1"/>
    <w:rsid w:val="00A358C8"/>
    <w:rsid w:val="00A56E72"/>
    <w:rsid w:val="00B1174C"/>
    <w:rsid w:val="00B414E6"/>
    <w:rsid w:val="00B5533F"/>
    <w:rsid w:val="00BD697D"/>
    <w:rsid w:val="00BE50E0"/>
    <w:rsid w:val="00BE661C"/>
    <w:rsid w:val="00C45387"/>
    <w:rsid w:val="00CC4A20"/>
    <w:rsid w:val="00CF2E86"/>
    <w:rsid w:val="00D11A6C"/>
    <w:rsid w:val="00D718B5"/>
    <w:rsid w:val="00DA56DE"/>
    <w:rsid w:val="00DC01D8"/>
    <w:rsid w:val="00DF2846"/>
    <w:rsid w:val="00E319DE"/>
    <w:rsid w:val="00EB5DDB"/>
    <w:rsid w:val="00EC4A04"/>
    <w:rsid w:val="00FC2801"/>
    <w:rsid w:val="00FC3423"/>
    <w:rsid w:val="05DD8C15"/>
    <w:rsid w:val="07EF34CF"/>
    <w:rsid w:val="1BFF2A79"/>
    <w:rsid w:val="1FBFB127"/>
    <w:rsid w:val="2CD89525"/>
    <w:rsid w:val="2DEF001C"/>
    <w:rsid w:val="35B97789"/>
    <w:rsid w:val="367A854C"/>
    <w:rsid w:val="3EF6A9B4"/>
    <w:rsid w:val="3F179D5E"/>
    <w:rsid w:val="3FAFE329"/>
    <w:rsid w:val="3FCF22EA"/>
    <w:rsid w:val="3FF62517"/>
    <w:rsid w:val="3FFA6583"/>
    <w:rsid w:val="45DA7938"/>
    <w:rsid w:val="47D8159E"/>
    <w:rsid w:val="53D53269"/>
    <w:rsid w:val="54B675BE"/>
    <w:rsid w:val="59B9F339"/>
    <w:rsid w:val="5C7F988B"/>
    <w:rsid w:val="5DBDCF95"/>
    <w:rsid w:val="5F7700BE"/>
    <w:rsid w:val="5F7AECCD"/>
    <w:rsid w:val="5FE92B73"/>
    <w:rsid w:val="677A8D76"/>
    <w:rsid w:val="6B9FD22A"/>
    <w:rsid w:val="6E5F5049"/>
    <w:rsid w:val="6EF685CC"/>
    <w:rsid w:val="6FD7F73C"/>
    <w:rsid w:val="76CFE730"/>
    <w:rsid w:val="7CFC1021"/>
    <w:rsid w:val="7EFF01FC"/>
    <w:rsid w:val="7FB3AF4D"/>
    <w:rsid w:val="7FE9185C"/>
    <w:rsid w:val="7FEF5F95"/>
    <w:rsid w:val="7FFA11D0"/>
    <w:rsid w:val="7FFD605F"/>
    <w:rsid w:val="7FFE56E0"/>
    <w:rsid w:val="7FFF3317"/>
    <w:rsid w:val="8FF9FBD2"/>
    <w:rsid w:val="95FF1B2D"/>
    <w:rsid w:val="9EBF7F40"/>
    <w:rsid w:val="ADDFBFCE"/>
    <w:rsid w:val="B7BF76AE"/>
    <w:rsid w:val="B7E74C1C"/>
    <w:rsid w:val="B7EEDCA2"/>
    <w:rsid w:val="BBEF62BA"/>
    <w:rsid w:val="BBFDF04D"/>
    <w:rsid w:val="BEEF74A7"/>
    <w:rsid w:val="BEFCCB57"/>
    <w:rsid w:val="BF97A3A3"/>
    <w:rsid w:val="BFFA3601"/>
    <w:rsid w:val="BFFC85CD"/>
    <w:rsid w:val="BFFFD73F"/>
    <w:rsid w:val="C7F58F6F"/>
    <w:rsid w:val="CD7F2A5A"/>
    <w:rsid w:val="D33E0059"/>
    <w:rsid w:val="D5292335"/>
    <w:rsid w:val="D67C70F6"/>
    <w:rsid w:val="D7CF33B4"/>
    <w:rsid w:val="D9CA0A2F"/>
    <w:rsid w:val="DBEFE4E3"/>
    <w:rsid w:val="DF6B0BD5"/>
    <w:rsid w:val="DFDDEC7B"/>
    <w:rsid w:val="DFEDF097"/>
    <w:rsid w:val="E6E3F77B"/>
    <w:rsid w:val="E7EF1129"/>
    <w:rsid w:val="E7F4E3C5"/>
    <w:rsid w:val="EBF3CFAA"/>
    <w:rsid w:val="EFD31A28"/>
    <w:rsid w:val="EFDFF69F"/>
    <w:rsid w:val="F7A7B7C3"/>
    <w:rsid w:val="F7EAEBFC"/>
    <w:rsid w:val="F7FF6711"/>
    <w:rsid w:val="FB2E5937"/>
    <w:rsid w:val="FBFFE4FB"/>
    <w:rsid w:val="FC3E89C6"/>
    <w:rsid w:val="FD3F288F"/>
    <w:rsid w:val="FD6FB1C9"/>
    <w:rsid w:val="FEDEACE0"/>
    <w:rsid w:val="FF797065"/>
    <w:rsid w:val="FF7F37B8"/>
    <w:rsid w:val="FFBEA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84" w:lineRule="exact"/>
      <w:jc w:val="both"/>
    </w:pPr>
    <w:rPr>
      <w:rFonts w:ascii="Times New Roman" w:hAnsi="Times New Roman" w:eastAsia="仿宋_GB2312"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line="240" w:lineRule="auto"/>
    </w:pPr>
    <w:rPr>
      <w:sz w:val="18"/>
      <w:szCs w:val="18"/>
    </w:rPr>
  </w:style>
  <w:style w:type="paragraph" w:styleId="3">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styleId="7">
    <w:name w:val="Hyperlink"/>
    <w:basedOn w:val="6"/>
    <w:unhideWhenUsed/>
    <w:qFormat/>
    <w:uiPriority w:val="99"/>
    <w:rPr>
      <w:color w:val="0000FF" w:themeColor="hyperlink"/>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283</Words>
  <Characters>1614</Characters>
  <Lines>13</Lines>
  <Paragraphs>3</Paragraphs>
  <TotalTime>25</TotalTime>
  <ScaleCrop>false</ScaleCrop>
  <LinksUpToDate>false</LinksUpToDate>
  <CharactersWithSpaces>1894</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2021-03-12T01:23:00Z</dcterms:created>
  <dc:creator>yunxingju6</dc:creator>
  <cp:lastModifiedBy>user</cp:lastModifiedBy>
  <cp:lastPrinted>2024-04-07T09:12:46Z</cp:lastPrinted>
  <dcterms:modified xsi:type="dcterms:W3CDTF">2024-04-07T09:13:24Z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