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jc w:val="both"/>
        <w:textAlignment w:val="auto"/>
        <w:rPr>
          <w:rFonts w:hint="default" w:ascii="Times New Roman" w:hAnsi="Times New Roman" w:eastAsia="黑体" w:cs="Times New Roman"/>
          <w:snapToGrid/>
          <w:kern w:val="2"/>
          <w:sz w:val="32"/>
          <w:szCs w:val="32"/>
          <w:lang w:val="en-US" w:eastAsia="zh-CN"/>
        </w:rPr>
      </w:pPr>
      <w:r>
        <w:rPr>
          <w:rFonts w:hint="default" w:ascii="Times New Roman" w:hAnsi="Times New Roman" w:eastAsia="黑体" w:cs="Times New Roman"/>
          <w:snapToGrid/>
          <w:kern w:val="2"/>
          <w:sz w:val="32"/>
          <w:szCs w:val="32"/>
          <w:lang w:eastAsia="zh-CN"/>
        </w:rPr>
        <w:t>附件</w:t>
      </w:r>
      <w:r>
        <w:rPr>
          <w:rFonts w:hint="default" w:ascii="Times New Roman" w:hAnsi="Times New Roman" w:eastAsia="黑体" w:cs="Times New Roman"/>
          <w:snapToGrid/>
          <w:kern w:val="2"/>
          <w:sz w:val="32"/>
          <w:szCs w:val="32"/>
          <w:lang w:val="en-US" w:eastAsia="zh-CN"/>
        </w:rPr>
        <w:t>2</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jc w:val="both"/>
        <w:textAlignment w:val="auto"/>
        <w:rPr>
          <w:rFonts w:hint="default" w:ascii="Times New Roman" w:hAnsi="Times New Roman" w:eastAsia="方正小标宋简体" w:cs="Times New Roman"/>
          <w:snapToGrid/>
          <w:kern w:val="2"/>
          <w:sz w:val="44"/>
          <w:szCs w:val="44"/>
          <w:lang w:eastAsia="zh-CN"/>
        </w:rPr>
      </w:pP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jc w:val="both"/>
        <w:textAlignment w:val="auto"/>
        <w:rPr>
          <w:rFonts w:hint="default" w:ascii="Times New Roman" w:hAnsi="Times New Roman" w:eastAsia="方正小标宋简体" w:cs="Times New Roman"/>
          <w:snapToGrid/>
          <w:kern w:val="2"/>
          <w:sz w:val="44"/>
          <w:szCs w:val="44"/>
          <w:lang w:eastAsia="zh-CN"/>
        </w:rPr>
      </w:pPr>
      <w:r>
        <w:rPr>
          <w:rFonts w:hint="default" w:ascii="Times New Roman" w:hAnsi="Times New Roman" w:eastAsia="方正小标宋简体" w:cs="Times New Roman"/>
          <w:snapToGrid/>
          <w:kern w:val="2"/>
          <w:sz w:val="44"/>
          <w:szCs w:val="44"/>
          <w:lang w:eastAsia="zh-CN"/>
        </w:rPr>
        <w:t>2024年“数据要素 ×”大赛河北分赛赛题指南</w:t>
      </w:r>
    </w:p>
    <w:p>
      <w:pPr>
        <w:keepNext w:val="0"/>
        <w:keepLines w:val="0"/>
        <w:pageBreakBefore w:val="0"/>
        <w:widowControl w:val="0"/>
        <w:kinsoku/>
        <w:wordWrap/>
        <w:overflowPunct w:val="0"/>
        <w:topLinePunct w:val="0"/>
        <w:bidi w:val="0"/>
        <w:spacing w:line="540" w:lineRule="exact"/>
        <w:jc w:val="both"/>
        <w:rPr>
          <w:rFonts w:hint="default" w:ascii="Times New Roman" w:hAnsi="Times New Roman" w:cs="Times New Roman"/>
          <w:sz w:val="21"/>
        </w:rPr>
      </w:pP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val="en-US" w:eastAsia="zh-CN"/>
        </w:rPr>
      </w:pPr>
      <w:r>
        <w:rPr>
          <w:rFonts w:hint="default" w:ascii="Times New Roman" w:hAnsi="Times New Roman" w:eastAsia="黑体" w:cs="Times New Roman"/>
          <w:snapToGrid/>
          <w:kern w:val="2"/>
          <w:sz w:val="32"/>
          <w:szCs w:val="32"/>
          <w:lang w:val="en-US" w:eastAsia="zh-CN"/>
        </w:rPr>
        <w:t>赛道一 ： 数据要素×工业制造领域赛题指南</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1. 提升创新研发能力，推动制造高端化发展</w:t>
      </w:r>
      <w:r>
        <w:rPr>
          <w:rFonts w:hint="default" w:ascii="Times New Roman" w:hAnsi="Times New Roman" w:eastAsia="仿宋_GB2312" w:cs="Times New Roman"/>
          <w:snapToGrid/>
          <w:kern w:val="2"/>
          <w:sz w:val="32"/>
          <w:szCs w:val="32"/>
          <w:lang w:val="en-US" w:eastAsia="zh-CN" w:bidi="ar-SA"/>
        </w:rPr>
        <w:t>：</w:t>
      </w:r>
      <w:r>
        <w:rPr>
          <w:rFonts w:hint="default" w:ascii="Times New Roman" w:hAnsi="Times New Roman" w:eastAsia="仿宋_GB2312" w:cs="Times New Roman"/>
          <w:snapToGrid/>
          <w:kern w:val="2"/>
          <w:sz w:val="32"/>
          <w:szCs w:val="32"/>
          <w:lang w:val="en-US" w:eastAsia="zh-CN"/>
        </w:rPr>
        <w:t>数据驱动型 创新研发模式，基于设计、仿真、实验、生产、运行等多维度数据实现产品研发和工艺创新，推动制造高端化发展。</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2. 提高工业制造决策科学性，降本提质增效</w:t>
      </w:r>
      <w:r>
        <w:rPr>
          <w:rFonts w:hint="default" w:ascii="Times New Roman" w:hAnsi="Times New Roman" w:eastAsia="仿宋_GB2312" w:cs="Times New Roman"/>
          <w:snapToGrid/>
          <w:kern w:val="2"/>
          <w:sz w:val="32"/>
          <w:szCs w:val="32"/>
          <w:lang w:val="en-US" w:eastAsia="zh-CN" w:bidi="ar-SA"/>
        </w:rPr>
        <w:t>：</w:t>
      </w:r>
      <w:r>
        <w:rPr>
          <w:rFonts w:hint="default" w:ascii="Times New Roman" w:hAnsi="Times New Roman" w:eastAsia="仿宋_GB2312" w:cs="Times New Roman"/>
          <w:snapToGrid/>
          <w:kern w:val="2"/>
          <w:sz w:val="32"/>
          <w:szCs w:val="32"/>
          <w:lang w:val="en-US" w:eastAsia="zh-CN"/>
        </w:rPr>
        <w:t>完善数据采 集、管理、分析和利用，在生产制造和企业运营主要过程采用基于数据的科学决策，实现降低成本、提高质量、效益提升的多重目标。</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3. 提升服务型制造能力</w:t>
      </w:r>
      <w:r>
        <w:rPr>
          <w:rFonts w:hint="default" w:ascii="Times New Roman" w:hAnsi="Times New Roman" w:eastAsia="仿宋_GB2312" w:cs="Times New Roman"/>
          <w:snapToGrid/>
          <w:kern w:val="2"/>
          <w:sz w:val="32"/>
          <w:szCs w:val="32"/>
          <w:lang w:val="en-US" w:eastAsia="zh-CN" w:bidi="ar-SA"/>
        </w:rPr>
        <w:t>：</w:t>
      </w:r>
      <w:r>
        <w:rPr>
          <w:rFonts w:hint="default" w:ascii="Times New Roman" w:hAnsi="Times New Roman" w:eastAsia="仿宋_GB2312" w:cs="Times New Roman"/>
          <w:snapToGrid/>
          <w:kern w:val="2"/>
          <w:sz w:val="32"/>
          <w:szCs w:val="32"/>
          <w:lang w:val="en-US" w:eastAsia="zh-CN"/>
        </w:rPr>
        <w:t>加强产品全生命周期数据采集，整合设计、生产、运行数据，增强高端化生产性服务能力，提升产品可靠性和运行性能，增强产品用户满意度。</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4. 稳固产业链供应链，强化价值协同</w:t>
      </w:r>
      <w:r>
        <w:rPr>
          <w:rFonts w:hint="default" w:ascii="Times New Roman" w:hAnsi="Times New Roman" w:eastAsia="仿宋_GB2312" w:cs="Times New Roman"/>
          <w:snapToGrid/>
          <w:kern w:val="2"/>
          <w:sz w:val="32"/>
          <w:szCs w:val="32"/>
          <w:lang w:val="en-US" w:eastAsia="zh-CN" w:bidi="ar-SA"/>
        </w:rPr>
        <w:t>：</w:t>
      </w:r>
      <w:r>
        <w:rPr>
          <w:rFonts w:hint="default" w:ascii="Times New Roman" w:hAnsi="Times New Roman" w:eastAsia="仿宋_GB2312" w:cs="Times New Roman"/>
          <w:snapToGrid/>
          <w:kern w:val="2"/>
          <w:sz w:val="32"/>
          <w:szCs w:val="32"/>
          <w:lang w:val="en-US" w:eastAsia="zh-CN"/>
        </w:rPr>
        <w:t>促进产能、采购、 库存、物流等不同制造环节，以及供应链上下游等数据共享和可信流通，探索协同设计、协同制造、协同服务等新模式，提高区域间制造资源配置效率，提升产业链、供应链稳定性。</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val="en-US" w:eastAsia="zh-CN"/>
        </w:rPr>
      </w:pPr>
      <w:r>
        <w:rPr>
          <w:rFonts w:hint="default" w:ascii="Times New Roman" w:hAnsi="Times New Roman" w:eastAsia="黑体" w:cs="Times New Roman"/>
          <w:snapToGrid/>
          <w:kern w:val="2"/>
          <w:sz w:val="32"/>
          <w:szCs w:val="32"/>
          <w:lang w:val="en-US" w:eastAsia="zh-CN"/>
        </w:rPr>
        <w:t>赛道二 :  数据要素 × 现代农业领域赛题指南</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1. 促进农业生产数智化水平提升：通过融合利用遥感、气 象、土壤、农事作业、灾害、农作物病虫害、动物疫病、市场等各类数据，为农业生产经营主体和相关服务企业提供农业生产数智化场景支撑，提高粮食和重要农产品生产效率。</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促进农产品追溯管理能力提高：通过融合利用农产品的 产地、生产、加工、质检等各种数据，支撑农产品追溯管理、精准营销。</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3. 促进产业链数据融通创新能力提高：通过综合利用农产 品生产 、销售、加工等数据，为农业生产经营主体提供智慧种养、智慧捕捞、产销对接、疫病防治、行情信息、跨区作业、一站式采购、供应链金融等创新数据和信息服务。</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4. 促进培育以需定产新模式：通过融合分析应用农业和商 贸流通数据，提升农产品供需匹配能力。</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5. 促进农业生产抗风险能力提高：通过综合利用产能、运 输、加工、贸易、消费等数据，为农业生产经营主体在粮食、 生猪、果蔬等重点领域，提供自然灾害、疫病传播、价格波动等农业监测预警服务。</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eastAsia="zh-CN"/>
        </w:rPr>
      </w:pPr>
      <w:r>
        <w:rPr>
          <w:rFonts w:hint="default" w:ascii="Times New Roman" w:hAnsi="Times New Roman" w:eastAsia="黑体" w:cs="Times New Roman"/>
          <w:snapToGrid/>
          <w:kern w:val="2"/>
          <w:sz w:val="32"/>
          <w:szCs w:val="32"/>
          <w:lang w:val="en-US" w:eastAsia="zh-CN"/>
        </w:rPr>
        <w:t>赛道三 :  数据要素 × 商贸流通领域赛题指南</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1. 加强数据融合分析利用，增强产业协同效益：加强电商  平台与各类商贸经营主体、相关服务企业深度融合，依托客流、消费行为、交通状况、人文特征等市场环境数据，打造集数据收集、分析、决策、精准推送和动态反馈的闭环消费生态；支持电子商务企业、国家电子商务示范基地、跨境电商产业园区、传统商贸流通企业加强数据融合，整合订单需求、物流、产能、供应链等数据，优化配置产业链资源；鼓励电子商务企业、商贸企业依托订单数量、订单类型、人口分布等数据，主动对接生产企业、产业集群，加强产销对接、精准推送。</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实现新业态创新发展：拓展新消费，推进直播电商、即时电商等业态创新发展，支持各类商圈创新应用场景，打造特色品牌，培育数字生活消费方式。</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3. 提高行业国际化服务能力与竞争力：通过交易、物流、支付等数据融合利用，提升跨境电商及相关企业供应链综合服  务、跨境身份认证、全球供应链融资等能力，推动企业国际化发展。</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eastAsia="zh-CN"/>
        </w:rPr>
      </w:pPr>
      <w:r>
        <w:rPr>
          <w:rFonts w:hint="default" w:ascii="Times New Roman" w:hAnsi="Times New Roman" w:eastAsia="黑体" w:cs="Times New Roman"/>
          <w:snapToGrid/>
          <w:kern w:val="2"/>
          <w:sz w:val="32"/>
          <w:szCs w:val="32"/>
          <w:lang w:eastAsia="zh-CN"/>
        </w:rPr>
        <w:t>赛道四 :  数据要素 × 交通运输领域赛题指南</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1. 提升货物运输贸易效能和便利性：融合地理空间、卫星遥感、北斗定位导航、气象等数据提升运输和贸易效能，降低处理复杂度和操作成本，提升运营效率；推进物流、结算、保险等货物贸易数据共享互认，促进贸易便利化。</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提升客运效能、便利性和驾乘体验：融合跨领域多维度 数据，提高旅客运输效能，提供高效、便利的出行服务，提升 自驾驾驶员及公共交通乘客的出行体验。</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cs="Times New Roman"/>
          <w:sz w:val="21"/>
        </w:rPr>
      </w:pPr>
      <w:r>
        <w:rPr>
          <w:rFonts w:hint="default" w:ascii="Times New Roman" w:hAnsi="Times New Roman" w:eastAsia="仿宋_GB2312" w:cs="Times New Roman"/>
          <w:snapToGrid/>
          <w:kern w:val="2"/>
          <w:sz w:val="32"/>
          <w:szCs w:val="32"/>
          <w:lang w:val="en-US" w:eastAsia="zh-CN" w:bidi="ar-SA"/>
        </w:rPr>
        <w:t>3. 提升交通运输安全：融合“两客一危 ”、营运车辆行为、事故统计等多维数据，提升交通运输安全管理水平；通过交通工具设施传感和数据采集，融合运输线路和空间数据，提升交通运输可靠性和安全性。</w:t>
      </w:r>
    </w:p>
    <w:p>
      <w:pPr>
        <w:pStyle w:val="3"/>
        <w:keepNext w:val="0"/>
        <w:keepLines w:val="0"/>
        <w:pageBreakBefore w:val="0"/>
        <w:widowControl w:val="0"/>
        <w:numPr>
          <w:ilvl w:val="0"/>
          <w:numId w:val="1"/>
        </w:numPr>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自动驾驶创新发展：融合行驶习惯、车辆运行、环境感知、交通设施等多维数据，提升自动驾驶汽车技术水平、测试验证能力和汽车驾乘体验。</w:t>
      </w:r>
    </w:p>
    <w:p>
      <w:pPr>
        <w:pStyle w:val="3"/>
        <w:keepNext w:val="0"/>
        <w:keepLines w:val="0"/>
        <w:pageBreakBefore w:val="0"/>
        <w:widowControl w:val="0"/>
        <w:numPr>
          <w:ilvl w:val="0"/>
          <w:numId w:val="0"/>
        </w:numPr>
        <w:kinsoku/>
        <w:wordWrap/>
        <w:overflowPunct w:val="0"/>
        <w:topLinePunct w:val="0"/>
        <w:bidi w:val="0"/>
        <w:spacing w:line="540" w:lineRule="exact"/>
        <w:ind w:right="116" w:rightChars="0" w:firstLine="640" w:firstLineChars="20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5. 提升自驾出行服务水平：融合高速公路运行、经济运行 、产业链条等数据，开展面向 出行用户 的伴随式服务信息推送的模型分析，为出行用户提供更好服务；开展交通与旅游、 交通与能源等的融合分析，推动公路交通融合发展。</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6. 提升港口航道数智服务水平：加快电子航道图建设和应 用，建设智能感知网络和数字孪生平台，打造数据、服务、算法为一体的数据大脑，实现港口、航道、船舶等要素和业务协同，提升主要作业单证电子化率，推动国际贸易、航道信息、航运信息等商贸增值和定制化服务。</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eastAsia="zh-CN"/>
        </w:rPr>
      </w:pPr>
      <w:r>
        <w:rPr>
          <w:rFonts w:hint="default" w:ascii="Times New Roman" w:hAnsi="Times New Roman" w:eastAsia="黑体" w:cs="Times New Roman"/>
          <w:snapToGrid/>
          <w:kern w:val="2"/>
          <w:sz w:val="32"/>
          <w:szCs w:val="32"/>
          <w:lang w:eastAsia="zh-CN"/>
        </w:rPr>
        <w:t>赛道五 :  数据要素×金融服务领域赛题指南</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1. 提升实体经济金融服务水平：在合规和风险可控前提下，融合利用科技、环保、工商、税务、气象、消费、医疗、社保、农业农村、水电气等多维数据，加强主体识别，完善信贷业务管理和保险产品设计及承保理赔服务</w:t>
      </w:r>
      <w:r>
        <w:rPr>
          <w:rFonts w:hint="default" w:ascii="Times New Roman" w:hAnsi="Times New Roman" w:eastAsia="仿宋_GB2312" w:cs="Times New Roman"/>
          <w:snapToGrid/>
          <w:kern w:val="2"/>
          <w:sz w:val="32"/>
          <w:szCs w:val="32"/>
          <w:lang w:val="en-US" w:eastAsia="zh-CN" w:bidi="ar-SA"/>
        </w:rPr>
        <w:t>，</w:t>
      </w:r>
      <w:r>
        <w:rPr>
          <w:rFonts w:hint="default" w:ascii="Times New Roman" w:hAnsi="Times New Roman" w:eastAsia="仿宋_GB2312" w:cs="Times New Roman"/>
          <w:snapToGrid/>
          <w:kern w:val="2"/>
          <w:sz w:val="32"/>
          <w:szCs w:val="32"/>
          <w:lang w:val="en-US" w:eastAsia="zh-CN" w:bidi="ar-SA"/>
        </w:rPr>
        <w:t>为企业尤其是中小企业提供优质高效的金融服务产品，助力实体经济提高资金使用效率、降低交易成本，引导更多资源要素向实体经济集聚 。</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提高金融风险防控能力：在依法安全合规前提下，推动金融信用数据和公共信用数据、商业信用数据共享共用和高效流通，融合分析金融市场、信贷资产、风险核查等多维数据，发挥金融科技和数据要素的驱动作用，强化资金用途监控和业务合规性审查，支撑提升金融机构反欺诈、反洗钱能力，提高风险监测和智能化预警水平。</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3. 建立健全资本市场数据安全可信共享体系：推进资本市场基础数据标准制定，强化统筹数据授权使用和管理。推动市场主体登记、财政资金奖补、资质、财税、司法、征信、社保、海关、环保、水电、不动产等各部委和地方涉企政务数据与资本市场的安全可信共享。</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4. 强化数据在资本市场的应用：加快数据资源整合运用，完善数据标准及核查验证模型。丰富企业数字档案，引入优质企业服务，完善企业画像、评价模型，为企业投融资对接、规范培育、辅导上市等多业务场景提供支持，提升企业投融资对接的精准性，稳步提升行业机构数字化水平，加强穿透式监管。</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eastAsia="zh-CN"/>
        </w:rPr>
      </w:pPr>
      <w:r>
        <w:rPr>
          <w:rFonts w:hint="default" w:ascii="Times New Roman" w:hAnsi="Times New Roman" w:eastAsia="黑体" w:cs="Times New Roman"/>
          <w:snapToGrid/>
          <w:kern w:val="2"/>
          <w:sz w:val="32"/>
          <w:szCs w:val="32"/>
          <w:lang w:eastAsia="zh-CN"/>
        </w:rPr>
        <w:t>赛道六 :  数据要素 × 科技创新领域赛题指南</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1. 鼓励科技数据汇聚共享：鼓励科学数据汇聚共享，建设高质量语料库和基础科学数据库，推动科学数据有序开放共享，促进重大科技基础设施、重大科技项目等产生的各类科学数据有效汇聚、高效治理与互联互通，打造跨领域流通的科学数据协同服务网络，发展综合型、智能化、交互式等新型科学数据发现模式，推动科学数据有序开放共享，依托国家科学数据中心等平台强化拓展科学数据资源的场景应用。</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支持科技大模型开发：以科学数据支持大模型开发，面向基础科学、科学研究和产业升级，深入挖掘各类科学数据，科技文献和其他数据资源，支持开展人工智能大模型开发和训练，降低文献试错成本和物理实验成本，缩短科技产品研发周期，提升科研数字化水平。</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3. 科学数据助力科学研究和技术创新：对科学数据融合应用、深入挖掘，提供高质量科学数据资源与知识服务，助力探索未知领域，驱动科学创新发现。聚焦生物育种、新材料创制、药物研发等领域，以数智融合加速技术创新和产业升级。</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4. 科学数据加速探索科研新范式：探索科研新范式，充分依托各类数据库与知识库，利用人工智能、大数据和物联网等技术，推进跨学科、跨领域协同创新，以数据驱动发现新规律，创造新知识，发明新方法，推动科学研究方法的不断进步和发展，加速科学研究范式变革与新质生产力发展。</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eastAsia="zh-CN"/>
        </w:rPr>
      </w:pPr>
      <w:r>
        <w:rPr>
          <w:rFonts w:hint="default" w:ascii="Times New Roman" w:hAnsi="Times New Roman" w:eastAsia="黑体" w:cs="Times New Roman"/>
          <w:snapToGrid/>
          <w:kern w:val="2"/>
          <w:sz w:val="32"/>
          <w:szCs w:val="32"/>
          <w:lang w:eastAsia="zh-CN"/>
        </w:rPr>
        <w:t>赛道七 :  数据要素×文化旅游领域赛题指南</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1. 推动文化创意产品发展：推动文物、古籍、美术、戏曲剧种、非物质文化遗产、民族民间文艺等数据资源依法开放共享和交易流通、支持文化创意、旅游、展览等领域的经营主体加强数据开发利用，培育具有中国文化特色的产品和品牌。</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加强文物数字化保护能力：以世界文化遗产、全国重点文物保护单位、馆藏一级文物等为重点，推进相关文物信息高清数据采集和展示利用。促进文物病害数据、保护修复数据、安全监管数据、文物流通数据融合共享，支持实现文物保护修复、监测预警、精准管理、应急处置、阐释传播等功能。</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3. 提升公共文化服务数字化水平：整合汇聚文物、古籍、 美术、地方戏曲剧种、民族民间文艺等文化资源，丰富公共文化数据库。推动公共图书馆、文化馆、博物馆、美术馆、非遗馆等加强公共数字文化资源建设，增强公共文化数字内容的供给能力。依托市场化机制开发文化大模型。</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4. 提升智慧旅游服务水平：支持旅游经营主体共享气象、交通等数据，在合法合规前提下构建客群画像、城市画像等， 优化旅游配套服务、一站式出行服务。鼓励基于数据的定制、体验、智能、互动等消费新模式发展，打造沉浸式旅游体验新 场景。提升旅游治理能力，支持文化和旅游场所共享公安、交通、气象、证照等数据，支撑 “免证” 购票、集聚人群监测预警、应急救援等。</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eastAsia="zh-CN"/>
        </w:rPr>
      </w:pPr>
      <w:r>
        <w:rPr>
          <w:rFonts w:hint="default" w:ascii="Times New Roman" w:hAnsi="Times New Roman" w:eastAsia="黑体" w:cs="Times New Roman"/>
          <w:snapToGrid/>
          <w:kern w:val="2"/>
          <w:sz w:val="32"/>
          <w:szCs w:val="32"/>
          <w:lang w:eastAsia="zh-CN"/>
        </w:rPr>
        <w:t>赛道八 :  数据要素×医疗健康领域赛题指南</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1. 提升医疗服务便捷性：推进电子病历共享，检查检验结 果数据标准统一和共享。有序释放健康医疗数据价值，完善个人健康数据档案，融合体检 、就诊、疾控等数据，创新基于数据驱动的职业病监测、公共卫生事件预警等公共服务模式。</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cs="Times New Roman"/>
          <w:sz w:val="21"/>
        </w:rPr>
      </w:pPr>
      <w:r>
        <w:rPr>
          <w:rFonts w:hint="default" w:ascii="Times New Roman" w:hAnsi="Times New Roman" w:eastAsia="仿宋_GB2312" w:cs="Times New Roman"/>
          <w:snapToGrid/>
          <w:kern w:val="2"/>
          <w:sz w:val="32"/>
          <w:szCs w:val="32"/>
          <w:lang w:val="en-US" w:eastAsia="zh-CN" w:bidi="ar-SA"/>
        </w:rPr>
        <w:t>2. 提高药品和医疗产品创新研发：通过融合临床医疗、基 因科学、公共卫生、健康管理等多元数据，借助深度挖掘、人工智能分析与跨界融合等手段，提升新药、医疗设备、诊疗服务和保健服务的创新研发效率和效果。</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3. 提升中医药发展水平：加强中医药预防、治疗、康复等健康服务全流程的多源数据融合，支撑名老中医传承创新，驱动中医药服务流程再造，提升中医药诊疗设备智能化应用，推进中医药高质量发展。</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4. 提升便民服务水平：便捷医药服务理赔结算，推动医保便民服务，增强群众获得感幸福感安全感。加强医保数据在智慧医保、数据治理、数据安全、多层次医疗保障体系建设，以及社会治理、民生保障等领域的赋能作用。提升医疗保险服务水平，促进基本医保与商业健康保险协同发展。</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eastAsia="zh-CN"/>
        </w:rPr>
      </w:pPr>
      <w:r>
        <w:rPr>
          <w:rFonts w:hint="default" w:ascii="Times New Roman" w:hAnsi="Times New Roman" w:eastAsia="黑体" w:cs="Times New Roman"/>
          <w:snapToGrid/>
          <w:kern w:val="2"/>
          <w:sz w:val="32"/>
          <w:szCs w:val="32"/>
          <w:lang w:eastAsia="zh-CN"/>
        </w:rPr>
        <w:t>赛道九 :  数据要素×应急管理领域赛题指南</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1. 提升安全生产监管能力：围绕矿山、危险化学品等高危行业安全生产监管需求，充分发挥电力、通信、遥感、消防等数据要素在提升实时监测与精准监管能力中的融合应用价值，实现对私挖盗采、明停暗开等行为的精准监管和城市火灾的智能监测。体现数据要素在安全生产责任保险评估模型构建和新险种开发方面的重要作用，以数据要素价值化提高安全生产风险评估的精准化和科学化。</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提升自然灾害监测评估能力：充分发挥公共数据资源要 素价值，整合利用铁塔、电力、气象等公共数据</w:t>
      </w:r>
      <w:r>
        <w:rPr>
          <w:rFonts w:hint="eastAsia" w:ascii="Times New Roman" w:hAnsi="Times New Roman" w:eastAsia="仿宋_GB2312" w:cs="Times New Roman"/>
          <w:snapToGrid/>
          <w:kern w:val="2"/>
          <w:sz w:val="32"/>
          <w:szCs w:val="32"/>
          <w:lang w:val="en-US" w:eastAsia="zh-CN" w:bidi="ar-SA"/>
        </w:rPr>
        <w:t>，</w:t>
      </w:r>
      <w:r>
        <w:rPr>
          <w:rFonts w:hint="default" w:ascii="Times New Roman" w:hAnsi="Times New Roman" w:eastAsia="仿宋_GB2312" w:cs="Times New Roman"/>
          <w:snapToGrid/>
          <w:kern w:val="2"/>
          <w:sz w:val="32"/>
          <w:szCs w:val="32"/>
          <w:lang w:val="en-US" w:eastAsia="zh-CN" w:bidi="ar-SA"/>
        </w:rPr>
        <w:t>全面赋能自然灾害灾情监测、预警、研判、评估等全过程管理，提升自然灾害风险管理数据分析、仿真与建模水平。针对地震风险的监测评估，强化地震活动、地壳形变、地下流体等监测数据的融合分析，提升地震预测预警水平。</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3. 提升应急协调共享能力：针对跨区域一体化应急管理面 临的新形势、新要求，加强应急管理事件、人员队伍、物资装备、安全生产经营许可等相关数据要素跨区域共享使用，发挥数 据要素对应急管理监管执法、现场处置和协同联动的赋能作用。</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eastAsia="zh-CN"/>
        </w:rPr>
      </w:pPr>
      <w:r>
        <w:rPr>
          <w:rFonts w:hint="default" w:ascii="Times New Roman" w:hAnsi="Times New Roman" w:eastAsia="黑体" w:cs="Times New Roman"/>
          <w:snapToGrid/>
          <w:kern w:val="2"/>
          <w:sz w:val="32"/>
          <w:szCs w:val="32"/>
          <w:lang w:eastAsia="zh-CN"/>
        </w:rPr>
        <w:t>赛道十 :  数据要素 × 气象服务领域赛题指南</w:t>
      </w:r>
    </w:p>
    <w:p>
      <w:pPr>
        <w:pStyle w:val="3"/>
        <w:keepNext w:val="0"/>
        <w:keepLines w:val="0"/>
        <w:pageBreakBefore w:val="0"/>
        <w:widowControl w:val="0"/>
        <w:numPr>
          <w:ilvl w:val="0"/>
          <w:numId w:val="2"/>
        </w:numPr>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开发气象数据决策新模式：强化气象数据与经济社会、生态环境、自然资源、农业农村等数据融合应用，打造气候变化风险识别、风险评估、风险预警、风险转移等智能决策模式。 深化气象数据与城市规划、重大工程等建设数据融合应用，降低不利气象条件对规划和工程的影响。推动气象数据在风能、太阳能等企业选址布局、设备运维、能源调度等深度应用，实现新能源企业降本增效。</w:t>
      </w:r>
    </w:p>
    <w:p>
      <w:pPr>
        <w:pStyle w:val="3"/>
        <w:keepNext w:val="0"/>
        <w:keepLines w:val="0"/>
        <w:pageBreakBefore w:val="0"/>
        <w:widowControl w:val="0"/>
        <w:numPr>
          <w:ilvl w:val="0"/>
          <w:numId w:val="0"/>
        </w:numPr>
        <w:kinsoku/>
        <w:wordWrap/>
        <w:overflowPunct w:val="0"/>
        <w:topLinePunct w:val="0"/>
        <w:bidi w:val="0"/>
        <w:spacing w:line="540" w:lineRule="exact"/>
        <w:ind w:right="116" w:rightChars="0" w:firstLine="640" w:firstLineChars="20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开展气象数据产品新服务：聚焦农业、物流 、水力、电力、能源等领域气候风险防范需求，汇聚多源气候数据与行业数据，运用统计分析、机器学习等方法开发“天气指数-灾害损失”评估模型。基于“天气指数-灾害损失”评估模型按需开发各种天气指数保险产品及天气衍生品，推动其落地应用于保险、期货等金融行业。深化气象数据分析，挖掘温室气体排放的源头，识别和评估潜在气候风险及其对经济活动的影响，开发相应的气候投融资产品，实现气候投融资数智服务。</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cs="Times New Roman"/>
          <w:sz w:val="21"/>
        </w:rPr>
      </w:pPr>
      <w:r>
        <w:rPr>
          <w:rFonts w:hint="default" w:ascii="Times New Roman" w:hAnsi="Times New Roman" w:eastAsia="黑体" w:cs="Times New Roman"/>
          <w:snapToGrid/>
          <w:kern w:val="2"/>
          <w:sz w:val="32"/>
          <w:szCs w:val="32"/>
          <w:lang w:eastAsia="zh-CN"/>
        </w:rPr>
        <w:t>赛道十一 :  数据要素 × 城市治理领域赛题指南</w:t>
      </w:r>
    </w:p>
    <w:p>
      <w:pPr>
        <w:pStyle w:val="3"/>
        <w:keepNext w:val="0"/>
        <w:keepLines w:val="0"/>
        <w:pageBreakBefore w:val="0"/>
        <w:widowControl w:val="0"/>
        <w:numPr>
          <w:ilvl w:val="0"/>
          <w:numId w:val="3"/>
        </w:numPr>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提升城市管理协同化水平：提高城市管理数据共享与融  通应用实效</w:t>
      </w:r>
      <w:r>
        <w:rPr>
          <w:rFonts w:hint="eastAsia" w:ascii="Times New Roman" w:hAnsi="Times New Roman" w:eastAsia="仿宋_GB2312" w:cs="Times New Roman"/>
          <w:snapToGrid/>
          <w:kern w:val="2"/>
          <w:sz w:val="32"/>
          <w:szCs w:val="32"/>
          <w:lang w:val="en-US" w:eastAsia="zh-CN" w:bidi="ar-SA"/>
        </w:rPr>
        <w:t>，</w:t>
      </w:r>
      <w:r>
        <w:rPr>
          <w:rFonts w:hint="default" w:ascii="Times New Roman" w:hAnsi="Times New Roman" w:eastAsia="仿宋_GB2312" w:cs="Times New Roman"/>
          <w:snapToGrid/>
          <w:kern w:val="2"/>
          <w:sz w:val="32"/>
          <w:szCs w:val="32"/>
          <w:lang w:val="en-US" w:eastAsia="zh-CN" w:bidi="ar-SA"/>
        </w:rPr>
        <w:t>推动城市人、地、事 、物、情、组织等多维度数据融通，在公共卫生、交通管理、公共安全、生态环境 、基层治理、体育赛事等领域场景投入应用，基于数据融通、业务协同等实现具体领域或城市综合管理的态势实时感知、风险智能研判、及时协同处置，优化城市管理方式。</w:t>
      </w:r>
    </w:p>
    <w:p>
      <w:pPr>
        <w:pStyle w:val="3"/>
        <w:keepNext w:val="0"/>
        <w:keepLines w:val="0"/>
        <w:pageBreakBefore w:val="0"/>
        <w:widowControl w:val="0"/>
        <w:numPr>
          <w:ilvl w:val="0"/>
          <w:numId w:val="0"/>
        </w:numPr>
        <w:kinsoku/>
        <w:wordWrap/>
        <w:overflowPunct w:val="0"/>
        <w:topLinePunct w:val="0"/>
        <w:bidi w:val="0"/>
        <w:spacing w:line="540" w:lineRule="exact"/>
        <w:ind w:right="116" w:rightChars="0" w:firstLine="640" w:firstLineChars="20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提高城市发展决策科学性：综合利用城市时空基础、资 源调查、规划管控、工程建设项目、物联网感知等数据，开展综合分析与研判，助力城市规划、建设、管理、服务等策略精细化、智能化，为城市发展关键事项决策提供基于数据的科学支撑。</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3. 提高公共服务普惠性：体现数据要素在深入推动就业、社保、健康、卫生、医疗、救助、养老、助残、托育等公共服务实现便捷化、普惠化和智能化过程中的放大、叠加、倍增作用，切实满足人民群众对高质量公共服务的迫切需求，体现基于数据要素的公共服务新应用、新产品、新模式，及其创造出的显著的经济与社会效益。</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cs="Times New Roman"/>
          <w:sz w:val="21"/>
        </w:rPr>
      </w:pPr>
      <w:r>
        <w:rPr>
          <w:rFonts w:hint="default" w:ascii="Times New Roman" w:hAnsi="Times New Roman" w:eastAsia="仿宋_GB2312" w:cs="Times New Roman"/>
          <w:snapToGrid/>
          <w:kern w:val="2"/>
          <w:sz w:val="32"/>
          <w:szCs w:val="32"/>
          <w:lang w:val="en-US" w:eastAsia="zh-CN" w:bidi="ar-SA"/>
        </w:rPr>
        <w:t>4. 强化区域协同治理：围绕企业经营主体注册登记、异地 就医结算、养老保险互转等服务事项开展跨城通办中存在的难 点、痛点问题，发挥数据要素的融合赋能作用，以数据流畅通跨城治理藩篱，体现跨城治理新技术、新产品、新服务、新应用及新商业模式，实现社会效益的最大化。</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eastAsia="zh-CN"/>
        </w:rPr>
      </w:pPr>
      <w:r>
        <w:rPr>
          <w:rFonts w:hint="default" w:ascii="Times New Roman" w:hAnsi="Times New Roman" w:eastAsia="黑体" w:cs="Times New Roman"/>
          <w:snapToGrid/>
          <w:kern w:val="2"/>
          <w:sz w:val="32"/>
          <w:szCs w:val="32"/>
          <w:lang w:eastAsia="zh-CN"/>
        </w:rPr>
        <w:t>赛道十二 :  数据要素 × 绿色低碳领域赛题指南</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1. 优化生态环境治理服务：面向气象和水文耦合预报、受灾分析、河湖岸线监测、突发水事件应急处置、重污染天气应对、城市水环境精细化管理、环境风险评估和绿色信贷等领域现实需求，通过对生态环境及气象、水利、交通、电力等相关领域数据资源的融合创新应用，支撑生态环境精准化治理服务。</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促进用能效率提升：强化工业生产过程中订单、排产、 用电等制造、能源数据的融合创新应用，打造能耗预测、多能互补、梯度定价等创新场景，支撑生产用能效率提升。</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3. 促进资源循环利用：强化对固体废物收集、转移、利用、处置等各环节数据资源的融合创新应用，提升产废、运输、资源化利用各环节效率，促进固废、危废资源化利用。</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4. 促进生产减排降碳：通过对行业或产品碳排放数据监测 、统计、核算，开展产品碳足迹测算与评价，服务行业、企业、生产过程减排降碳，提升碳排放管理水平。</w:t>
      </w:r>
    </w:p>
    <w:p>
      <w:pPr>
        <w:keepNext w:val="0"/>
        <w:keepLines w:val="0"/>
        <w:pageBreakBefore w:val="0"/>
        <w:widowControl w:val="0"/>
        <w:kinsoku/>
        <w:wordWrap/>
        <w:overflowPunct w:val="0"/>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黑体" w:cs="Times New Roman"/>
          <w:snapToGrid/>
          <w:kern w:val="2"/>
          <w:sz w:val="32"/>
          <w:szCs w:val="32"/>
          <w:lang w:eastAsia="zh-CN"/>
        </w:rPr>
      </w:pPr>
      <w:r>
        <w:rPr>
          <w:rFonts w:hint="default" w:ascii="Times New Roman" w:hAnsi="Times New Roman" w:eastAsia="黑体" w:cs="Times New Roman"/>
          <w:snapToGrid/>
          <w:kern w:val="2"/>
          <w:sz w:val="32"/>
          <w:szCs w:val="32"/>
          <w:lang w:eastAsia="zh-CN"/>
        </w:rPr>
        <w:t>赛道十三 :  数据要素×区域协同赛道赛题指南</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1. 数据推动京津冀产业协同：推进数据赋能区域产业协同 创新，加强区域创新链、产业链和供应链的数据共享和协同应 用，实现对京津冀地区经济运行状况的全面感知、形势预判和趋势调度，打造京津冀协同创新共同体。</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 提升京津冀医疗服务水平：针对京津冀医疗资源分布存在不均衡的特征，深化信息化建设，提升京津冀医疗服务能力，构建区域医疗信息平台，推动京津冀三地医疗信息共享，包括医保关系转移接续、电子病历、医学影像、检验结果等；推广互联网医疗，开展远程诊疗、在线预约、药品配送等服务；推动智能医疗设备的研发与应用，利用人工智能、物联网等先进技术，提升医疗服务的智能化水平。</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3. 加强京津冀生态环境协同保护：京津冀地区山同脉、水  同源，同处一个生态系统，是生态和经济共同体。推动大数据、 人工智能、物联网等技术赋能三地生态保护、绿色发展、气象监测、灾害预警、应急管理，加强京津冀地区生态环境协同保护，提升京津冀三地民生福祉。</w:t>
      </w:r>
    </w:p>
    <w:p>
      <w:pPr>
        <w:pStyle w:val="3"/>
        <w:keepNext w:val="0"/>
        <w:keepLines w:val="0"/>
        <w:pageBreakBefore w:val="0"/>
        <w:widowControl w:val="0"/>
        <w:kinsoku/>
        <w:wordWrap/>
        <w:overflowPunct w:val="0"/>
        <w:topLinePunct w:val="0"/>
        <w:bidi w:val="0"/>
        <w:spacing w:line="540" w:lineRule="exact"/>
        <w:ind w:left="3" w:right="116" w:firstLine="630"/>
        <w:jc w:val="both"/>
        <w:rPr>
          <w:rFonts w:hint="default" w:ascii="Times New Roman" w:hAnsi="Times New Roman" w:cs="Times New Roman"/>
          <w:sz w:val="21"/>
        </w:rPr>
      </w:pPr>
      <w:r>
        <w:rPr>
          <w:rFonts w:hint="default" w:ascii="Times New Roman" w:hAnsi="Times New Roman" w:eastAsia="仿宋_GB2312" w:cs="Times New Roman"/>
          <w:snapToGrid/>
          <w:kern w:val="2"/>
          <w:sz w:val="32"/>
          <w:szCs w:val="32"/>
          <w:lang w:val="en-US" w:eastAsia="zh-CN" w:bidi="ar-SA"/>
        </w:rPr>
        <w:t>4. 拓展京津冀数字化应用场景：围绕区域金融服务、文化 旅游、教育教学、政务服务跨省通办、司法保障等方面协同业 务，探索打造服务京津冀区域一体化的应用场景，推进数据要素在区域行业和领域的广泛利用。</w:t>
      </w:r>
      <w:bookmarkStart w:id="0" w:name="_GoBack"/>
      <w:bookmarkEnd w:id="0"/>
    </w:p>
    <w:sectPr>
      <w:footerReference r:id="rId5" w:type="default"/>
      <w:pgSz w:w="11907" w:h="16841"/>
      <w:pgMar w:top="1431" w:right="1560" w:bottom="400" w:left="156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6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SimHei">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7A3980"/>
    <w:multiLevelType w:val="singleLevel"/>
    <w:tmpl w:val="C77A3980"/>
    <w:lvl w:ilvl="0" w:tentative="0">
      <w:start w:val="1"/>
      <w:numFmt w:val="decimal"/>
      <w:suff w:val="space"/>
      <w:lvlText w:val="%1."/>
      <w:lvlJc w:val="left"/>
    </w:lvl>
  </w:abstractNum>
  <w:abstractNum w:abstractNumId="1">
    <w:nsid w:val="D05CF1BE"/>
    <w:multiLevelType w:val="singleLevel"/>
    <w:tmpl w:val="D05CF1BE"/>
    <w:lvl w:ilvl="0" w:tentative="0">
      <w:start w:val="1"/>
      <w:numFmt w:val="decimal"/>
      <w:suff w:val="space"/>
      <w:lvlText w:val="%1."/>
      <w:lvlJc w:val="left"/>
    </w:lvl>
  </w:abstractNum>
  <w:abstractNum w:abstractNumId="2">
    <w:nsid w:val="EE73BE0B"/>
    <w:multiLevelType w:val="singleLevel"/>
    <w:tmpl w:val="EE73BE0B"/>
    <w:lvl w:ilvl="0" w:tentative="0">
      <w:start w:val="4"/>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7FD7E18"/>
    <w:rsid w:val="46B7D271"/>
    <w:rsid w:val="62CE6BDF"/>
    <w:rsid w:val="777FED8F"/>
    <w:rsid w:val="77F5F568"/>
    <w:rsid w:val="79EDEFA6"/>
    <w:rsid w:val="7BB62638"/>
    <w:rsid w:val="7FD97CB5"/>
    <w:rsid w:val="8E6F2822"/>
    <w:rsid w:val="A5DFAB63"/>
    <w:rsid w:val="ADBF74A2"/>
    <w:rsid w:val="BDFEAF2A"/>
    <w:rsid w:val="D7B5E75B"/>
    <w:rsid w:val="EFFF564C"/>
    <w:rsid w:val="F6FFC2EA"/>
    <w:rsid w:val="FBDF91A2"/>
    <w:rsid w:val="FDEB0A7B"/>
    <w:rsid w:val="FE7F1172"/>
    <w:rsid w:val="FEBE6D2F"/>
    <w:rsid w:val="FFBF9C81"/>
    <w:rsid w:val="FFFBDB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60" w:lineRule="auto"/>
      <w:ind w:firstLine="420" w:firstLineChars="200"/>
    </w:pPr>
    <w:rPr>
      <w:szCs w:val="21"/>
    </w:rPr>
  </w:style>
  <w:style w:type="paragraph" w:styleId="3">
    <w:name w:val="Body Text"/>
    <w:basedOn w:val="1"/>
    <w:semiHidden/>
    <w:qFormat/>
    <w:uiPriority w:val="0"/>
    <w:rPr>
      <w:rFonts w:ascii="微软雅黑" w:hAnsi="微软雅黑" w:eastAsia="微软雅黑" w:cs="微软雅黑"/>
      <w:sz w:val="39"/>
      <w:szCs w:val="39"/>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33</TotalTime>
  <ScaleCrop>false</ScaleCrop>
  <LinksUpToDate>false</LinksUpToDate>
  <Application>WPS Office_12.8.2.1112_F1E327BC-269C-435d-A152-05C5408002CA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2024-07-20T07:36:00Z</dcterms:created>
  <dc:creator>作者</dc:creator>
  <cp:keywords>关键字</cp:keywords>
  <cp:lastModifiedBy>赵阿喵</cp:lastModifiedBy>
  <dcterms:modified xsi:type="dcterms:W3CDTF">2024-07-26T11:54:19Z</dcterms:modified>
  <dc:subject>科目</dc:subject>
  <dc:title>标题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2024-07-25T11:03:22Z</vt:filetime>
  </property>
  <property fmtid="{D5CDD505-2E9C-101B-9397-08002B2CF9AE}" pid="4" name="KSOProductBuildVer">
    <vt:lpwstr>2052-12.8.2.1112</vt:lpwstr>
  </property>
  <property fmtid="{D5CDD505-2E9C-101B-9397-08002B2CF9AE}" pid="5" name="ICV">
    <vt:lpwstr>6670DB078A8980008C02A2663B853B1A_43</vt:lpwstr>
  </property>
</Properties>
</file>