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AF76">
      <w:pPr>
        <w:pStyle w:val="17"/>
        <w:ind w:left="0" w:leftChars="0" w:firstLine="0" w:firstLineChars="0"/>
        <w:jc w:val="left"/>
        <w:rPr>
          <w:rFonts w:ascii="仿宋_GB2312" w:eastAsia="仿宋_GB2312"/>
          <w:highlight w:val="none"/>
        </w:rPr>
      </w:pPr>
      <w:r>
        <w:rPr>
          <w:rFonts w:hint="eastAsia" w:ascii="仿宋_GB2312" w:eastAsia="仿宋_GB2312"/>
          <w:highlight w:val="none"/>
        </w:rPr>
        <w:t>附件1:</w:t>
      </w:r>
    </w:p>
    <w:p w14:paraId="1B531039">
      <w:pPr>
        <w:keepNext w:val="0"/>
        <w:keepLines w:val="0"/>
        <w:pageBreakBefore w:val="0"/>
        <w:widowControl w:val="0"/>
        <w:kinsoku/>
        <w:wordWrap/>
        <w:overflowPunct/>
        <w:topLinePunct w:val="0"/>
        <w:autoSpaceDE/>
        <w:autoSpaceDN/>
        <w:bidi w:val="0"/>
        <w:adjustRightInd/>
        <w:snapToGrid w:val="0"/>
        <w:spacing w:line="240" w:lineRule="auto"/>
        <w:ind w:left="0" w:firstLine="0" w:firstLineChars="0"/>
        <w:jc w:val="center"/>
        <w:textAlignment w:val="auto"/>
        <w:rPr>
          <w:rFonts w:hint="eastAsia" w:ascii="方正小标宋简体" w:eastAsia="方正小标宋简体" w:cs="方正小标宋简体"/>
          <w:i w:val="0"/>
          <w:iCs w:val="0"/>
          <w:caps w:val="0"/>
          <w:smallCaps w:val="0"/>
          <w:color w:val="000000"/>
          <w:spacing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rPr>
        <w:t>“廊坊市规范入企行政执法系统”</w:t>
      </w:r>
    </w:p>
    <w:p w14:paraId="27F4C13B">
      <w:pPr>
        <w:keepNext w:val="0"/>
        <w:keepLines w:val="0"/>
        <w:pageBreakBefore w:val="0"/>
        <w:widowControl w:val="0"/>
        <w:kinsoku/>
        <w:wordWrap/>
        <w:overflowPunct/>
        <w:topLinePunct w:val="0"/>
        <w:autoSpaceDE/>
        <w:autoSpaceDN/>
        <w:bidi w:val="0"/>
        <w:adjustRightInd/>
        <w:snapToGrid w:val="0"/>
        <w:spacing w:line="240" w:lineRule="auto"/>
        <w:ind w:left="0" w:firstLine="0" w:firstLineChars="0"/>
        <w:jc w:val="center"/>
        <w:textAlignment w:val="auto"/>
        <w:rPr>
          <w:rFonts w:hint="eastAsia" w:ascii="方正小标宋简体" w:eastAsia="方正小标宋简体" w:cs="方正小标宋简体"/>
          <w:i w:val="0"/>
          <w:iCs w:val="0"/>
          <w:caps w:val="0"/>
          <w:smallCaps w:val="0"/>
          <w:color w:val="000000"/>
          <w:spacing w:val="0"/>
          <w:sz w:val="44"/>
          <w:szCs w:val="44"/>
          <w:highlight w:val="none"/>
        </w:rPr>
      </w:pPr>
      <w:r>
        <w:rPr>
          <w:rFonts w:hint="eastAsia" w:ascii="方正小标宋简体" w:eastAsia="方正小标宋简体" w:cs="方正小标宋简体"/>
          <w:i w:val="0"/>
          <w:iCs w:val="0"/>
          <w:caps w:val="0"/>
          <w:smallCaps w:val="0"/>
          <w:color w:val="000000"/>
          <w:spacing w:val="0"/>
          <w:sz w:val="44"/>
          <w:szCs w:val="44"/>
          <w:highlight w:val="none"/>
          <w:lang w:val="en-US" w:eastAsia="zh-CN"/>
        </w:rPr>
        <w:t>设计方案编制大纲</w:t>
      </w:r>
    </w:p>
    <w:p w14:paraId="0ACD6F3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仿宋_GB2312" w:eastAsia="仿宋_GB2312" w:cs="仿宋_GB2312"/>
          <w:b w:val="0"/>
          <w:bCs/>
          <w:sz w:val="32"/>
          <w:szCs w:val="32"/>
          <w:highlight w:val="none"/>
        </w:rPr>
      </w:pPr>
    </w:p>
    <w:p w14:paraId="10B98DD9">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0"/>
        <w:rPr>
          <w:rFonts w:hint="eastAsia" w:ascii="黑体" w:eastAsia="黑体" w:cs="黑体"/>
          <w:b w:val="0"/>
          <w:bCs/>
          <w:sz w:val="32"/>
          <w:szCs w:val="32"/>
          <w:highlight w:val="none"/>
          <w:lang w:val="en-US" w:eastAsia="zh-CN"/>
        </w:rPr>
      </w:pPr>
      <w:r>
        <w:rPr>
          <w:rFonts w:hint="eastAsia" w:ascii="黑体" w:eastAsia="黑体" w:cs="黑体"/>
          <w:b w:val="0"/>
          <w:bCs/>
          <w:sz w:val="32"/>
          <w:szCs w:val="32"/>
          <w:highlight w:val="none"/>
          <w:lang w:val="en-US" w:eastAsia="zh-CN"/>
        </w:rPr>
        <w:t>一、设计主体简介</w:t>
      </w:r>
    </w:p>
    <w:p w14:paraId="63D1B6F0">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val="en-US" w:eastAsia="zh-CN"/>
        </w:rPr>
      </w:pPr>
      <w:r>
        <w:rPr>
          <w:rFonts w:hint="eastAsia" w:ascii="仿宋_GB2312" w:eastAsia="仿宋_GB2312" w:cs="方正仿宋_GB2312"/>
          <w:sz w:val="32"/>
          <w:szCs w:val="32"/>
          <w:highlight w:val="none"/>
          <w:lang w:val="en-US" w:eastAsia="zh-CN"/>
        </w:rPr>
        <w:t>（包括但不限于：</w:t>
      </w:r>
      <w:r>
        <w:rPr>
          <w:rFonts w:hint="eastAsia" w:ascii="仿宋_GB2312" w:eastAsia="仿宋_GB2312" w:cs="方正仿宋_GB2312"/>
          <w:kern w:val="0"/>
          <w:sz w:val="32"/>
          <w:szCs w:val="32"/>
          <w:highlight w:val="none"/>
          <w:lang w:val="en-US" w:eastAsia="zh-CN"/>
        </w:rPr>
        <w:t>单位</w:t>
      </w:r>
      <w:r>
        <w:rPr>
          <w:rFonts w:hint="eastAsia" w:ascii="仿宋_GB2312" w:eastAsia="仿宋_GB2312" w:cs="方正仿宋_GB2312"/>
          <w:sz w:val="32"/>
          <w:szCs w:val="32"/>
          <w:highlight w:val="none"/>
          <w:lang w:val="en-US" w:eastAsia="zh-CN"/>
        </w:rPr>
        <w:t>名称、资质证明、技术能力等内容，此部分内容需单独成册）</w:t>
      </w:r>
    </w:p>
    <w:p w14:paraId="6BAA9859">
      <w:pPr>
        <w:pStyle w:val="23"/>
        <w:keepNext w:val="0"/>
        <w:keepLines w:val="0"/>
        <w:pageBreakBefore w:val="0"/>
        <w:widowControl w:val="0"/>
        <w:kinsoku/>
        <w:wordWrap/>
        <w:overflowPunct/>
        <w:topLinePunct w:val="0"/>
        <w:autoSpaceDE/>
        <w:autoSpaceDN/>
        <w:bidi w:val="0"/>
        <w:adjustRightInd/>
        <w:snapToGrid/>
        <w:spacing w:line="580" w:lineRule="exact"/>
        <w:ind w:firstLine="656" w:firstLineChars="200"/>
        <w:textAlignment w:val="auto"/>
        <w:rPr>
          <w:rFonts w:hint="default" w:ascii="黑体" w:eastAsia="黑体" w:cs="黑体"/>
          <w:sz w:val="32"/>
          <w:szCs w:val="32"/>
          <w:highlight w:val="none"/>
          <w:lang w:val="en-US" w:eastAsia="zh-CN"/>
        </w:rPr>
      </w:pPr>
      <w:r>
        <w:rPr>
          <w:rFonts w:hint="eastAsia" w:ascii="黑体" w:eastAsia="黑体" w:cs="黑体"/>
          <w:b w:val="0"/>
          <w:bCs/>
          <w:sz w:val="32"/>
          <w:szCs w:val="32"/>
          <w:highlight w:val="none"/>
          <w:lang w:val="en-US" w:eastAsia="zh-CN"/>
        </w:rPr>
        <w:t>二、设计方案编制模板</w:t>
      </w:r>
    </w:p>
    <w:p w14:paraId="14110651">
      <w:pPr>
        <w:keepNext w:val="0"/>
        <w:keepLines w:val="0"/>
        <w:pageBreakBefore w:val="0"/>
        <w:widowControl w:val="0"/>
        <w:kinsoku/>
        <w:wordWrap/>
        <w:overflowPunct/>
        <w:topLinePunct w:val="0"/>
        <w:autoSpaceDE/>
        <w:autoSpaceDN/>
        <w:bidi w:val="0"/>
        <w:adjustRightInd/>
        <w:snapToGrid/>
        <w:spacing w:line="580" w:lineRule="exact"/>
        <w:textAlignment w:val="auto"/>
        <w:outlineLvl w:val="0"/>
        <w:rPr>
          <w:rFonts w:ascii="方正仿宋_GB2312" w:eastAsia="方正仿宋_GB2312" w:cs="方正仿宋_GB2312"/>
          <w:b w:val="0"/>
          <w:bCs/>
          <w:sz w:val="32"/>
          <w:szCs w:val="32"/>
          <w:highlight w:val="none"/>
          <w:lang w:val="en-US" w:eastAsia="zh-CN"/>
        </w:rPr>
      </w:pPr>
      <w:r>
        <w:rPr>
          <w:rFonts w:hint="eastAsia" w:ascii="方正仿宋_GB2312" w:eastAsia="方正仿宋_GB2312" w:cs="方正仿宋_GB2312"/>
          <w:b w:val="0"/>
          <w:bCs/>
          <w:sz w:val="32"/>
          <w:szCs w:val="32"/>
          <w:highlight w:val="none"/>
          <w:lang w:val="en-US" w:eastAsia="zh-CN"/>
        </w:rPr>
        <w:t>应征设计方案按照如下格式编辑：</w:t>
      </w:r>
    </w:p>
    <w:p w14:paraId="0B20DAD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0"/>
        <w:rPr>
          <w:rFonts w:hint="eastAsia" w:ascii="方正仿宋_GB2312" w:eastAsia="方正仿宋_GB2312" w:cs="方正仿宋_GB2312"/>
          <w:b w:val="0"/>
          <w:bCs/>
          <w:sz w:val="32"/>
          <w:szCs w:val="32"/>
          <w:highlight w:val="none"/>
        </w:rPr>
      </w:pPr>
      <w:r>
        <w:rPr>
          <w:rFonts w:hint="eastAsia" w:ascii="方正仿宋_GB2312" w:eastAsia="方正仿宋_GB2312" w:cs="方正仿宋_GB2312"/>
          <w:b w:val="0"/>
          <w:bCs/>
          <w:sz w:val="32"/>
          <w:szCs w:val="32"/>
          <w:highlight w:val="none"/>
          <w:lang w:val="en-US" w:eastAsia="zh-CN"/>
        </w:rPr>
        <w:t>1.系统</w:t>
      </w:r>
      <w:r>
        <w:rPr>
          <w:rFonts w:hint="eastAsia" w:ascii="方正仿宋_GB2312" w:eastAsia="方正仿宋_GB2312" w:cs="方正仿宋_GB2312"/>
          <w:b w:val="0"/>
          <w:bCs/>
          <w:sz w:val="32"/>
          <w:szCs w:val="32"/>
          <w:highlight w:val="none"/>
        </w:rPr>
        <w:t>简介</w:t>
      </w:r>
    </w:p>
    <w:p w14:paraId="5526E95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 xml:space="preserve">1.1 </w:t>
      </w:r>
      <w:r>
        <w:rPr>
          <w:rFonts w:hint="eastAsia" w:ascii="方正仿宋_GB2312" w:eastAsia="方正仿宋_GB2312" w:cs="方正仿宋_GB2312"/>
          <w:sz w:val="32"/>
          <w:szCs w:val="32"/>
          <w:highlight w:val="none"/>
          <w:lang w:val="en-US" w:eastAsia="zh-CN"/>
        </w:rPr>
        <w:t>系统</w:t>
      </w:r>
      <w:r>
        <w:rPr>
          <w:rFonts w:hint="eastAsia" w:ascii="方正仿宋_GB2312" w:eastAsia="方正仿宋_GB2312" w:cs="方正仿宋_GB2312"/>
          <w:sz w:val="32"/>
          <w:szCs w:val="32"/>
          <w:highlight w:val="none"/>
        </w:rPr>
        <w:t>名称</w:t>
      </w:r>
    </w:p>
    <w:p w14:paraId="07C0968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1.2 建设方案的编制依据</w:t>
      </w:r>
    </w:p>
    <w:p w14:paraId="4A23FF32">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列举</w:t>
      </w:r>
      <w:r>
        <w:rPr>
          <w:rFonts w:hint="eastAsia" w:ascii="仿宋_GB2312" w:eastAsia="仿宋_GB2312" w:cs="方正仿宋_GB2312"/>
          <w:sz w:val="32"/>
          <w:szCs w:val="32"/>
          <w:highlight w:val="none"/>
          <w:lang w:val="en-US" w:eastAsia="zh-CN"/>
        </w:rPr>
        <w:t>设计方案</w:t>
      </w:r>
      <w:r>
        <w:rPr>
          <w:rFonts w:hint="eastAsia" w:ascii="仿宋_GB2312" w:eastAsia="仿宋_GB2312" w:cs="方正仿宋_GB2312"/>
          <w:sz w:val="32"/>
          <w:szCs w:val="32"/>
          <w:highlight w:val="none"/>
        </w:rPr>
        <w:t>所依据的</w:t>
      </w:r>
      <w:r>
        <w:rPr>
          <w:rFonts w:hint="eastAsia" w:ascii="仿宋_GB2312" w:eastAsia="仿宋_GB2312" w:cs="方正仿宋_GB2312"/>
          <w:sz w:val="32"/>
          <w:szCs w:val="32"/>
          <w:highlight w:val="none"/>
          <w:lang w:val="en-US" w:eastAsia="zh-CN"/>
        </w:rPr>
        <w:t>主要</w:t>
      </w:r>
      <w:r>
        <w:rPr>
          <w:rFonts w:hint="eastAsia" w:ascii="仿宋_GB2312" w:eastAsia="仿宋_GB2312" w:cs="方正仿宋_GB2312"/>
          <w:sz w:val="32"/>
          <w:szCs w:val="32"/>
          <w:highlight w:val="none"/>
        </w:rPr>
        <w:t>相关文件和资料的名称、文号、发布日期等</w:t>
      </w:r>
      <w:r>
        <w:rPr>
          <w:rFonts w:hint="eastAsia" w:ascii="仿宋_GB2312" w:eastAsia="仿宋_GB2312" w:cs="方正仿宋_GB2312"/>
          <w:sz w:val="32"/>
          <w:szCs w:val="32"/>
          <w:highlight w:val="none"/>
          <w:lang w:eastAsia="zh-CN"/>
        </w:rPr>
        <w:t>）</w:t>
      </w:r>
    </w:p>
    <w:p w14:paraId="1EC63D0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 xml:space="preserve"> 1.3 建设目标、规模、内容、周期</w:t>
      </w:r>
    </w:p>
    <w:p w14:paraId="45806E75">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简述</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rPr>
        <w:t>的建设目标、规模、内容、建设周期</w:t>
      </w:r>
      <w:r>
        <w:rPr>
          <w:rFonts w:hint="eastAsia" w:ascii="仿宋_GB2312" w:eastAsia="仿宋_GB2312" w:cs="方正仿宋_GB2312"/>
          <w:sz w:val="32"/>
          <w:szCs w:val="32"/>
          <w:highlight w:val="none"/>
          <w:lang w:eastAsia="zh-CN"/>
        </w:rPr>
        <w:t>）</w:t>
      </w:r>
    </w:p>
    <w:p w14:paraId="6F53793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1.4经济及社会效益</w:t>
      </w:r>
    </w:p>
    <w:p w14:paraId="7AD5464B">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简述</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rPr>
        <w:t>建成后能带来的经济及社会效益</w:t>
      </w:r>
      <w:r>
        <w:rPr>
          <w:rFonts w:hint="eastAsia" w:ascii="仿宋_GB2312" w:eastAsia="仿宋_GB2312" w:cs="方正仿宋_GB2312"/>
          <w:sz w:val="32"/>
          <w:szCs w:val="32"/>
          <w:highlight w:val="none"/>
          <w:lang w:eastAsia="zh-CN"/>
        </w:rPr>
        <w:t>）</w:t>
      </w:r>
    </w:p>
    <w:p w14:paraId="0B1E932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1.</w:t>
      </w:r>
      <w:r>
        <w:rPr>
          <w:rFonts w:hint="eastAsia" w:ascii="方正仿宋_GB2312" w:eastAsia="方正仿宋_GB2312" w:cs="方正仿宋_GB2312"/>
          <w:sz w:val="32"/>
          <w:szCs w:val="32"/>
          <w:highlight w:val="none"/>
          <w:lang w:val="en-US" w:eastAsia="zh-CN"/>
        </w:rPr>
        <w:t>5</w:t>
      </w:r>
      <w:r>
        <w:rPr>
          <w:rFonts w:hint="eastAsia" w:ascii="方正仿宋_GB2312" w:eastAsia="方正仿宋_GB2312" w:cs="方正仿宋_GB2312"/>
          <w:sz w:val="32"/>
          <w:szCs w:val="32"/>
          <w:highlight w:val="none"/>
        </w:rPr>
        <w:t>结论及建议</w:t>
      </w:r>
    </w:p>
    <w:p w14:paraId="4416B281">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default" w:ascii="仿宋_GB2312" w:eastAsia="仿宋_GB2312" w:cs="方正仿宋_GB2312"/>
          <w:sz w:val="32"/>
          <w:szCs w:val="32"/>
          <w:highlight w:val="none"/>
          <w:lang w:val="en-US"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简述开展</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rPr>
        <w:t>建设的结论。对于需要解决的问题，可以提出相关建议</w:t>
      </w:r>
      <w:r>
        <w:rPr>
          <w:rFonts w:hint="eastAsia" w:ascii="仿宋_GB2312" w:eastAsia="仿宋_GB2312" w:cs="方正仿宋_GB2312"/>
          <w:sz w:val="32"/>
          <w:szCs w:val="32"/>
          <w:highlight w:val="none"/>
          <w:lang w:val="en-US" w:eastAsia="zh-CN"/>
        </w:rPr>
        <w:t>，平台</w:t>
      </w:r>
      <w:r>
        <w:rPr>
          <w:rFonts w:hint="eastAsia" w:ascii="仿宋_GB2312" w:eastAsia="仿宋_GB2312" w:cs="方正仿宋_GB2312"/>
          <w:sz w:val="32"/>
          <w:szCs w:val="32"/>
          <w:highlight w:val="none"/>
          <w:lang w:eastAsia="zh-CN"/>
        </w:rPr>
        <w:t>简介</w:t>
      </w:r>
      <w:r>
        <w:rPr>
          <w:rFonts w:hint="eastAsia" w:ascii="仿宋_GB2312" w:eastAsia="仿宋_GB2312" w:cs="方正仿宋_GB2312"/>
          <w:sz w:val="32"/>
          <w:szCs w:val="32"/>
          <w:highlight w:val="none"/>
          <w:lang w:val="en-US" w:eastAsia="zh-CN"/>
        </w:rPr>
        <w:t>部分整体篇幅不超过3000字</w:t>
      </w:r>
      <w:r>
        <w:rPr>
          <w:rFonts w:hint="eastAsia" w:ascii="仿宋_GB2312" w:eastAsia="仿宋_GB2312" w:cs="方正仿宋_GB2312"/>
          <w:sz w:val="32"/>
          <w:szCs w:val="32"/>
          <w:highlight w:val="none"/>
          <w:lang w:eastAsia="zh-CN"/>
        </w:rPr>
        <w:t>）</w:t>
      </w:r>
    </w:p>
    <w:p w14:paraId="7F5CA6A3">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0"/>
        <w:rPr>
          <w:rFonts w:hint="eastAsia" w:ascii="方正仿宋_GB2312" w:eastAsia="方正仿宋_GB2312" w:cs="方正仿宋_GB2312"/>
          <w:b w:val="0"/>
          <w:bCs/>
          <w:sz w:val="32"/>
          <w:szCs w:val="32"/>
          <w:highlight w:val="none"/>
        </w:rPr>
      </w:pPr>
      <w:r>
        <w:rPr>
          <w:rFonts w:hint="eastAsia" w:ascii="方正仿宋_GB2312" w:eastAsia="方正仿宋_GB2312" w:cs="方正仿宋_GB2312"/>
          <w:b w:val="0"/>
          <w:bCs/>
          <w:sz w:val="32"/>
          <w:szCs w:val="32"/>
          <w:highlight w:val="none"/>
          <w:lang w:val="en-US" w:eastAsia="zh-CN"/>
        </w:rPr>
        <w:t>2.</w:t>
      </w:r>
      <w:r>
        <w:rPr>
          <w:rFonts w:hint="eastAsia" w:ascii="方正仿宋_GB2312" w:eastAsia="方正仿宋_GB2312" w:cs="方正仿宋_GB2312"/>
          <w:b w:val="0"/>
          <w:bCs/>
          <w:sz w:val="32"/>
          <w:szCs w:val="32"/>
          <w:highlight w:val="none"/>
        </w:rPr>
        <w:t>现状及需求分析</w:t>
      </w:r>
    </w:p>
    <w:p w14:paraId="320265CE">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bCs/>
          <w:sz w:val="32"/>
          <w:szCs w:val="32"/>
          <w:highlight w:val="none"/>
          <w:lang w:eastAsia="zh-CN"/>
        </w:rPr>
      </w:pPr>
      <w:r>
        <w:rPr>
          <w:rFonts w:hint="eastAsia" w:ascii="仿宋_GB2312" w:eastAsia="仿宋_GB2312" w:cs="方正仿宋_GB2312"/>
          <w:bCs/>
          <w:sz w:val="32"/>
          <w:szCs w:val="32"/>
          <w:highlight w:val="none"/>
          <w:lang w:eastAsia="zh-CN"/>
        </w:rPr>
        <w:t>（</w:t>
      </w:r>
      <w:r>
        <w:rPr>
          <w:rFonts w:hint="eastAsia" w:ascii="仿宋_GB2312" w:eastAsia="仿宋_GB2312" w:cs="方正仿宋_GB2312"/>
          <w:bCs/>
          <w:sz w:val="32"/>
          <w:szCs w:val="32"/>
          <w:highlight w:val="none"/>
          <w:lang w:val="en-US" w:eastAsia="zh-CN"/>
        </w:rPr>
        <w:t>可略，也可通过咨询后撰写，</w:t>
      </w:r>
      <w:r>
        <w:rPr>
          <w:rFonts w:hint="eastAsia" w:ascii="方正仿宋_GB2312" w:eastAsia="方正仿宋_GB2312" w:cs="方正仿宋_GB2312"/>
          <w:b w:val="0"/>
          <w:bCs/>
          <w:sz w:val="32"/>
          <w:szCs w:val="32"/>
          <w:highlight w:val="none"/>
          <w:lang w:eastAsia="zh-CN"/>
        </w:rPr>
        <w:t>“</w:t>
      </w:r>
      <w:r>
        <w:rPr>
          <w:rFonts w:hint="eastAsia" w:ascii="方正仿宋_GB2312" w:eastAsia="方正仿宋_GB2312" w:cs="方正仿宋_GB2312"/>
          <w:b w:val="0"/>
          <w:bCs/>
          <w:sz w:val="32"/>
          <w:szCs w:val="32"/>
          <w:highlight w:val="none"/>
        </w:rPr>
        <w:t>现状及需求分析</w:t>
      </w:r>
      <w:r>
        <w:rPr>
          <w:rFonts w:hint="eastAsia" w:ascii="仿宋_GB2312" w:eastAsia="仿宋_GB2312" w:cs="方正仿宋_GB2312"/>
          <w:sz w:val="32"/>
          <w:szCs w:val="32"/>
          <w:highlight w:val="none"/>
          <w:lang w:val="en-US" w:eastAsia="zh-CN"/>
        </w:rPr>
        <w:t>部分</w:t>
      </w:r>
      <w:r>
        <w:rPr>
          <w:rFonts w:hint="eastAsia" w:ascii="方正仿宋_GB2312" w:eastAsia="方正仿宋_GB2312" w:cs="方正仿宋_GB2312"/>
          <w:b w:val="0"/>
          <w:bCs/>
          <w:sz w:val="32"/>
          <w:szCs w:val="32"/>
          <w:highlight w:val="none"/>
          <w:lang w:eastAsia="zh-CN"/>
        </w:rPr>
        <w:t>”</w:t>
      </w:r>
      <w:r>
        <w:rPr>
          <w:rFonts w:hint="eastAsia" w:ascii="仿宋_GB2312" w:eastAsia="仿宋_GB2312" w:cs="方正仿宋_GB2312"/>
          <w:sz w:val="32"/>
          <w:szCs w:val="32"/>
          <w:highlight w:val="none"/>
          <w:lang w:val="en-US" w:eastAsia="zh-CN"/>
        </w:rPr>
        <w:t>整体篇幅不超过3000字</w:t>
      </w:r>
      <w:r>
        <w:rPr>
          <w:rFonts w:hint="eastAsia" w:ascii="仿宋_GB2312" w:eastAsia="仿宋_GB2312" w:cs="方正仿宋_GB2312"/>
          <w:bCs/>
          <w:sz w:val="32"/>
          <w:szCs w:val="32"/>
          <w:highlight w:val="none"/>
          <w:lang w:eastAsia="zh-CN"/>
        </w:rPr>
        <w:t>）</w:t>
      </w:r>
    </w:p>
    <w:p w14:paraId="162A0A75">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方正仿宋_GB2312" w:eastAsia="方正仿宋_GB2312" w:cs="方正仿宋_GB2312"/>
          <w:bCs/>
          <w:sz w:val="32"/>
          <w:szCs w:val="32"/>
          <w:highlight w:val="none"/>
          <w:lang w:val="en-US" w:eastAsia="zh-CN"/>
        </w:rPr>
      </w:pPr>
      <w:r>
        <w:rPr>
          <w:rFonts w:hint="eastAsia" w:ascii="方正仿宋_GB2312" w:hAnsi="方正仿宋_GB2312" w:eastAsia="方正仿宋_GB2312" w:cs="方正仿宋_GB2312"/>
          <w:bCs/>
          <w:sz w:val="32"/>
          <w:szCs w:val="32"/>
          <w:highlight w:val="none"/>
          <w:lang w:val="en-US" w:eastAsia="zh-CN"/>
        </w:rPr>
        <w:t>3.系统</w:t>
      </w:r>
      <w:r>
        <w:rPr>
          <w:rFonts w:hint="eastAsia" w:ascii="方正仿宋_GB2312" w:eastAsia="方正仿宋_GB2312" w:cs="方正仿宋_GB2312"/>
          <w:bCs/>
          <w:sz w:val="32"/>
          <w:szCs w:val="32"/>
          <w:highlight w:val="none"/>
          <w:lang w:val="en-US" w:eastAsia="zh-CN"/>
        </w:rPr>
        <w:t>设计方案</w:t>
      </w:r>
    </w:p>
    <w:p w14:paraId="1C57952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3.1</w:t>
      </w:r>
      <w:r>
        <w:rPr>
          <w:rFonts w:hint="eastAsia" w:ascii="方正仿宋_GB2312" w:eastAsia="方正仿宋_GB2312" w:cs="方正仿宋_GB2312"/>
          <w:sz w:val="32"/>
          <w:szCs w:val="32"/>
          <w:highlight w:val="none"/>
          <w:lang w:val="en-US" w:eastAsia="zh-CN"/>
        </w:rPr>
        <w:t>设计</w:t>
      </w:r>
      <w:r>
        <w:rPr>
          <w:rFonts w:hint="eastAsia" w:ascii="方正仿宋_GB2312" w:eastAsia="方正仿宋_GB2312" w:cs="方正仿宋_GB2312"/>
          <w:sz w:val="32"/>
          <w:szCs w:val="32"/>
          <w:highlight w:val="none"/>
        </w:rPr>
        <w:t>原则</w:t>
      </w:r>
    </w:p>
    <w:p w14:paraId="4ABCD13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3.2</w:t>
      </w:r>
      <w:r>
        <w:rPr>
          <w:rFonts w:hint="eastAsia" w:ascii="方正仿宋_GB2312" w:eastAsia="方正仿宋_GB2312" w:cs="方正仿宋_GB2312"/>
          <w:sz w:val="32"/>
          <w:szCs w:val="32"/>
          <w:highlight w:val="none"/>
          <w:lang w:val="en-US" w:eastAsia="zh-CN"/>
        </w:rPr>
        <w:t>设计</w:t>
      </w:r>
      <w:r>
        <w:rPr>
          <w:rFonts w:hint="eastAsia" w:ascii="方正仿宋_GB2312" w:eastAsia="方正仿宋_GB2312" w:cs="方正仿宋_GB2312"/>
          <w:sz w:val="32"/>
          <w:szCs w:val="32"/>
          <w:highlight w:val="none"/>
        </w:rPr>
        <w:t>目标</w:t>
      </w:r>
    </w:p>
    <w:p w14:paraId="0BF534CA">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政务目标、业务目标、建设目标和建设规模、效益目标等</w:t>
      </w:r>
      <w:r>
        <w:rPr>
          <w:rFonts w:hint="eastAsia" w:ascii="仿宋_GB2312" w:eastAsia="仿宋_GB2312" w:cs="方正仿宋_GB2312"/>
          <w:sz w:val="32"/>
          <w:szCs w:val="32"/>
          <w:highlight w:val="none"/>
          <w:lang w:eastAsia="zh-CN"/>
        </w:rPr>
        <w:t>）</w:t>
      </w:r>
    </w:p>
    <w:p w14:paraId="7FD2301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3.3建设任务</w:t>
      </w:r>
    </w:p>
    <w:p w14:paraId="068A30AE">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简述</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rPr>
        <w:t>具体建设内容</w:t>
      </w:r>
      <w:r>
        <w:rPr>
          <w:rFonts w:hint="eastAsia" w:ascii="仿宋_GB2312" w:eastAsia="仿宋_GB2312" w:cs="方正仿宋_GB2312"/>
          <w:sz w:val="32"/>
          <w:szCs w:val="32"/>
          <w:highlight w:val="none"/>
          <w:lang w:eastAsia="zh-CN"/>
        </w:rPr>
        <w:t>）</w:t>
      </w:r>
    </w:p>
    <w:p w14:paraId="02758D0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3.4 总体架构</w:t>
      </w:r>
    </w:p>
    <w:p w14:paraId="37ECEC32">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描述</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rPr>
        <w:t>总体架构的设计内容</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平台架构图等</w:t>
      </w:r>
      <w:r>
        <w:rPr>
          <w:rFonts w:hint="eastAsia" w:ascii="仿宋_GB2312" w:eastAsia="仿宋_GB2312" w:cs="方正仿宋_GB2312"/>
          <w:sz w:val="32"/>
          <w:szCs w:val="32"/>
          <w:highlight w:val="none"/>
          <w:lang w:eastAsia="zh-CN"/>
        </w:rPr>
        <w:t>）</w:t>
      </w:r>
    </w:p>
    <w:p w14:paraId="0A13EE4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3.5标准规范</w:t>
      </w:r>
    </w:p>
    <w:p w14:paraId="4C2F7DD8">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详细列出</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rPr>
        <w:t>建设</w:t>
      </w:r>
      <w:r>
        <w:rPr>
          <w:rFonts w:hint="eastAsia" w:ascii="仿宋_GB2312" w:eastAsia="仿宋_GB2312" w:cs="方正仿宋_GB2312"/>
          <w:sz w:val="32"/>
          <w:szCs w:val="32"/>
          <w:highlight w:val="none"/>
          <w:lang w:val="en-US" w:eastAsia="zh-CN"/>
        </w:rPr>
        <w:t>主要涉及的</w:t>
      </w:r>
      <w:r>
        <w:rPr>
          <w:rFonts w:hint="eastAsia" w:ascii="仿宋_GB2312" w:eastAsia="仿宋_GB2312" w:cs="方正仿宋_GB2312"/>
          <w:sz w:val="32"/>
          <w:szCs w:val="32"/>
          <w:highlight w:val="none"/>
        </w:rPr>
        <w:t>规范和技术标准规范</w:t>
      </w:r>
      <w:r>
        <w:rPr>
          <w:rFonts w:hint="eastAsia" w:ascii="仿宋_GB2312" w:eastAsia="仿宋_GB2312" w:cs="方正仿宋_GB2312"/>
          <w:sz w:val="32"/>
          <w:szCs w:val="32"/>
          <w:highlight w:val="none"/>
          <w:lang w:eastAsia="zh-CN"/>
        </w:rPr>
        <w:t>）</w:t>
      </w:r>
    </w:p>
    <w:p w14:paraId="0A023FA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3.6信息资源规划和数据系统建设方案</w:t>
      </w:r>
    </w:p>
    <w:p w14:paraId="25D83E86">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详述</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rPr>
        <w:t>的信息</w:t>
      </w:r>
      <w:r>
        <w:rPr>
          <w:rFonts w:hint="eastAsia" w:ascii="仿宋_GB2312" w:eastAsia="仿宋_GB2312" w:cs="方正仿宋_GB2312"/>
          <w:sz w:val="32"/>
          <w:szCs w:val="32"/>
          <w:highlight w:val="none"/>
          <w:lang w:val="en-US" w:eastAsia="zh-CN"/>
        </w:rPr>
        <w:t>或数据</w:t>
      </w:r>
      <w:r>
        <w:rPr>
          <w:rFonts w:hint="eastAsia" w:ascii="仿宋_GB2312" w:eastAsia="仿宋_GB2312" w:cs="方正仿宋_GB2312"/>
          <w:sz w:val="32"/>
          <w:szCs w:val="32"/>
          <w:highlight w:val="none"/>
        </w:rPr>
        <w:t>资源建设规划</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数据库</w:t>
      </w:r>
      <w:r>
        <w:rPr>
          <w:rFonts w:hint="eastAsia" w:ascii="仿宋_GB2312" w:eastAsia="仿宋_GB2312" w:cs="方正仿宋_GB2312"/>
          <w:sz w:val="32"/>
          <w:szCs w:val="32"/>
          <w:highlight w:val="none"/>
          <w:lang w:val="en-US" w:eastAsia="zh-CN"/>
        </w:rPr>
        <w:t>设计和</w:t>
      </w:r>
      <w:r>
        <w:rPr>
          <w:rFonts w:hint="eastAsia" w:ascii="仿宋_GB2312" w:eastAsia="仿宋_GB2312" w:cs="方正仿宋_GB2312"/>
          <w:sz w:val="32"/>
          <w:szCs w:val="32"/>
          <w:highlight w:val="none"/>
        </w:rPr>
        <w:t>建设内容</w:t>
      </w:r>
      <w:r>
        <w:rPr>
          <w:rFonts w:hint="eastAsia" w:ascii="仿宋_GB2312" w:eastAsia="仿宋_GB2312" w:cs="方正仿宋_GB2312"/>
          <w:sz w:val="32"/>
          <w:szCs w:val="32"/>
          <w:highlight w:val="none"/>
          <w:lang w:eastAsia="zh-CN"/>
        </w:rPr>
        <w:t>，</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lang w:val="en-US" w:eastAsia="zh-CN"/>
        </w:rPr>
        <w:t>所需求数据的类型、结构、字段等，</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lang w:val="en-US" w:eastAsia="zh-CN"/>
        </w:rPr>
        <w:t>能共享开放数据的种类、结构、字段等</w:t>
      </w:r>
      <w:r>
        <w:rPr>
          <w:rFonts w:hint="eastAsia" w:ascii="仿宋_GB2312" w:eastAsia="仿宋_GB2312" w:cs="方正仿宋_GB2312"/>
          <w:sz w:val="32"/>
          <w:szCs w:val="32"/>
          <w:highlight w:val="none"/>
          <w:lang w:eastAsia="zh-CN"/>
        </w:rPr>
        <w:t>）</w:t>
      </w:r>
    </w:p>
    <w:p w14:paraId="220B551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方正仿宋_GB2312" w:eastAsia="方正仿宋_GB2312" w:cs="方正仿宋_GB2312"/>
          <w:sz w:val="32"/>
          <w:szCs w:val="32"/>
          <w:highlight w:val="none"/>
          <w:lang w:val="en-US"/>
        </w:rPr>
      </w:pPr>
      <w:r>
        <w:rPr>
          <w:rFonts w:hint="eastAsia" w:ascii="方正仿宋_GB2312" w:eastAsia="方正仿宋_GB2312" w:cs="方正仿宋_GB2312"/>
          <w:sz w:val="32"/>
          <w:szCs w:val="32"/>
          <w:highlight w:val="none"/>
        </w:rPr>
        <w:t>3.</w:t>
      </w:r>
      <w:r>
        <w:rPr>
          <w:rFonts w:hint="eastAsia" w:ascii="方正仿宋_GB2312" w:eastAsia="方正仿宋_GB2312" w:cs="方正仿宋_GB2312"/>
          <w:sz w:val="32"/>
          <w:szCs w:val="32"/>
          <w:highlight w:val="none"/>
          <w:lang w:val="en-US" w:eastAsia="zh-CN"/>
        </w:rPr>
        <w:t>7</w:t>
      </w:r>
      <w:r>
        <w:rPr>
          <w:rFonts w:hint="eastAsia" w:ascii="方正仿宋_GB2312" w:eastAsia="方正仿宋_GB2312" w:cs="方正仿宋_GB2312"/>
          <w:sz w:val="32"/>
          <w:szCs w:val="32"/>
          <w:highlight w:val="none"/>
        </w:rPr>
        <w:t xml:space="preserve"> 应用</w:t>
      </w:r>
      <w:r>
        <w:rPr>
          <w:rFonts w:hint="eastAsia" w:ascii="方正仿宋_GB2312" w:eastAsia="方正仿宋_GB2312" w:cs="方正仿宋_GB2312"/>
          <w:sz w:val="32"/>
          <w:szCs w:val="32"/>
          <w:highlight w:val="none"/>
          <w:lang w:val="en-US" w:eastAsia="zh-CN"/>
        </w:rPr>
        <w:t>功能设计</w:t>
      </w:r>
    </w:p>
    <w:p w14:paraId="4242E1D4">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针对</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lang w:val="en-US" w:eastAsia="zh-CN"/>
        </w:rPr>
        <w:t>具体需求，详细</w:t>
      </w:r>
      <w:r>
        <w:rPr>
          <w:rFonts w:hint="eastAsia" w:ascii="仿宋_GB2312" w:eastAsia="仿宋_GB2312" w:cs="方正仿宋_GB2312"/>
          <w:sz w:val="32"/>
          <w:szCs w:val="32"/>
          <w:highlight w:val="none"/>
        </w:rPr>
        <w:t>论述</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lang w:val="en-US" w:eastAsia="zh-CN"/>
        </w:rPr>
        <w:t>设计的各个</w:t>
      </w:r>
      <w:r>
        <w:rPr>
          <w:rFonts w:hint="eastAsia" w:ascii="仿宋_GB2312" w:eastAsia="仿宋_GB2312" w:cs="方正仿宋_GB2312"/>
          <w:sz w:val="32"/>
          <w:szCs w:val="32"/>
          <w:highlight w:val="none"/>
        </w:rPr>
        <w:t>应用系统</w:t>
      </w:r>
      <w:r>
        <w:rPr>
          <w:rFonts w:hint="eastAsia" w:ascii="仿宋_GB2312" w:eastAsia="仿宋_GB2312" w:cs="方正仿宋_GB2312"/>
          <w:sz w:val="32"/>
          <w:szCs w:val="32"/>
          <w:highlight w:val="none"/>
          <w:lang w:val="en-US" w:eastAsia="zh-CN"/>
        </w:rPr>
        <w:t>（模块）</w:t>
      </w:r>
      <w:r>
        <w:rPr>
          <w:rFonts w:hint="eastAsia" w:ascii="仿宋_GB2312" w:eastAsia="仿宋_GB2312" w:cs="方正仿宋_GB2312"/>
          <w:sz w:val="32"/>
          <w:szCs w:val="32"/>
          <w:highlight w:val="none"/>
        </w:rPr>
        <w:t>的结构与功能，绘制系统</w:t>
      </w:r>
      <w:r>
        <w:rPr>
          <w:rFonts w:hint="eastAsia" w:ascii="仿宋_GB2312" w:eastAsia="仿宋_GB2312" w:cs="方正仿宋_GB2312"/>
          <w:sz w:val="32"/>
          <w:szCs w:val="32"/>
          <w:highlight w:val="none"/>
          <w:lang w:val="en-US" w:eastAsia="zh-CN"/>
        </w:rPr>
        <w:t>逻辑结构图、数据处置流程图等</w:t>
      </w:r>
      <w:r>
        <w:rPr>
          <w:rFonts w:hint="eastAsia" w:ascii="仿宋_GB2312" w:eastAsia="仿宋_GB2312" w:cs="方正仿宋_GB2312"/>
          <w:sz w:val="32"/>
          <w:szCs w:val="32"/>
          <w:highlight w:val="none"/>
        </w:rPr>
        <w:t>；</w:t>
      </w:r>
      <w:r>
        <w:rPr>
          <w:rFonts w:hint="eastAsia" w:ascii="仿宋_GB2312" w:eastAsia="仿宋_GB2312" w:cs="方正仿宋_GB2312"/>
          <w:sz w:val="32"/>
          <w:szCs w:val="32"/>
          <w:highlight w:val="none"/>
          <w:lang w:val="en-US" w:eastAsia="zh-CN"/>
        </w:rPr>
        <w:t>详细</w:t>
      </w:r>
      <w:r>
        <w:rPr>
          <w:rFonts w:hint="eastAsia" w:ascii="仿宋_GB2312" w:eastAsia="仿宋_GB2312" w:cs="方正仿宋_GB2312"/>
          <w:sz w:val="32"/>
          <w:szCs w:val="32"/>
          <w:highlight w:val="none"/>
        </w:rPr>
        <w:t>核算定制开发工作量</w:t>
      </w:r>
      <w:r>
        <w:rPr>
          <w:rFonts w:hint="eastAsia" w:ascii="仿宋_GB2312" w:eastAsia="仿宋_GB2312" w:cs="方正仿宋_GB2312"/>
          <w:sz w:val="32"/>
          <w:szCs w:val="32"/>
          <w:highlight w:val="none"/>
          <w:lang w:val="en-US" w:eastAsia="zh-CN"/>
        </w:rPr>
        <w:t>等</w:t>
      </w:r>
      <w:r>
        <w:rPr>
          <w:rFonts w:hint="eastAsia" w:ascii="仿宋_GB2312" w:eastAsia="仿宋_GB2312" w:cs="方正仿宋_GB2312"/>
          <w:sz w:val="32"/>
          <w:szCs w:val="32"/>
          <w:highlight w:val="none"/>
          <w:lang w:eastAsia="zh-CN"/>
        </w:rPr>
        <w:t>）</w:t>
      </w:r>
    </w:p>
    <w:p w14:paraId="15872D4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lang w:val="en-US" w:eastAsia="zh-CN"/>
        </w:rPr>
      </w:pPr>
      <w:r>
        <w:rPr>
          <w:rFonts w:hint="eastAsia" w:ascii="方正仿宋_GB2312" w:eastAsia="方正仿宋_GB2312" w:cs="方正仿宋_GB2312"/>
          <w:sz w:val="32"/>
          <w:szCs w:val="32"/>
          <w:highlight w:val="none"/>
        </w:rPr>
        <w:t>3.</w:t>
      </w:r>
      <w:r>
        <w:rPr>
          <w:rFonts w:hint="eastAsia" w:ascii="方正仿宋_GB2312" w:eastAsia="方正仿宋_GB2312" w:cs="方正仿宋_GB2312"/>
          <w:sz w:val="32"/>
          <w:szCs w:val="32"/>
          <w:highlight w:val="none"/>
          <w:lang w:val="en-US" w:eastAsia="zh-CN"/>
        </w:rPr>
        <w:t>8</w:t>
      </w:r>
      <w:r>
        <w:rPr>
          <w:rFonts w:hint="eastAsia" w:ascii="方正仿宋_GB2312" w:eastAsia="方正仿宋_GB2312" w:cs="方正仿宋_GB2312"/>
          <w:sz w:val="32"/>
          <w:szCs w:val="32"/>
          <w:highlight w:val="none"/>
        </w:rPr>
        <w:t xml:space="preserve"> 网络</w:t>
      </w:r>
      <w:r>
        <w:rPr>
          <w:rFonts w:hint="eastAsia" w:ascii="方正仿宋_GB2312" w:eastAsia="方正仿宋_GB2312" w:cs="方正仿宋_GB2312"/>
          <w:sz w:val="32"/>
          <w:szCs w:val="32"/>
          <w:highlight w:val="none"/>
          <w:lang w:val="en-US" w:eastAsia="zh-CN"/>
        </w:rPr>
        <w:t>设计</w:t>
      </w:r>
    </w:p>
    <w:p w14:paraId="79BC4E99">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针对</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lang w:val="en-US" w:eastAsia="zh-CN"/>
        </w:rPr>
        <w:t>具体需求，详述达成设计目标满足平台需求所需</w:t>
      </w:r>
      <w:r>
        <w:rPr>
          <w:rFonts w:hint="eastAsia" w:ascii="仿宋_GB2312" w:eastAsia="仿宋_GB2312" w:cs="方正仿宋_GB2312"/>
          <w:sz w:val="32"/>
          <w:szCs w:val="32"/>
          <w:highlight w:val="none"/>
        </w:rPr>
        <w:t>网络系统</w:t>
      </w:r>
      <w:r>
        <w:rPr>
          <w:rFonts w:hint="eastAsia" w:ascii="仿宋_GB2312" w:eastAsia="仿宋_GB2312" w:cs="方正仿宋_GB2312"/>
          <w:sz w:val="32"/>
          <w:szCs w:val="32"/>
          <w:highlight w:val="none"/>
          <w:lang w:val="en-US" w:eastAsia="zh-CN"/>
        </w:rPr>
        <w:t>的</w:t>
      </w:r>
      <w:r>
        <w:rPr>
          <w:rFonts w:hint="eastAsia" w:ascii="仿宋_GB2312" w:eastAsia="仿宋_GB2312" w:cs="方正仿宋_GB2312"/>
          <w:sz w:val="32"/>
          <w:szCs w:val="32"/>
          <w:highlight w:val="none"/>
        </w:rPr>
        <w:t>结构、技术特征、网络带宽及主要软硬件</w:t>
      </w:r>
      <w:r>
        <w:rPr>
          <w:rFonts w:hint="eastAsia" w:ascii="仿宋_GB2312" w:eastAsia="仿宋_GB2312" w:cs="方正仿宋_GB2312"/>
          <w:sz w:val="32"/>
          <w:szCs w:val="32"/>
          <w:highlight w:val="none"/>
          <w:lang w:val="en-US" w:eastAsia="zh-CN"/>
        </w:rPr>
        <w:t>和服务</w:t>
      </w:r>
      <w:r>
        <w:rPr>
          <w:rFonts w:hint="eastAsia" w:ascii="仿宋_GB2312" w:eastAsia="仿宋_GB2312" w:cs="方正仿宋_GB2312"/>
          <w:sz w:val="32"/>
          <w:szCs w:val="32"/>
          <w:highlight w:val="none"/>
        </w:rPr>
        <w:t>，绘制网络拓扑结构图</w:t>
      </w:r>
      <w:r>
        <w:rPr>
          <w:rFonts w:hint="eastAsia" w:ascii="仿宋_GB2312" w:eastAsia="仿宋_GB2312" w:cs="方正仿宋_GB2312"/>
          <w:sz w:val="32"/>
          <w:szCs w:val="32"/>
          <w:highlight w:val="none"/>
          <w:lang w:eastAsia="zh-CN"/>
        </w:rPr>
        <w:t>）</w:t>
      </w:r>
    </w:p>
    <w:p w14:paraId="42ACD81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lang w:eastAsia="zh-CN"/>
        </w:rPr>
      </w:pPr>
      <w:r>
        <w:rPr>
          <w:rFonts w:hint="eastAsia" w:ascii="方正仿宋_GB2312" w:eastAsia="方正仿宋_GB2312" w:cs="方正仿宋_GB2312"/>
          <w:sz w:val="32"/>
          <w:szCs w:val="32"/>
          <w:highlight w:val="none"/>
        </w:rPr>
        <w:t>3.</w:t>
      </w:r>
      <w:r>
        <w:rPr>
          <w:rFonts w:hint="eastAsia" w:ascii="方正仿宋_GB2312" w:eastAsia="方正仿宋_GB2312" w:cs="方正仿宋_GB2312"/>
          <w:sz w:val="32"/>
          <w:szCs w:val="32"/>
          <w:highlight w:val="none"/>
          <w:lang w:val="en-US" w:eastAsia="zh-CN"/>
        </w:rPr>
        <w:t>9</w:t>
      </w:r>
      <w:r>
        <w:rPr>
          <w:rFonts w:hint="eastAsia" w:ascii="方正仿宋_GB2312" w:eastAsia="方正仿宋_GB2312" w:cs="方正仿宋_GB2312"/>
          <w:sz w:val="32"/>
          <w:szCs w:val="32"/>
          <w:highlight w:val="none"/>
        </w:rPr>
        <w:t xml:space="preserve"> 系统安全</w:t>
      </w:r>
      <w:r>
        <w:rPr>
          <w:rFonts w:hint="eastAsia" w:ascii="方正仿宋_GB2312" w:eastAsia="方正仿宋_GB2312" w:cs="方正仿宋_GB2312"/>
          <w:sz w:val="32"/>
          <w:szCs w:val="32"/>
          <w:highlight w:val="none"/>
          <w:lang w:val="en-US" w:eastAsia="zh-CN"/>
        </w:rPr>
        <w:t>设计</w:t>
      </w:r>
    </w:p>
    <w:p w14:paraId="0E04F2D4">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详述</w:t>
      </w:r>
      <w:r>
        <w:rPr>
          <w:rFonts w:hint="eastAsia" w:ascii="仿宋_GB2312" w:eastAsia="仿宋_GB2312" w:cs="方正仿宋_GB2312"/>
          <w:sz w:val="32"/>
          <w:szCs w:val="32"/>
          <w:highlight w:val="none"/>
        </w:rPr>
        <w:t>系统安全解决方案</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包括但不限于：</w:t>
      </w:r>
      <w:r>
        <w:rPr>
          <w:rFonts w:hint="eastAsia" w:ascii="仿宋_GB2312" w:eastAsia="仿宋_GB2312" w:cs="方正仿宋_GB2312"/>
          <w:sz w:val="32"/>
          <w:szCs w:val="32"/>
          <w:highlight w:val="none"/>
        </w:rPr>
        <w:t>安全域划分、安全等级设定、安全策略、安全风险隐患</w:t>
      </w:r>
      <w:r>
        <w:rPr>
          <w:rFonts w:hint="eastAsia" w:ascii="仿宋_GB2312" w:eastAsia="仿宋_GB2312" w:cs="方正仿宋_GB2312"/>
          <w:sz w:val="32"/>
          <w:szCs w:val="32"/>
          <w:highlight w:val="none"/>
          <w:lang w:val="en-US" w:eastAsia="zh-CN"/>
        </w:rPr>
        <w:t>等</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列出</w:t>
      </w:r>
      <w:r>
        <w:rPr>
          <w:rFonts w:hint="eastAsia" w:ascii="仿宋_GB2312" w:eastAsia="仿宋_GB2312" w:cs="方正仿宋_GB2312"/>
          <w:sz w:val="32"/>
          <w:szCs w:val="32"/>
          <w:highlight w:val="none"/>
        </w:rPr>
        <w:t>主要软件</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设备</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服务</w:t>
      </w:r>
      <w:r>
        <w:rPr>
          <w:rFonts w:hint="eastAsia" w:ascii="仿宋_GB2312" w:eastAsia="仿宋_GB2312" w:cs="方正仿宋_GB2312"/>
          <w:sz w:val="32"/>
          <w:szCs w:val="32"/>
          <w:highlight w:val="none"/>
          <w:lang w:eastAsia="zh-CN"/>
        </w:rPr>
        <w:t>）</w:t>
      </w:r>
    </w:p>
    <w:p w14:paraId="5F1BEB0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3.</w:t>
      </w:r>
      <w:r>
        <w:rPr>
          <w:rFonts w:hint="eastAsia" w:ascii="方正仿宋_GB2312" w:eastAsia="方正仿宋_GB2312" w:cs="方正仿宋_GB2312"/>
          <w:sz w:val="32"/>
          <w:szCs w:val="32"/>
          <w:highlight w:val="none"/>
          <w:lang w:val="en-US" w:eastAsia="zh-CN"/>
        </w:rPr>
        <w:t>10</w:t>
      </w:r>
      <w:r>
        <w:rPr>
          <w:rFonts w:hint="eastAsia" w:ascii="方正仿宋_GB2312" w:eastAsia="方正仿宋_GB2312" w:cs="方正仿宋_GB2312"/>
          <w:sz w:val="32"/>
          <w:szCs w:val="32"/>
          <w:highlight w:val="none"/>
        </w:rPr>
        <w:t xml:space="preserve"> </w:t>
      </w:r>
      <w:r>
        <w:rPr>
          <w:rFonts w:hint="eastAsia" w:ascii="方正仿宋_GB2312" w:eastAsia="方正仿宋_GB2312" w:cs="方正仿宋_GB2312"/>
          <w:sz w:val="32"/>
          <w:szCs w:val="32"/>
          <w:highlight w:val="none"/>
          <w:lang w:val="en-US" w:eastAsia="zh-CN"/>
        </w:rPr>
        <w:t>计算存储</w:t>
      </w:r>
      <w:r>
        <w:rPr>
          <w:rFonts w:hint="eastAsia" w:ascii="方正仿宋_GB2312" w:eastAsia="方正仿宋_GB2312" w:cs="方正仿宋_GB2312"/>
          <w:sz w:val="32"/>
          <w:szCs w:val="32"/>
          <w:highlight w:val="none"/>
        </w:rPr>
        <w:t>系统</w:t>
      </w:r>
      <w:r>
        <w:rPr>
          <w:rFonts w:hint="eastAsia" w:ascii="方正仿宋_GB2312" w:eastAsia="方正仿宋_GB2312" w:cs="方正仿宋_GB2312"/>
          <w:sz w:val="32"/>
          <w:szCs w:val="32"/>
          <w:highlight w:val="none"/>
          <w:lang w:val="en-US" w:eastAsia="zh-CN"/>
        </w:rPr>
        <w:t>设计</w:t>
      </w:r>
    </w:p>
    <w:p w14:paraId="39EEDBFE">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详述支撑</w:t>
      </w:r>
      <w:r>
        <w:rPr>
          <w:rFonts w:hint="eastAsia" w:ascii="仿宋_GB2312" w:eastAsia="仿宋_GB2312" w:cs="方正仿宋_GB2312"/>
          <w:sz w:val="32"/>
          <w:szCs w:val="32"/>
          <w:highlight w:val="none"/>
        </w:rPr>
        <w:t>应用系统</w:t>
      </w:r>
      <w:r>
        <w:rPr>
          <w:rFonts w:hint="eastAsia" w:ascii="仿宋_GB2312" w:eastAsia="仿宋_GB2312" w:cs="方正仿宋_GB2312"/>
          <w:sz w:val="32"/>
          <w:szCs w:val="32"/>
          <w:highlight w:val="none"/>
          <w:lang w:val="en-US" w:eastAsia="zh-CN"/>
        </w:rPr>
        <w:t>运行的</w:t>
      </w:r>
      <w:r>
        <w:rPr>
          <w:rFonts w:hint="eastAsia" w:ascii="方正仿宋_GB2312" w:eastAsia="方正仿宋_GB2312" w:cs="方正仿宋_GB2312"/>
          <w:sz w:val="32"/>
          <w:szCs w:val="32"/>
          <w:highlight w:val="none"/>
        </w:rPr>
        <w:t>软硬件配置</w:t>
      </w:r>
      <w:r>
        <w:rPr>
          <w:rFonts w:hint="eastAsia" w:ascii="仿宋_GB2312" w:eastAsia="仿宋_GB2312" w:cs="方正仿宋_GB2312"/>
          <w:sz w:val="32"/>
          <w:szCs w:val="32"/>
          <w:highlight w:val="none"/>
        </w:rPr>
        <w:t>、终端系统和接口设计等内容，以及</w:t>
      </w:r>
      <w:r>
        <w:rPr>
          <w:rFonts w:hint="eastAsia" w:ascii="仿宋_GB2312" w:eastAsia="仿宋_GB2312" w:cs="方正仿宋_GB2312"/>
          <w:sz w:val="32"/>
          <w:szCs w:val="32"/>
          <w:highlight w:val="none"/>
          <w:lang w:val="en-US" w:eastAsia="zh-CN"/>
        </w:rPr>
        <w:t>相应的</w:t>
      </w:r>
      <w:r>
        <w:rPr>
          <w:rFonts w:hint="eastAsia" w:ascii="仿宋_GB2312" w:eastAsia="仿宋_GB2312" w:cs="方正仿宋_GB2312"/>
          <w:sz w:val="32"/>
          <w:szCs w:val="32"/>
          <w:highlight w:val="none"/>
        </w:rPr>
        <w:t>部署方案</w:t>
      </w:r>
      <w:r>
        <w:rPr>
          <w:rFonts w:hint="eastAsia" w:ascii="仿宋_GB2312" w:eastAsia="仿宋_GB2312" w:cs="方正仿宋_GB2312"/>
          <w:sz w:val="32"/>
          <w:szCs w:val="32"/>
          <w:highlight w:val="none"/>
          <w:lang w:eastAsia="zh-CN"/>
        </w:rPr>
        <w:t>）</w:t>
      </w:r>
    </w:p>
    <w:p w14:paraId="4EA13E9B">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default" w:ascii="仿宋_GB2312" w:eastAsia="仿宋_GB2312" w:cs="方正仿宋_GB2312"/>
          <w:sz w:val="32"/>
          <w:szCs w:val="32"/>
          <w:highlight w:val="none"/>
          <w:lang w:val="en-US" w:eastAsia="zh-CN"/>
        </w:rPr>
      </w:pPr>
      <w:r>
        <w:rPr>
          <w:rFonts w:hint="eastAsia" w:ascii="仿宋_GB2312" w:eastAsia="仿宋_GB2312" w:cs="方正仿宋_GB2312"/>
          <w:sz w:val="32"/>
          <w:szCs w:val="32"/>
          <w:highlight w:val="none"/>
          <w:lang w:val="en-US" w:eastAsia="zh-CN"/>
        </w:rPr>
        <w:t>（</w:t>
      </w:r>
      <w:r>
        <w:rPr>
          <w:rFonts w:hint="eastAsia" w:ascii="仿宋_GB2312" w:cs="方正仿宋_GB2312"/>
          <w:sz w:val="32"/>
          <w:szCs w:val="32"/>
          <w:highlight w:val="none"/>
          <w:lang w:val="en-US" w:eastAsia="zh-CN"/>
        </w:rPr>
        <w:t>廊坊市规范入企行政执法系统</w:t>
      </w:r>
      <w:r>
        <w:rPr>
          <w:rFonts w:hint="eastAsia" w:ascii="仿宋_GB2312" w:eastAsia="仿宋_GB2312" w:cs="方正仿宋_GB2312"/>
          <w:sz w:val="32"/>
          <w:szCs w:val="32"/>
          <w:highlight w:val="none"/>
          <w:lang w:val="en-US" w:eastAsia="zh-CN"/>
        </w:rPr>
        <w:t>的网络、安全、计算、存储等核心侧支撑功能由廊坊市政务云承载。3.8、3.9、3.10三部分中相关内容需详细列出所需资源的类型、数量、性能、功能等，相关费用不列入整体投资预算。）</w:t>
      </w:r>
    </w:p>
    <w:p w14:paraId="0242530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0"/>
        <w:rPr>
          <w:rFonts w:hint="eastAsia" w:ascii="方正仿宋_GB2312" w:eastAsia="方正仿宋_GB2312" w:cs="方正仿宋_GB2312"/>
          <w:b w:val="0"/>
          <w:bCs/>
          <w:sz w:val="32"/>
          <w:szCs w:val="32"/>
          <w:highlight w:val="none"/>
          <w:lang w:val="en-US" w:eastAsia="zh-CN"/>
        </w:rPr>
      </w:pPr>
      <w:r>
        <w:rPr>
          <w:rFonts w:hint="eastAsia" w:ascii="方正仿宋_GB2312" w:eastAsia="方正仿宋_GB2312" w:cs="方正仿宋_GB2312"/>
          <w:b w:val="0"/>
          <w:bCs/>
          <w:sz w:val="32"/>
          <w:szCs w:val="32"/>
          <w:highlight w:val="none"/>
          <w:lang w:val="en-US" w:eastAsia="zh-CN"/>
        </w:rPr>
        <w:t>4.实施</w:t>
      </w:r>
      <w:r>
        <w:rPr>
          <w:rFonts w:hint="eastAsia" w:ascii="方正仿宋_GB2312" w:eastAsia="方正仿宋_GB2312" w:cs="方正仿宋_GB2312"/>
          <w:b w:val="0"/>
          <w:bCs/>
          <w:sz w:val="32"/>
          <w:szCs w:val="32"/>
          <w:highlight w:val="none"/>
        </w:rPr>
        <w:t>进度</w:t>
      </w:r>
    </w:p>
    <w:p w14:paraId="1B28BCE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lang w:eastAsia="zh-CN"/>
        </w:rPr>
      </w:pPr>
      <w:r>
        <w:rPr>
          <w:rFonts w:hint="eastAsia" w:ascii="方正仿宋_GB2312" w:eastAsia="方正仿宋_GB2312" w:cs="方正仿宋_GB2312"/>
          <w:sz w:val="32"/>
          <w:szCs w:val="32"/>
          <w:highlight w:val="none"/>
        </w:rPr>
        <w:t>4.1</w:t>
      </w:r>
      <w:r>
        <w:rPr>
          <w:rFonts w:hint="eastAsia" w:ascii="方正仿宋_GB2312" w:eastAsia="方正仿宋_GB2312" w:cs="方正仿宋_GB2312"/>
          <w:sz w:val="32"/>
          <w:szCs w:val="32"/>
          <w:highlight w:val="none"/>
          <w:lang w:val="en-US" w:eastAsia="zh-CN"/>
        </w:rPr>
        <w:t>系统</w:t>
      </w:r>
      <w:r>
        <w:rPr>
          <w:rFonts w:hint="eastAsia" w:ascii="方正仿宋_GB2312" w:eastAsia="方正仿宋_GB2312" w:cs="方正仿宋_GB2312"/>
          <w:sz w:val="32"/>
          <w:szCs w:val="32"/>
          <w:highlight w:val="none"/>
        </w:rPr>
        <w:t>建设期</w:t>
      </w:r>
    </w:p>
    <w:p w14:paraId="52128095">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预估</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rPr>
        <w:t>建设的工期</w:t>
      </w:r>
      <w:r>
        <w:rPr>
          <w:rFonts w:hint="eastAsia" w:ascii="仿宋_GB2312" w:eastAsia="仿宋_GB2312" w:cs="方正仿宋_GB2312"/>
          <w:sz w:val="32"/>
          <w:szCs w:val="32"/>
          <w:highlight w:val="none"/>
          <w:lang w:eastAsia="zh-CN"/>
        </w:rPr>
        <w:t>）</w:t>
      </w:r>
    </w:p>
    <w:p w14:paraId="2A74F86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4.2实施安排计划</w:t>
      </w:r>
    </w:p>
    <w:p w14:paraId="62FD4F81">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简述</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rPr>
        <w:t>实施进程安排</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提供甘特图</w:t>
      </w:r>
      <w:r>
        <w:rPr>
          <w:rFonts w:hint="eastAsia" w:ascii="仿宋_GB2312" w:eastAsia="仿宋_GB2312" w:cs="方正仿宋_GB2312"/>
          <w:sz w:val="32"/>
          <w:szCs w:val="32"/>
          <w:highlight w:val="none"/>
          <w:lang w:eastAsia="zh-CN"/>
        </w:rPr>
        <w:t>）</w:t>
      </w:r>
    </w:p>
    <w:p w14:paraId="50C0181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0"/>
        <w:rPr>
          <w:rFonts w:hint="eastAsia" w:ascii="方正仿宋_GB2312" w:eastAsia="方正仿宋_GB2312" w:cs="方正仿宋_GB2312"/>
          <w:b w:val="0"/>
          <w:bCs/>
          <w:sz w:val="32"/>
          <w:szCs w:val="32"/>
          <w:highlight w:val="none"/>
          <w:lang w:eastAsia="zh-CN"/>
        </w:rPr>
      </w:pPr>
      <w:r>
        <w:rPr>
          <w:rFonts w:hint="eastAsia" w:ascii="方正仿宋_GB2312" w:eastAsia="方正仿宋_GB2312" w:cs="方正仿宋_GB2312"/>
          <w:b w:val="0"/>
          <w:bCs/>
          <w:sz w:val="32"/>
          <w:szCs w:val="32"/>
          <w:highlight w:val="none"/>
          <w:lang w:val="en-US" w:eastAsia="zh-CN"/>
        </w:rPr>
        <w:t>5.</w:t>
      </w:r>
      <w:r>
        <w:rPr>
          <w:rFonts w:hint="eastAsia" w:ascii="方正仿宋_GB2312" w:eastAsia="方正仿宋_GB2312" w:cs="方正仿宋_GB2312"/>
          <w:b w:val="0"/>
          <w:bCs/>
          <w:sz w:val="32"/>
          <w:szCs w:val="32"/>
          <w:highlight w:val="none"/>
        </w:rPr>
        <w:t>投资</w:t>
      </w:r>
      <w:r>
        <w:rPr>
          <w:rFonts w:hint="eastAsia" w:ascii="方正仿宋_GB2312" w:eastAsia="方正仿宋_GB2312" w:cs="方正仿宋_GB2312"/>
          <w:b w:val="0"/>
          <w:bCs/>
          <w:sz w:val="32"/>
          <w:szCs w:val="32"/>
          <w:highlight w:val="none"/>
          <w:lang w:val="en-US" w:eastAsia="zh-CN"/>
        </w:rPr>
        <w:t>概算</w:t>
      </w:r>
    </w:p>
    <w:p w14:paraId="6D23C71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0"/>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5.1总投资</w:t>
      </w:r>
      <w:r>
        <w:rPr>
          <w:rFonts w:hint="eastAsia" w:ascii="方正仿宋_GB2312" w:eastAsia="方正仿宋_GB2312" w:cs="方正仿宋_GB2312"/>
          <w:sz w:val="32"/>
          <w:szCs w:val="32"/>
          <w:highlight w:val="none"/>
          <w:lang w:eastAsia="zh-CN"/>
        </w:rPr>
        <w:t>（</w:t>
      </w:r>
      <w:r>
        <w:rPr>
          <w:rFonts w:hint="eastAsia" w:ascii="方正仿宋_GB2312" w:eastAsia="方正仿宋_GB2312" w:cs="方正仿宋_GB2312"/>
          <w:sz w:val="32"/>
          <w:szCs w:val="32"/>
          <w:highlight w:val="none"/>
        </w:rPr>
        <w:t>估算</w:t>
      </w:r>
      <w:r>
        <w:rPr>
          <w:rFonts w:hint="eastAsia" w:ascii="方正仿宋_GB2312" w:eastAsia="方正仿宋_GB2312" w:cs="方正仿宋_GB2312"/>
          <w:sz w:val="32"/>
          <w:szCs w:val="32"/>
          <w:highlight w:val="none"/>
          <w:lang w:eastAsia="zh-CN"/>
        </w:rPr>
        <w:t>）</w:t>
      </w:r>
    </w:p>
    <w:p w14:paraId="6BCE8DE2">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列出总投资估算表</w:t>
      </w:r>
      <w:r>
        <w:rPr>
          <w:rFonts w:hint="eastAsia" w:ascii="仿宋_GB2312" w:eastAsia="仿宋_GB2312" w:cs="方正仿宋_GB2312"/>
          <w:sz w:val="32"/>
          <w:szCs w:val="32"/>
          <w:highlight w:val="none"/>
          <w:lang w:eastAsia="zh-CN"/>
        </w:rPr>
        <w:t>）</w:t>
      </w:r>
    </w:p>
    <w:p w14:paraId="1B545A8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5.2投资明细</w:t>
      </w:r>
    </w:p>
    <w:p w14:paraId="76849673">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列出投资估算明细表，包括软件系统、硬件、安全等建设费用，以及其他费用</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并</w:t>
      </w:r>
      <w:r>
        <w:rPr>
          <w:rFonts w:hint="eastAsia" w:ascii="仿宋_GB2312" w:eastAsia="仿宋_GB2312" w:cs="方正仿宋_GB2312"/>
          <w:sz w:val="32"/>
          <w:szCs w:val="32"/>
          <w:highlight w:val="none"/>
        </w:rPr>
        <w:t>说明各项</w:t>
      </w:r>
      <w:r>
        <w:rPr>
          <w:rFonts w:hint="eastAsia" w:ascii="仿宋_GB2312" w:eastAsia="仿宋_GB2312" w:cs="方正仿宋_GB2312"/>
          <w:sz w:val="32"/>
          <w:szCs w:val="32"/>
          <w:highlight w:val="none"/>
          <w:lang w:val="en-US" w:eastAsia="zh-CN"/>
        </w:rPr>
        <w:t>费用的</w:t>
      </w:r>
      <w:r>
        <w:rPr>
          <w:rFonts w:hint="eastAsia" w:ascii="仿宋_GB2312" w:eastAsia="仿宋_GB2312" w:cs="方正仿宋_GB2312"/>
          <w:sz w:val="32"/>
          <w:szCs w:val="32"/>
          <w:highlight w:val="none"/>
        </w:rPr>
        <w:t>测算依据和取费标准</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不包含运行维护费用</w:t>
      </w:r>
      <w:r>
        <w:rPr>
          <w:rFonts w:hint="eastAsia" w:ascii="仿宋_GB2312" w:eastAsia="仿宋_GB2312" w:cs="方正仿宋_GB2312"/>
          <w:sz w:val="32"/>
          <w:szCs w:val="32"/>
          <w:highlight w:val="none"/>
          <w:lang w:eastAsia="zh-CN"/>
        </w:rPr>
        <w:t>）</w:t>
      </w:r>
    </w:p>
    <w:p w14:paraId="18CEA39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b w:val="0"/>
          <w:bCs/>
          <w:sz w:val="32"/>
          <w:szCs w:val="32"/>
          <w:highlight w:val="none"/>
        </w:rPr>
      </w:pPr>
      <w:r>
        <w:rPr>
          <w:rFonts w:hint="eastAsia" w:ascii="方正仿宋_GB2312" w:eastAsia="方正仿宋_GB2312" w:cs="方正仿宋_GB2312"/>
          <w:b w:val="0"/>
          <w:bCs/>
          <w:sz w:val="32"/>
          <w:szCs w:val="32"/>
          <w:highlight w:val="none"/>
          <w:lang w:val="en-US" w:eastAsia="zh-CN"/>
        </w:rPr>
        <w:t>6.</w:t>
      </w:r>
      <w:r>
        <w:rPr>
          <w:rFonts w:hint="eastAsia" w:ascii="方正仿宋_GB2312" w:eastAsia="方正仿宋_GB2312" w:cs="方正仿宋_GB2312"/>
          <w:b w:val="0"/>
          <w:bCs/>
          <w:sz w:val="32"/>
          <w:szCs w:val="32"/>
          <w:highlight w:val="none"/>
        </w:rPr>
        <w:t>效益与风险分析</w:t>
      </w:r>
    </w:p>
    <w:p w14:paraId="32654A61">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6.1经济效益分析</w:t>
      </w:r>
    </w:p>
    <w:p w14:paraId="53CF5548">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rPr>
      </w:pPr>
      <w:r>
        <w:rPr>
          <w:rFonts w:hint="eastAsia" w:ascii="仿宋_GB2312" w:eastAsia="仿宋_GB2312" w:cs="方正仿宋_GB2312"/>
          <w:sz w:val="32"/>
          <w:szCs w:val="32"/>
          <w:highlight w:val="none"/>
        </w:rPr>
        <w:t>（</w:t>
      </w:r>
      <w:r>
        <w:rPr>
          <w:rFonts w:hint="eastAsia" w:ascii="仿宋_GB2312" w:eastAsia="仿宋_GB2312" w:cs="方正仿宋_GB2312"/>
          <w:sz w:val="32"/>
          <w:szCs w:val="32"/>
          <w:highlight w:val="none"/>
          <w:lang w:val="en-US" w:eastAsia="zh-CN"/>
        </w:rPr>
        <w:t>简述</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rPr>
        <w:t>建设所能取得的直接</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间接</w:t>
      </w:r>
      <w:r>
        <w:rPr>
          <w:rFonts w:hint="eastAsia" w:ascii="仿宋_GB2312" w:eastAsia="仿宋_GB2312" w:cs="方正仿宋_GB2312"/>
          <w:sz w:val="32"/>
          <w:szCs w:val="32"/>
          <w:highlight w:val="none"/>
          <w:lang w:val="en-US" w:eastAsia="zh-CN"/>
        </w:rPr>
        <w:t>等</w:t>
      </w:r>
      <w:r>
        <w:rPr>
          <w:rFonts w:hint="eastAsia" w:ascii="仿宋_GB2312" w:eastAsia="仿宋_GB2312" w:cs="方正仿宋_GB2312"/>
          <w:sz w:val="32"/>
          <w:szCs w:val="32"/>
          <w:highlight w:val="none"/>
        </w:rPr>
        <w:t>经济效益</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如与简介中相同，无需赘述</w:t>
      </w:r>
      <w:r>
        <w:rPr>
          <w:rFonts w:hint="eastAsia" w:ascii="仿宋_GB2312" w:eastAsia="仿宋_GB2312" w:cs="方正仿宋_GB2312"/>
          <w:sz w:val="32"/>
          <w:szCs w:val="32"/>
          <w:highlight w:val="none"/>
        </w:rPr>
        <w:t>）</w:t>
      </w:r>
    </w:p>
    <w:p w14:paraId="63B294E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6.2社会效益分析</w:t>
      </w:r>
    </w:p>
    <w:p w14:paraId="69732C63">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rPr>
      </w:pPr>
      <w:r>
        <w:rPr>
          <w:rFonts w:hint="eastAsia" w:ascii="仿宋_GB2312" w:eastAsia="仿宋_GB2312" w:cs="方正仿宋_GB2312"/>
          <w:sz w:val="32"/>
          <w:szCs w:val="32"/>
          <w:highlight w:val="none"/>
        </w:rPr>
        <w:t>（</w:t>
      </w:r>
      <w:r>
        <w:rPr>
          <w:rFonts w:hint="eastAsia" w:ascii="仿宋_GB2312" w:eastAsia="仿宋_GB2312" w:cs="方正仿宋_GB2312"/>
          <w:sz w:val="32"/>
          <w:szCs w:val="32"/>
          <w:highlight w:val="none"/>
          <w:lang w:val="en-US" w:eastAsia="zh-CN"/>
        </w:rPr>
        <w:t>简述</w:t>
      </w:r>
      <w:r>
        <w:rPr>
          <w:rFonts w:hint="eastAsia" w:ascii="仿宋_GB2312" w:cs="方正仿宋_GB2312"/>
          <w:sz w:val="32"/>
          <w:szCs w:val="32"/>
          <w:highlight w:val="none"/>
          <w:lang w:val="en-US" w:eastAsia="zh-CN"/>
        </w:rPr>
        <w:t>系统</w:t>
      </w:r>
      <w:r>
        <w:rPr>
          <w:rFonts w:hint="eastAsia" w:ascii="仿宋_GB2312" w:eastAsia="仿宋_GB2312" w:cs="方正仿宋_GB2312"/>
          <w:sz w:val="32"/>
          <w:szCs w:val="32"/>
          <w:highlight w:val="none"/>
        </w:rPr>
        <w:t>建成后产生的社会效益，平台建设对政务履职和业务开展的贡献程度等</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如与简介中相同，无需赘述</w:t>
      </w:r>
      <w:r>
        <w:rPr>
          <w:rFonts w:hint="eastAsia" w:ascii="仿宋_GB2312" w:eastAsia="仿宋_GB2312" w:cs="方正仿宋_GB2312"/>
          <w:sz w:val="32"/>
          <w:szCs w:val="32"/>
          <w:highlight w:val="none"/>
        </w:rPr>
        <w:t>）</w:t>
      </w:r>
    </w:p>
    <w:p w14:paraId="4A34DD94">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方正仿宋_GB2312" w:eastAsia="方正仿宋_GB2312" w:cs="方正仿宋_GB2312"/>
          <w:sz w:val="32"/>
          <w:szCs w:val="32"/>
          <w:highlight w:val="none"/>
        </w:rPr>
      </w:pPr>
      <w:r>
        <w:rPr>
          <w:rFonts w:hint="eastAsia" w:ascii="方正仿宋_GB2312" w:eastAsia="方正仿宋_GB2312" w:cs="方正仿宋_GB2312"/>
          <w:sz w:val="32"/>
          <w:szCs w:val="32"/>
          <w:highlight w:val="none"/>
        </w:rPr>
        <w:t>6.3项目风险与风险对策</w:t>
      </w:r>
    </w:p>
    <w:p w14:paraId="7F8B7C07">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sz w:val="32"/>
          <w:szCs w:val="32"/>
          <w:highlight w:val="none"/>
          <w:lang w:eastAsia="zh-CN"/>
        </w:rPr>
      </w:pPr>
      <w:r>
        <w:rPr>
          <w:rFonts w:hint="eastAsia" w:ascii="仿宋_GB2312" w:eastAsia="仿宋_GB2312" w:cs="方正仿宋_GB2312"/>
          <w:sz w:val="32"/>
          <w:szCs w:val="32"/>
          <w:highlight w:val="none"/>
          <w:lang w:val="en-US" w:eastAsia="zh-CN"/>
        </w:rPr>
        <w:t>（简述系统</w:t>
      </w:r>
      <w:r>
        <w:rPr>
          <w:rFonts w:hint="eastAsia" w:ascii="仿宋_GB2312" w:eastAsia="仿宋_GB2312" w:cs="方正仿宋_GB2312"/>
          <w:sz w:val="32"/>
          <w:szCs w:val="32"/>
          <w:highlight w:val="none"/>
        </w:rPr>
        <w:t>的风险与风险对策</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包括但不限于：</w:t>
      </w:r>
      <w:r>
        <w:rPr>
          <w:rFonts w:hint="eastAsia" w:ascii="仿宋_GB2312" w:eastAsia="仿宋_GB2312" w:cs="方正仿宋_GB2312"/>
          <w:sz w:val="32"/>
          <w:szCs w:val="32"/>
          <w:highlight w:val="none"/>
        </w:rPr>
        <w:t>政策风险</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如政策变化、政务体制变化等</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系统风险</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如技术变化、系统设计、系统成熟度等</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操作风险</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如管理</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rPr>
        <w:t>技术队伍等</w:t>
      </w:r>
      <w:r>
        <w:rPr>
          <w:rFonts w:hint="eastAsia" w:ascii="仿宋_GB2312" w:eastAsia="仿宋_GB2312" w:cs="方正仿宋_GB2312"/>
          <w:sz w:val="32"/>
          <w:szCs w:val="32"/>
          <w:highlight w:val="none"/>
          <w:lang w:eastAsia="zh-CN"/>
        </w:rPr>
        <w:t>，</w:t>
      </w:r>
      <w:r>
        <w:rPr>
          <w:rFonts w:hint="eastAsia" w:ascii="仿宋_GB2312" w:eastAsia="仿宋_GB2312" w:cs="方正仿宋_GB2312"/>
          <w:sz w:val="32"/>
          <w:szCs w:val="32"/>
          <w:highlight w:val="none"/>
          <w:lang w:val="en-US" w:eastAsia="zh-CN"/>
        </w:rPr>
        <w:t>有针对性</w:t>
      </w:r>
      <w:r>
        <w:rPr>
          <w:rFonts w:hint="eastAsia" w:ascii="仿宋_GB2312" w:eastAsia="仿宋_GB2312" w:cs="方正仿宋_GB2312"/>
          <w:sz w:val="32"/>
          <w:szCs w:val="32"/>
          <w:highlight w:val="none"/>
        </w:rPr>
        <w:t>提出应对</w:t>
      </w:r>
      <w:r>
        <w:rPr>
          <w:rFonts w:hint="eastAsia" w:ascii="仿宋_GB2312" w:eastAsia="仿宋_GB2312" w:cs="方正仿宋_GB2312"/>
          <w:sz w:val="32"/>
          <w:szCs w:val="32"/>
          <w:highlight w:val="none"/>
          <w:lang w:val="en-US" w:eastAsia="zh-CN"/>
        </w:rPr>
        <w:t>策略</w:t>
      </w:r>
      <w:r>
        <w:rPr>
          <w:rFonts w:hint="eastAsia" w:ascii="仿宋_GB2312" w:eastAsia="仿宋_GB2312" w:cs="方正仿宋_GB2312"/>
          <w:sz w:val="32"/>
          <w:szCs w:val="32"/>
          <w:highlight w:val="none"/>
        </w:rPr>
        <w:t>和风险管理措施</w:t>
      </w:r>
      <w:r>
        <w:rPr>
          <w:rFonts w:hint="eastAsia" w:ascii="仿宋_GB2312" w:eastAsia="仿宋_GB2312" w:cs="方正仿宋_GB2312"/>
          <w:sz w:val="32"/>
          <w:szCs w:val="32"/>
          <w:highlight w:val="none"/>
          <w:lang w:val="en-US" w:eastAsia="zh-CN"/>
        </w:rPr>
        <w:t>）</w:t>
      </w:r>
    </w:p>
    <w:p w14:paraId="523DBAFE">
      <w:pPr>
        <w:pStyle w:val="23"/>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56" w:firstLineChars="200"/>
        <w:textAlignment w:val="auto"/>
        <w:rPr>
          <w:rFonts w:hint="eastAsia" w:ascii="方正仿宋_GB2312" w:eastAsia="方正仿宋_GB2312" w:cs="方正仿宋_GB2312"/>
          <w:sz w:val="32"/>
          <w:szCs w:val="32"/>
          <w:highlight w:val="none"/>
          <w:lang w:val="en-US" w:eastAsia="zh-CN"/>
        </w:rPr>
      </w:pPr>
      <w:r>
        <w:rPr>
          <w:rFonts w:hint="eastAsia" w:ascii="方正仿宋_GB2312" w:hAnsi="Times New Roman" w:eastAsia="方正仿宋_GB2312" w:cs="方正仿宋_GB2312"/>
          <w:spacing w:val="4"/>
          <w:kern w:val="2"/>
          <w:sz w:val="32"/>
          <w:szCs w:val="32"/>
          <w:highlight w:val="none"/>
          <w:lang w:val="en-US" w:eastAsia="zh-CN" w:bidi="ar-SA"/>
        </w:rPr>
        <w:t>7.</w:t>
      </w:r>
      <w:r>
        <w:rPr>
          <w:rFonts w:hint="eastAsia" w:ascii="方正仿宋_GB2312" w:eastAsia="方正仿宋_GB2312" w:cs="方正仿宋_GB2312"/>
          <w:sz w:val="32"/>
          <w:szCs w:val="32"/>
          <w:highlight w:val="none"/>
          <w:lang w:val="en-US" w:eastAsia="zh-CN"/>
        </w:rPr>
        <w:t>其他需要论述的内容</w:t>
      </w:r>
    </w:p>
    <w:p w14:paraId="12F582BA">
      <w:pPr>
        <w:pStyle w:val="23"/>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6" w:firstLineChars="200"/>
        <w:textAlignment w:val="auto"/>
        <w:rPr>
          <w:rFonts w:hint="eastAsia" w:ascii="方正仿宋_GB2312" w:eastAsia="方正仿宋_GB2312" w:cs="方正仿宋_GB2312"/>
          <w:sz w:val="32"/>
          <w:szCs w:val="32"/>
          <w:highlight w:val="none"/>
          <w:lang w:val="en-US" w:eastAsia="zh-CN"/>
        </w:rPr>
      </w:pPr>
      <w:r>
        <w:rPr>
          <w:rFonts w:hint="eastAsia" w:ascii="方正仿宋_GB2312" w:eastAsia="方正仿宋_GB2312" w:cs="方正仿宋_GB2312"/>
          <w:sz w:val="32"/>
          <w:szCs w:val="32"/>
          <w:highlight w:val="none"/>
          <w:lang w:val="en-US" w:eastAsia="zh-CN"/>
        </w:rPr>
        <w:t>（如上述内容无法完全覆盖方案设计，可根据实际情况自行填写）</w:t>
      </w:r>
    </w:p>
    <w:p w14:paraId="6E8E8F95">
      <w:pPr>
        <w:pStyle w:val="23"/>
        <w:keepNext w:val="0"/>
        <w:keepLines w:val="0"/>
        <w:pageBreakBefore w:val="0"/>
        <w:widowControl w:val="0"/>
        <w:numPr>
          <w:ilvl w:val="0"/>
          <w:numId w:val="2"/>
        </w:numPr>
        <w:kinsoku/>
        <w:wordWrap/>
        <w:overflowPunct/>
        <w:topLinePunct w:val="0"/>
        <w:autoSpaceDE/>
        <w:autoSpaceDN/>
        <w:bidi w:val="0"/>
        <w:adjustRightInd/>
        <w:snapToGrid/>
        <w:spacing w:line="580" w:lineRule="exact"/>
        <w:ind w:firstLine="656" w:firstLineChars="200"/>
        <w:textAlignment w:val="auto"/>
        <w:rPr>
          <w:rFonts w:hint="eastAsia" w:ascii="方正仿宋_GB2312" w:eastAsia="方正仿宋_GB2312" w:cs="方正仿宋_GB2312"/>
          <w:sz w:val="32"/>
          <w:szCs w:val="32"/>
          <w:highlight w:val="none"/>
          <w:lang w:val="en-US" w:eastAsia="zh-CN"/>
        </w:rPr>
      </w:pPr>
      <w:r>
        <w:rPr>
          <w:rFonts w:hint="eastAsia" w:ascii="方正仿宋_GB2312" w:eastAsia="方正仿宋_GB2312" w:cs="方正仿宋_GB2312"/>
          <w:sz w:val="32"/>
          <w:szCs w:val="32"/>
          <w:highlight w:val="none"/>
          <w:lang w:val="en-US" w:eastAsia="zh-CN"/>
        </w:rPr>
        <w:t>运营维护</w:t>
      </w:r>
    </w:p>
    <w:p w14:paraId="27C12DE6">
      <w:pPr>
        <w:pStyle w:val="23"/>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6" w:firstLineChars="200"/>
        <w:textAlignment w:val="auto"/>
        <w:rPr>
          <w:rFonts w:hint="default" w:ascii="方正仿宋_GB2312" w:eastAsia="方正仿宋_GB2312" w:cs="方正仿宋_GB2312"/>
          <w:sz w:val="32"/>
          <w:szCs w:val="32"/>
          <w:highlight w:val="none"/>
          <w:lang w:val="en-US" w:eastAsia="zh-CN"/>
        </w:rPr>
      </w:pPr>
      <w:r>
        <w:rPr>
          <w:rFonts w:hint="eastAsia" w:ascii="方正仿宋_GB2312" w:hAnsi="方正仿宋_GB2312" w:eastAsia="方正仿宋_GB2312" w:cs="方正仿宋_GB2312"/>
          <w:kern w:val="0"/>
          <w:sz w:val="32"/>
          <w:szCs w:val="32"/>
          <w:highlight w:val="none"/>
        </w:rPr>
        <w:t>（建设实施完成后，系统升级运维、数据资源运营等工作内容</w:t>
      </w:r>
      <w:r>
        <w:rPr>
          <w:rFonts w:hint="eastAsia" w:ascii="方正仿宋_GB2312" w:hAnsi="方正仿宋_GB2312" w:eastAsia="方正仿宋_GB2312" w:cs="方正仿宋_GB2312"/>
          <w:kern w:val="0"/>
          <w:sz w:val="32"/>
          <w:szCs w:val="32"/>
          <w:highlight w:val="none"/>
          <w:lang w:val="en-US" w:eastAsia="zh-CN"/>
        </w:rPr>
        <w:t>及参考投资费用</w:t>
      </w:r>
      <w:r>
        <w:rPr>
          <w:rFonts w:hint="eastAsia" w:ascii="方正仿宋_GB2312" w:hAnsi="方正仿宋_GB2312" w:eastAsia="方正仿宋_GB2312" w:cs="方正仿宋_GB2312"/>
          <w:kern w:val="0"/>
          <w:sz w:val="32"/>
          <w:szCs w:val="32"/>
          <w:highlight w:val="none"/>
          <w:lang w:eastAsia="zh-CN"/>
        </w:rPr>
        <w:t>，</w:t>
      </w:r>
      <w:r>
        <w:rPr>
          <w:rFonts w:hint="eastAsia" w:ascii="方正仿宋_GB2312" w:hAnsi="方正仿宋_GB2312" w:eastAsia="方正仿宋_GB2312" w:cs="方正仿宋_GB2312"/>
          <w:kern w:val="0"/>
          <w:sz w:val="32"/>
          <w:szCs w:val="32"/>
          <w:highlight w:val="none"/>
          <w:lang w:val="en-US" w:eastAsia="zh-CN"/>
        </w:rPr>
        <w:t>运维费用请单独列出</w:t>
      </w:r>
      <w:r>
        <w:rPr>
          <w:rFonts w:hint="eastAsia" w:ascii="方正仿宋_GB2312" w:hAnsi="方正仿宋_GB2312" w:eastAsia="方正仿宋_GB2312" w:cs="方正仿宋_GB2312"/>
          <w:kern w:val="0"/>
          <w:sz w:val="32"/>
          <w:szCs w:val="32"/>
          <w:highlight w:val="none"/>
        </w:rPr>
        <w:t>）</w:t>
      </w:r>
    </w:p>
    <w:p w14:paraId="2BAF2216">
      <w:pPr>
        <w:pStyle w:val="23"/>
        <w:keepNext w:val="0"/>
        <w:keepLines w:val="0"/>
        <w:pageBreakBefore w:val="0"/>
        <w:widowControl w:val="0"/>
        <w:kinsoku/>
        <w:wordWrap/>
        <w:overflowPunct/>
        <w:topLinePunct w:val="0"/>
        <w:autoSpaceDE/>
        <w:autoSpaceDN/>
        <w:bidi w:val="0"/>
        <w:adjustRightInd/>
        <w:snapToGrid/>
        <w:spacing w:line="580" w:lineRule="exact"/>
        <w:ind w:left="0" w:firstLine="656" w:firstLineChars="200"/>
        <w:textAlignment w:val="auto"/>
        <w:rPr>
          <w:rFonts w:hint="default" w:ascii="黑体" w:eastAsia="黑体" w:cs="黑体"/>
          <w:i w:val="0"/>
          <w:iCs w:val="0"/>
          <w:caps w:val="0"/>
          <w:smallCaps w:val="0"/>
          <w:color w:val="000000"/>
          <w:spacing w:val="0"/>
          <w:kern w:val="0"/>
          <w:sz w:val="32"/>
          <w:szCs w:val="32"/>
          <w:highlight w:val="none"/>
          <w:lang w:val="en-US" w:eastAsia="zh-CN"/>
        </w:rPr>
      </w:pPr>
      <w:r>
        <w:rPr>
          <w:rFonts w:hint="eastAsia" w:ascii="黑体" w:eastAsia="黑体" w:cs="黑体"/>
          <w:sz w:val="32"/>
          <w:szCs w:val="32"/>
          <w:highlight w:val="none"/>
          <w:lang w:val="en-US" w:eastAsia="zh-CN"/>
        </w:rPr>
        <w:t>三、</w:t>
      </w:r>
      <w:r>
        <w:rPr>
          <w:rFonts w:hint="eastAsia" w:ascii="黑体" w:eastAsia="黑体" w:cs="黑体"/>
          <w:i w:val="0"/>
          <w:iCs w:val="0"/>
          <w:caps w:val="0"/>
          <w:smallCaps w:val="0"/>
          <w:color w:val="000000"/>
          <w:spacing w:val="0"/>
          <w:kern w:val="0"/>
          <w:sz w:val="32"/>
          <w:szCs w:val="32"/>
          <w:highlight w:val="none"/>
          <w:lang w:val="en-US" w:eastAsia="zh-CN"/>
        </w:rPr>
        <w:t>编制内容要求</w:t>
      </w:r>
    </w:p>
    <w:p w14:paraId="4E079276">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方正仿宋_GB2312" w:hAnsi="方正仿宋_GB2312" w:eastAsia="方正仿宋_GB2312" w:cs="方正仿宋_GB2312"/>
          <w:kern w:val="0"/>
          <w:sz w:val="32"/>
          <w:szCs w:val="32"/>
          <w:highlight w:val="none"/>
        </w:rPr>
      </w:pPr>
      <w:r>
        <w:rPr>
          <w:rFonts w:hint="eastAsia" w:ascii="方正仿宋_GB2312" w:hAnsi="方正仿宋_GB2312" w:eastAsia="方正仿宋_GB2312" w:cs="方正仿宋_GB2312"/>
          <w:kern w:val="0"/>
          <w:sz w:val="32"/>
          <w:szCs w:val="32"/>
          <w:highlight w:val="none"/>
          <w:lang w:val="en-US" w:eastAsia="zh-CN"/>
        </w:rPr>
        <w:t>根据附件2中具体需求进行平台整体方案设计，应征设计方案应对需求中考虑不足或有所欠缺的内容进行填平补齐，尽力完善设计、充实功能，同时充分考虑整体性价比和创新性。</w:t>
      </w:r>
    </w:p>
    <w:p w14:paraId="79AA147D">
      <w:pPr>
        <w:pStyle w:val="2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黑体" w:eastAsia="黑体" w:cs="黑体"/>
          <w:i w:val="0"/>
          <w:iCs w:val="0"/>
          <w:caps w:val="0"/>
          <w:smallCaps w:val="0"/>
          <w:color w:val="000000"/>
          <w:spacing w:val="0"/>
          <w:kern w:val="0"/>
          <w:sz w:val="32"/>
          <w:szCs w:val="32"/>
          <w:highlight w:val="none"/>
          <w:lang w:val="en-US" w:eastAsia="zh-CN"/>
        </w:rPr>
      </w:pPr>
      <w:r>
        <w:rPr>
          <w:rFonts w:hint="eastAsia" w:ascii="黑体" w:eastAsia="黑体" w:cs="黑体"/>
          <w:i w:val="0"/>
          <w:iCs w:val="0"/>
          <w:caps w:val="0"/>
          <w:smallCaps w:val="0"/>
          <w:color w:val="000000"/>
          <w:spacing w:val="0"/>
          <w:kern w:val="0"/>
          <w:sz w:val="32"/>
          <w:szCs w:val="32"/>
          <w:highlight w:val="none"/>
          <w:lang w:val="en-US" w:eastAsia="zh-CN"/>
        </w:rPr>
        <w:t>四、</w:t>
      </w:r>
      <w:r>
        <w:rPr>
          <w:rFonts w:hint="eastAsia" w:ascii="黑体" w:eastAsia="黑体" w:cs="黑体"/>
          <w:sz w:val="32"/>
          <w:szCs w:val="32"/>
          <w:highlight w:val="none"/>
          <w:lang w:val="en-US" w:eastAsia="zh-CN"/>
        </w:rPr>
        <w:t>涉及</w:t>
      </w:r>
      <w:r>
        <w:rPr>
          <w:rFonts w:hint="eastAsia" w:ascii="黑体" w:eastAsia="黑体" w:cs="黑体"/>
          <w:i w:val="0"/>
          <w:iCs w:val="0"/>
          <w:caps w:val="0"/>
          <w:smallCaps w:val="0"/>
          <w:color w:val="000000"/>
          <w:spacing w:val="0"/>
          <w:kern w:val="0"/>
          <w:sz w:val="32"/>
          <w:szCs w:val="32"/>
          <w:highlight w:val="none"/>
          <w:lang w:val="en-US" w:eastAsia="zh-CN"/>
        </w:rPr>
        <w:t>知识产权说明</w:t>
      </w:r>
    </w:p>
    <w:p w14:paraId="6BB272DB">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0"/>
        <w:rPr>
          <w:rFonts w:hint="eastAsia" w:ascii="仿宋_GB2312" w:eastAsia="仿宋_GB2312" w:cs="方正仿宋_GB2312"/>
          <w:kern w:val="0"/>
          <w:sz w:val="32"/>
          <w:szCs w:val="32"/>
          <w:highlight w:val="none"/>
        </w:rPr>
      </w:pPr>
      <w:r>
        <w:rPr>
          <w:rFonts w:hint="eastAsia" w:ascii="仿宋_GB2312" w:eastAsia="仿宋_GB2312" w:cs="方正仿宋_GB2312"/>
          <w:kern w:val="0"/>
          <w:sz w:val="32"/>
          <w:szCs w:val="32"/>
          <w:highlight w:val="none"/>
        </w:rPr>
        <w:t>（系统建设过程中涉及知识产权的相关风险及解决方法，系统建设完成后，软件知识产相关权内容）</w:t>
      </w:r>
    </w:p>
    <w:p w14:paraId="1FDC088D">
      <w:pPr>
        <w:pStyle w:val="2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ascii="黑体" w:eastAsia="黑体" w:cs="黑体"/>
          <w:i w:val="0"/>
          <w:iCs w:val="0"/>
          <w:caps w:val="0"/>
          <w:smallCaps w:val="0"/>
          <w:color w:val="000000"/>
          <w:spacing w:val="0"/>
          <w:kern w:val="0"/>
          <w:sz w:val="32"/>
          <w:szCs w:val="32"/>
          <w:highlight w:val="none"/>
          <w:lang w:val="en-US" w:eastAsia="zh-CN"/>
        </w:rPr>
      </w:pPr>
      <w:r>
        <w:rPr>
          <w:rFonts w:hint="eastAsia" w:ascii="黑体" w:eastAsia="黑体" w:cs="黑体"/>
          <w:i w:val="0"/>
          <w:iCs w:val="0"/>
          <w:caps w:val="0"/>
          <w:smallCaps w:val="0"/>
          <w:color w:val="000000"/>
          <w:spacing w:val="0"/>
          <w:kern w:val="0"/>
          <w:sz w:val="32"/>
          <w:szCs w:val="32"/>
          <w:highlight w:val="none"/>
          <w:lang w:val="en-US" w:eastAsia="zh-CN"/>
        </w:rPr>
        <w:t>五、报送要求</w:t>
      </w:r>
    </w:p>
    <w:p w14:paraId="611F4F94">
      <w:pPr>
        <w:pStyle w:val="23"/>
        <w:keepNext w:val="0"/>
        <w:keepLines w:val="0"/>
        <w:pageBreakBefore w:val="0"/>
        <w:widowControl w:val="0"/>
        <w:kinsoku/>
        <w:wordWrap/>
        <w:overflowPunct/>
        <w:topLinePunct w:val="0"/>
        <w:autoSpaceDE/>
        <w:autoSpaceDN/>
        <w:bidi w:val="0"/>
        <w:adjustRightInd/>
        <w:snapToGrid/>
        <w:spacing w:before="0" w:beforeLines="0" w:after="0" w:afterLines="0" w:line="580" w:lineRule="exact"/>
        <w:textAlignment w:val="auto"/>
        <w:rPr>
          <w:rFonts w:hint="eastAsia" w:ascii="仿宋_GB2312" w:eastAsia="仿宋_GB2312" w:cs="方正仿宋_GB2312"/>
          <w:kern w:val="0"/>
          <w:sz w:val="32"/>
          <w:szCs w:val="32"/>
          <w:highlight w:val="none"/>
        </w:rPr>
      </w:pPr>
      <w:r>
        <w:rPr>
          <w:rFonts w:hint="eastAsia" w:ascii="仿宋_GB2312" w:eastAsia="仿宋_GB2312" w:cs="方正仿宋_GB2312"/>
          <w:kern w:val="0"/>
          <w:sz w:val="32"/>
          <w:szCs w:val="32"/>
          <w:highlight w:val="none"/>
          <w:lang w:val="en-US" w:eastAsia="zh-CN"/>
        </w:rPr>
        <w:t>1. 各主体须严格按照</w:t>
      </w:r>
      <w:r>
        <w:rPr>
          <w:rFonts w:hint="eastAsia" w:ascii="仿宋_GB2312" w:eastAsia="仿宋_GB2312" w:cs="方正仿宋_GB2312"/>
          <w:kern w:val="0"/>
          <w:sz w:val="32"/>
          <w:szCs w:val="32"/>
          <w:highlight w:val="none"/>
        </w:rPr>
        <w:t>《“</w:t>
      </w:r>
      <w:r>
        <w:rPr>
          <w:rFonts w:hint="eastAsia" w:ascii="仿宋_GB2312" w:eastAsia="仿宋_GB2312" w:cs="方正仿宋_GB2312"/>
          <w:kern w:val="0"/>
          <w:sz w:val="32"/>
          <w:szCs w:val="32"/>
          <w:highlight w:val="none"/>
          <w:lang w:val="en-US" w:eastAsia="zh-CN"/>
        </w:rPr>
        <w:t>廊坊市规范入企行政执法系统</w:t>
      </w:r>
      <w:r>
        <w:rPr>
          <w:rFonts w:hint="eastAsia" w:ascii="仿宋_GB2312" w:eastAsia="仿宋_GB2312" w:cs="方正仿宋_GB2312"/>
          <w:kern w:val="0"/>
          <w:sz w:val="32"/>
          <w:szCs w:val="32"/>
          <w:highlight w:val="none"/>
        </w:rPr>
        <w:t>”设计方案编制大纲》</w:t>
      </w:r>
      <w:r>
        <w:rPr>
          <w:rFonts w:hint="eastAsia" w:ascii="仿宋_GB2312" w:eastAsia="仿宋_GB2312" w:cs="方正仿宋_GB2312"/>
          <w:kern w:val="0"/>
          <w:sz w:val="32"/>
          <w:szCs w:val="32"/>
          <w:highlight w:val="none"/>
          <w:lang w:val="en-US" w:eastAsia="zh-CN"/>
        </w:rPr>
        <w:t>内容完成设计方案编制，编制</w:t>
      </w:r>
      <w:r>
        <w:rPr>
          <w:rFonts w:hint="eastAsia" w:ascii="仿宋_GB2312" w:eastAsia="仿宋_GB2312" w:cs="方正仿宋_GB2312"/>
          <w:kern w:val="0"/>
          <w:sz w:val="32"/>
          <w:szCs w:val="32"/>
          <w:highlight w:val="none"/>
        </w:rPr>
        <w:t>第二、三、四部分</w:t>
      </w:r>
      <w:r>
        <w:rPr>
          <w:rFonts w:hint="eastAsia" w:ascii="仿宋_GB2312" w:eastAsia="仿宋_GB2312" w:cs="方正仿宋_GB2312"/>
          <w:kern w:val="0"/>
          <w:sz w:val="32"/>
          <w:szCs w:val="32"/>
          <w:highlight w:val="none"/>
          <w:lang w:val="en-US" w:eastAsia="zh-CN"/>
        </w:rPr>
        <w:t>内容时，</w:t>
      </w:r>
      <w:r>
        <w:rPr>
          <w:rFonts w:hint="eastAsia" w:ascii="仿宋_GB2312" w:eastAsia="仿宋_GB2312" w:cs="方正仿宋_GB2312"/>
          <w:kern w:val="0"/>
          <w:sz w:val="32"/>
          <w:szCs w:val="32"/>
          <w:highlight w:val="none"/>
        </w:rPr>
        <w:t>表述中不得体现设计主体、名称及可确认身份信息的内容。</w:t>
      </w:r>
    </w:p>
    <w:p w14:paraId="3E0040AF">
      <w:pPr>
        <w:pStyle w:val="23"/>
        <w:keepNext w:val="0"/>
        <w:keepLines w:val="0"/>
        <w:pageBreakBefore w:val="0"/>
        <w:widowControl w:val="0"/>
        <w:kinsoku/>
        <w:wordWrap/>
        <w:overflowPunct/>
        <w:topLinePunct w:val="0"/>
        <w:autoSpaceDE/>
        <w:autoSpaceDN/>
        <w:bidi w:val="0"/>
        <w:adjustRightInd/>
        <w:snapToGrid/>
        <w:spacing w:before="0" w:beforeLines="0" w:after="0" w:afterLines="0" w:line="580" w:lineRule="exact"/>
        <w:textAlignment w:val="auto"/>
        <w:rPr>
          <w:rFonts w:hint="eastAsia" w:ascii="仿宋_GB2312" w:eastAsia="仿宋_GB2312" w:cs="方正仿宋_GB2312"/>
          <w:kern w:val="0"/>
          <w:sz w:val="32"/>
          <w:szCs w:val="32"/>
          <w:highlight w:val="none"/>
          <w:lang w:eastAsia="zh-CN"/>
        </w:rPr>
      </w:pPr>
      <w:r>
        <w:rPr>
          <w:rFonts w:hint="eastAsia" w:ascii="仿宋_GB2312" w:eastAsia="仿宋_GB2312" w:cs="方正仿宋_GB2312"/>
          <w:kern w:val="0"/>
          <w:sz w:val="32"/>
          <w:szCs w:val="32"/>
          <w:highlight w:val="none"/>
          <w:lang w:val="en-US" w:eastAsia="zh-CN"/>
        </w:rPr>
        <w:t>2. 设计方案</w:t>
      </w:r>
      <w:r>
        <w:rPr>
          <w:rFonts w:hint="eastAsia" w:ascii="仿宋_GB2312" w:eastAsia="仿宋_GB2312" w:cs="方正仿宋_GB2312"/>
          <w:kern w:val="0"/>
          <w:sz w:val="32"/>
          <w:szCs w:val="32"/>
          <w:highlight w:val="none"/>
        </w:rPr>
        <w:t>以电子邮件形式提交</w:t>
      </w:r>
      <w:r>
        <w:rPr>
          <w:rFonts w:hint="eastAsia" w:ascii="仿宋_GB2312" w:eastAsia="仿宋_GB2312" w:cs="方正仿宋_GB2312"/>
          <w:kern w:val="0"/>
          <w:sz w:val="32"/>
          <w:szCs w:val="32"/>
          <w:highlight w:val="none"/>
          <w:lang w:eastAsia="zh-CN"/>
        </w:rPr>
        <w:t>。</w:t>
      </w:r>
    </w:p>
    <w:p w14:paraId="203600E1">
      <w:pPr>
        <w:pStyle w:val="23"/>
        <w:keepNext w:val="0"/>
        <w:keepLines w:val="0"/>
        <w:pageBreakBefore w:val="0"/>
        <w:widowControl w:val="0"/>
        <w:kinsoku/>
        <w:wordWrap/>
        <w:overflowPunct/>
        <w:topLinePunct w:val="0"/>
        <w:autoSpaceDE/>
        <w:autoSpaceDN/>
        <w:bidi w:val="0"/>
        <w:adjustRightInd/>
        <w:snapToGrid/>
        <w:spacing w:before="0" w:beforeLines="0" w:after="0" w:afterLines="0" w:line="580" w:lineRule="exact"/>
        <w:textAlignment w:val="auto"/>
        <w:rPr>
          <w:rFonts w:hint="eastAsia" w:ascii="仿宋_GB2312" w:eastAsia="仿宋_GB2312" w:cs="方正仿宋_GB2312"/>
          <w:kern w:val="0"/>
          <w:sz w:val="32"/>
          <w:szCs w:val="32"/>
          <w:highlight w:val="none"/>
        </w:rPr>
      </w:pPr>
      <w:r>
        <w:rPr>
          <w:rFonts w:hint="eastAsia" w:ascii="仿宋_GB2312" w:eastAsia="仿宋_GB2312" w:cs="方正仿宋_GB2312"/>
          <w:kern w:val="0"/>
          <w:sz w:val="32"/>
          <w:szCs w:val="32"/>
          <w:highlight w:val="none"/>
          <w:lang w:val="en-US" w:eastAsia="zh-CN"/>
        </w:rPr>
        <w:t>3. 设计方案及相关</w:t>
      </w:r>
      <w:r>
        <w:rPr>
          <w:rFonts w:hint="eastAsia" w:ascii="仿宋_GB2312" w:eastAsia="仿宋_GB2312" w:cs="方正仿宋_GB2312"/>
          <w:kern w:val="0"/>
          <w:sz w:val="32"/>
          <w:szCs w:val="32"/>
          <w:highlight w:val="none"/>
        </w:rPr>
        <w:t>文档</w:t>
      </w:r>
      <w:r>
        <w:rPr>
          <w:rFonts w:hint="eastAsia" w:ascii="仿宋_GB2312" w:eastAsia="仿宋_GB2312" w:cs="方正仿宋_GB2312"/>
          <w:kern w:val="0"/>
          <w:sz w:val="32"/>
          <w:szCs w:val="32"/>
          <w:highlight w:val="none"/>
          <w:lang w:val="en-US" w:eastAsia="zh-CN"/>
        </w:rPr>
        <w:t>须</w:t>
      </w:r>
      <w:r>
        <w:rPr>
          <w:rFonts w:hint="eastAsia" w:ascii="仿宋_GB2312" w:eastAsia="仿宋_GB2312" w:cs="方正仿宋_GB2312"/>
          <w:kern w:val="0"/>
          <w:sz w:val="32"/>
          <w:szCs w:val="32"/>
          <w:highlight w:val="none"/>
        </w:rPr>
        <w:t>采用压缩包形式</w:t>
      </w:r>
      <w:r>
        <w:rPr>
          <w:rFonts w:hint="eastAsia" w:ascii="仿宋_GB2312" w:eastAsia="仿宋_GB2312" w:cs="方正仿宋_GB2312"/>
          <w:kern w:val="0"/>
          <w:sz w:val="32"/>
          <w:szCs w:val="32"/>
          <w:highlight w:val="none"/>
          <w:lang w:eastAsia="zh-CN"/>
        </w:rPr>
        <w:t>，</w:t>
      </w:r>
      <w:r>
        <w:rPr>
          <w:rFonts w:hint="eastAsia" w:ascii="仿宋_GB2312" w:eastAsia="仿宋_GB2312" w:cs="方正仿宋_GB2312"/>
          <w:kern w:val="0"/>
          <w:sz w:val="32"/>
          <w:szCs w:val="32"/>
          <w:highlight w:val="none"/>
          <w:lang w:val="en-US" w:eastAsia="zh-CN"/>
        </w:rPr>
        <w:t>在征集时限内发送到指定邮箱</w:t>
      </w:r>
      <w:r>
        <w:rPr>
          <w:rFonts w:hint="eastAsia" w:ascii="仿宋_GB2312" w:eastAsia="仿宋_GB2312" w:cs="方正仿宋_GB2312"/>
          <w:kern w:val="0"/>
          <w:sz w:val="32"/>
          <w:szCs w:val="32"/>
          <w:highlight w:val="none"/>
          <w:lang w:eastAsia="zh-CN"/>
        </w:rPr>
        <w:t>。</w:t>
      </w:r>
      <w:r>
        <w:rPr>
          <w:rFonts w:hint="eastAsia" w:ascii="仿宋_GB2312" w:eastAsia="仿宋_GB2312" w:cs="方正仿宋_GB2312"/>
          <w:kern w:val="0"/>
          <w:sz w:val="32"/>
          <w:szCs w:val="32"/>
          <w:highlight w:val="none"/>
        </w:rPr>
        <w:t>邮件和压缩包文件名称均为“单位全称+方案征集”。</w:t>
      </w:r>
    </w:p>
    <w:p w14:paraId="27238FED">
      <w:pPr>
        <w:pStyle w:val="23"/>
        <w:keepNext w:val="0"/>
        <w:keepLines w:val="0"/>
        <w:pageBreakBefore w:val="0"/>
        <w:widowControl w:val="0"/>
        <w:kinsoku/>
        <w:wordWrap/>
        <w:overflowPunct/>
        <w:topLinePunct w:val="0"/>
        <w:autoSpaceDE/>
        <w:autoSpaceDN/>
        <w:bidi w:val="0"/>
        <w:adjustRightInd/>
        <w:snapToGrid/>
        <w:spacing w:before="0" w:beforeLines="0" w:after="0" w:afterLines="0" w:line="580" w:lineRule="exact"/>
        <w:textAlignment w:val="auto"/>
        <w:rPr>
          <w:rFonts w:hint="eastAsia" w:ascii="仿宋_GB2312" w:eastAsia="仿宋_GB2312" w:cs="方正仿宋_GB2312"/>
          <w:kern w:val="0"/>
          <w:sz w:val="32"/>
          <w:szCs w:val="32"/>
          <w:highlight w:val="none"/>
        </w:rPr>
      </w:pPr>
      <w:r>
        <w:rPr>
          <w:rFonts w:hint="eastAsia" w:ascii="仿宋_GB2312" w:eastAsia="仿宋_GB2312" w:cs="方正仿宋_GB2312"/>
          <w:kern w:val="0"/>
          <w:sz w:val="32"/>
          <w:szCs w:val="32"/>
          <w:highlight w:val="none"/>
          <w:lang w:val="en-US" w:eastAsia="zh-CN"/>
        </w:rPr>
        <w:t>4. 设计方案报送电子邮箱</w:t>
      </w:r>
      <w:r>
        <w:rPr>
          <w:rFonts w:hint="eastAsia" w:ascii="仿宋_GB2312" w:eastAsia="仿宋_GB2312" w:cs="方正仿宋_GB2312"/>
          <w:kern w:val="0"/>
          <w:sz w:val="32"/>
          <w:szCs w:val="32"/>
          <w:highlight w:val="none"/>
        </w:rPr>
        <w:t>地址：</w:t>
      </w:r>
      <w:r>
        <w:rPr>
          <w:rFonts w:hint="eastAsia" w:ascii="宋体" w:hAnsi="宋体" w:eastAsia="宋体" w:cs="宋体"/>
          <w:i w:val="0"/>
          <w:iCs w:val="0"/>
          <w:caps w:val="0"/>
          <w:smallCaps w:val="0"/>
          <w:color w:val="000000"/>
          <w:spacing w:val="0"/>
          <w:kern w:val="0"/>
          <w:sz w:val="32"/>
          <w:szCs w:val="32"/>
          <w:highlight w:val="none"/>
          <w:u w:val="none"/>
          <w:lang w:val="en-US" w:eastAsia="zh-CN"/>
        </w:rPr>
        <w:t>lfsjjbgs@126.com</w:t>
      </w:r>
      <w:r>
        <w:rPr>
          <w:rFonts w:hint="eastAsia" w:ascii="宋体" w:hAnsi="宋体" w:eastAsia="宋体" w:cs="宋体"/>
          <w:kern w:val="0"/>
          <w:sz w:val="32"/>
          <w:szCs w:val="32"/>
          <w:highlight w:val="none"/>
        </w:rPr>
        <w:t>。</w:t>
      </w:r>
    </w:p>
    <w:p w14:paraId="3B3E3509">
      <w:pPr>
        <w:ind w:firstLine="640"/>
        <w:rPr>
          <w:rFonts w:ascii="仿宋_GB2312"/>
          <w:highlight w:val="none"/>
        </w:rPr>
      </w:pPr>
    </w:p>
    <w:p w14:paraId="1108D26B">
      <w:pPr>
        <w:ind w:left="0" w:leftChars="0" w:firstLine="0" w:firstLineChars="0"/>
        <w:jc w:val="left"/>
        <w:rPr>
          <w:rFonts w:ascii="仿宋_GB2312"/>
          <w:highlight w:val="none"/>
          <w:shd w:val="clear" w:color="auto" w:fill="FFFFFF"/>
        </w:rPr>
      </w:pPr>
      <w:r>
        <w:rPr>
          <w:rFonts w:hint="eastAsia" w:ascii="仿宋_GB2312" w:cs="仿宋_GB2312"/>
          <w:color w:val="000000"/>
          <w:szCs w:val="32"/>
          <w:highlight w:val="none"/>
          <w:shd w:val="clear" w:color="auto" w:fill="FFFFFF"/>
        </w:rPr>
        <w:br w:type="page"/>
      </w:r>
      <w:r>
        <w:rPr>
          <w:rFonts w:hint="eastAsia" w:ascii="仿宋_GB2312"/>
          <w:highlight w:val="none"/>
          <w:shd w:val="clear" w:color="auto" w:fill="FFFFFF"/>
        </w:rPr>
        <w:t>附件2:</w:t>
      </w:r>
    </w:p>
    <w:p w14:paraId="3945BC2B">
      <w:pPr>
        <w:pStyle w:val="17"/>
        <w:ind w:firstLine="0" w:firstLineChars="0"/>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“廊坊市规范入企行政执法系统”功能需求书</w:t>
      </w:r>
    </w:p>
    <w:p w14:paraId="6BD6B572">
      <w:pPr>
        <w:rPr>
          <w:rFonts w:hint="eastAsia"/>
          <w:highlight w:val="none"/>
          <w:lang w:val="en-US" w:eastAsia="zh-CN"/>
        </w:rPr>
      </w:pPr>
      <w:bookmarkStart w:id="0" w:name="_Toc17390"/>
      <w:bookmarkStart w:id="1" w:name="_Toc4789"/>
    </w:p>
    <w:p w14:paraId="0F6370D3">
      <w:pPr>
        <w:pStyle w:val="2"/>
        <w:pageBreakBefore w:val="0"/>
        <w:numPr>
          <w:ilvl w:val="0"/>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eastAsia="仿宋_GB2312"/>
          <w:highlight w:val="none"/>
        </w:rPr>
      </w:pPr>
      <w:r>
        <w:rPr>
          <w:rFonts w:hint="eastAsia" w:ascii="仿宋_GB2312" w:eastAsia="仿宋_GB2312" w:cs="仿宋_GB2312"/>
          <w:b/>
          <w:bCs/>
          <w:kern w:val="44"/>
          <w:sz w:val="32"/>
          <w:szCs w:val="32"/>
          <w:highlight w:val="none"/>
          <w:lang w:val="en-US" w:eastAsia="zh-CN" w:bidi="ar-SA"/>
        </w:rPr>
        <w:t>1.</w:t>
      </w:r>
      <w:r>
        <w:rPr>
          <w:rFonts w:hint="eastAsia" w:ascii="仿宋_GB2312" w:eastAsia="仿宋_GB2312"/>
          <w:highlight w:val="none"/>
        </w:rPr>
        <w:t>项目</w:t>
      </w:r>
      <w:bookmarkEnd w:id="0"/>
      <w:r>
        <w:rPr>
          <w:rFonts w:hint="eastAsia" w:ascii="仿宋_GB2312" w:eastAsia="仿宋_GB2312"/>
          <w:highlight w:val="none"/>
        </w:rPr>
        <w:t>基本信息</w:t>
      </w:r>
      <w:bookmarkEnd w:id="1"/>
    </w:p>
    <w:p w14:paraId="18594D2C">
      <w:pPr>
        <w:pStyle w:val="3"/>
        <w:pageBreakBefore w:val="0"/>
        <w:numPr>
          <w:ilvl w:val="1"/>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cs="仿宋_GB2312"/>
          <w:sz w:val="32"/>
          <w:highlight w:val="none"/>
        </w:rPr>
      </w:pPr>
      <w:bookmarkStart w:id="2" w:name="_Toc7511"/>
      <w:bookmarkStart w:id="3" w:name="_Toc25835"/>
      <w:r>
        <w:rPr>
          <w:rFonts w:hint="eastAsia" w:ascii="仿宋_GB2312" w:cs="仿宋_GB2312"/>
          <w:b/>
          <w:bCs/>
          <w:kern w:val="2"/>
          <w:sz w:val="32"/>
          <w:szCs w:val="32"/>
          <w:highlight w:val="none"/>
          <w:lang w:val="en-US" w:eastAsia="zh-CN" w:bidi="ar-SA"/>
        </w:rPr>
        <w:t>1</w:t>
      </w:r>
      <w:r>
        <w:rPr>
          <w:rFonts w:hint="eastAsia" w:ascii="仿宋_GB2312" w:hAnsi="Times New Roman" w:eastAsia="仿宋_GB2312" w:cs="仿宋_GB2312"/>
          <w:b/>
          <w:bCs/>
          <w:kern w:val="2"/>
          <w:sz w:val="32"/>
          <w:szCs w:val="32"/>
          <w:highlight w:val="none"/>
          <w:lang w:val="en-US" w:eastAsia="zh-CN" w:bidi="ar-SA"/>
        </w:rPr>
        <w:t>.1</w:t>
      </w:r>
      <w:r>
        <w:rPr>
          <w:rFonts w:hint="eastAsia" w:ascii="仿宋_GB2312" w:cs="仿宋_GB2312"/>
          <w:sz w:val="32"/>
          <w:highlight w:val="none"/>
        </w:rPr>
        <w:t>项目名称</w:t>
      </w:r>
      <w:bookmarkEnd w:id="2"/>
      <w:bookmarkEnd w:id="3"/>
    </w:p>
    <w:p w14:paraId="36DBDCC1">
      <w:pPr>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bookmarkStart w:id="4" w:name="_Toc8899"/>
      <w:r>
        <w:rPr>
          <w:rFonts w:hint="eastAsia" w:ascii="仿宋_GB2312"/>
          <w:highlight w:val="none"/>
          <w:lang w:val="en-GB"/>
        </w:rPr>
        <w:t>项目名称：廊坊市规范入企行政执法系统项目</w:t>
      </w:r>
      <w:bookmarkEnd w:id="4"/>
      <w:bookmarkStart w:id="5" w:name="_Toc7841"/>
    </w:p>
    <w:p w14:paraId="0B949FDD">
      <w:pPr>
        <w:pStyle w:val="3"/>
        <w:pageBreakBefore w:val="0"/>
        <w:numPr>
          <w:ilvl w:val="1"/>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cs="仿宋_GB2312"/>
          <w:sz w:val="32"/>
          <w:highlight w:val="none"/>
        </w:rPr>
      </w:pPr>
      <w:bookmarkStart w:id="6" w:name="_Toc55"/>
      <w:bookmarkStart w:id="7" w:name="_Toc13190"/>
      <w:r>
        <w:rPr>
          <w:rFonts w:hint="eastAsia" w:ascii="仿宋_GB2312" w:cs="仿宋_GB2312"/>
          <w:b/>
          <w:bCs/>
          <w:kern w:val="2"/>
          <w:sz w:val="32"/>
          <w:szCs w:val="32"/>
          <w:highlight w:val="none"/>
          <w:lang w:val="en-US" w:eastAsia="zh-CN" w:bidi="ar-SA"/>
        </w:rPr>
        <w:t>1</w:t>
      </w:r>
      <w:r>
        <w:rPr>
          <w:rFonts w:hint="eastAsia" w:ascii="仿宋_GB2312" w:hAnsi="Times New Roman" w:eastAsia="仿宋_GB2312" w:cs="仿宋_GB2312"/>
          <w:b/>
          <w:bCs/>
          <w:kern w:val="2"/>
          <w:sz w:val="32"/>
          <w:szCs w:val="32"/>
          <w:highlight w:val="none"/>
          <w:lang w:val="en-US" w:eastAsia="zh-CN" w:bidi="ar-SA"/>
        </w:rPr>
        <w:t>.2</w:t>
      </w:r>
      <w:r>
        <w:rPr>
          <w:rFonts w:hint="eastAsia" w:ascii="仿宋_GB2312" w:cs="仿宋_GB2312"/>
          <w:sz w:val="32"/>
          <w:highlight w:val="none"/>
        </w:rPr>
        <w:t>项目建设期</w:t>
      </w:r>
      <w:bookmarkEnd w:id="6"/>
      <w:bookmarkEnd w:id="7"/>
    </w:p>
    <w:p w14:paraId="3254D41B">
      <w:pPr>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本项目建设总工期预计为3个月，在项目建设期内完成廊坊市规范入企行政执法系统的建设。项目建设周期采取分阶段实施、逐步落地的策略，以尽快满足项目投产使用需要。具体阶段性计划如下：</w:t>
      </w:r>
    </w:p>
    <w:p w14:paraId="2242B852">
      <w:pPr>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1）市级层面、试点区县实现协同</w:t>
      </w:r>
    </w:p>
    <w:p w14:paraId="2FA09B63">
      <w:pPr>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2个月：完成方案编制、系统开发、部署调试等工作，确保市级系统平台落地，在2个试点县（大厂县、大城县）运行，并对流程和功能进行不断地调优；</w:t>
      </w:r>
    </w:p>
    <w:p w14:paraId="7F6D4334">
      <w:pPr>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2）区县分局级实现协同</w:t>
      </w:r>
    </w:p>
    <w:p w14:paraId="1B0E6F06">
      <w:pPr>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1个月：将试点县成功经验进行复制推广，在廊坊市8个县（市、区），包括6个区县（广阳区、安次区、永清县、固安县、文安县、香河县）以及2个县级市（三河市、霸州市）范围内实现对应层级的执法联动和业务协同，开始系统平台全面试运行；并根据各区县执法流程特点进行功能微调，直至圆满上线运转。</w:t>
      </w:r>
    </w:p>
    <w:p w14:paraId="3006EB1B">
      <w:pPr>
        <w:pStyle w:val="3"/>
        <w:pageBreakBefore w:val="0"/>
        <w:numPr>
          <w:ilvl w:val="1"/>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cs="仿宋_GB2312"/>
          <w:sz w:val="32"/>
          <w:highlight w:val="none"/>
        </w:rPr>
      </w:pPr>
      <w:bookmarkStart w:id="8" w:name="_Toc27190"/>
      <w:r>
        <w:rPr>
          <w:rFonts w:hint="eastAsia" w:ascii="仿宋_GB2312" w:cs="仿宋_GB2312"/>
          <w:b/>
          <w:bCs/>
          <w:kern w:val="2"/>
          <w:sz w:val="32"/>
          <w:szCs w:val="32"/>
          <w:highlight w:val="none"/>
          <w:lang w:val="en-US" w:eastAsia="zh-CN" w:bidi="ar-SA"/>
        </w:rPr>
        <w:t>1</w:t>
      </w:r>
      <w:r>
        <w:rPr>
          <w:rFonts w:hint="eastAsia" w:ascii="仿宋_GB2312" w:hAnsi="Times New Roman" w:eastAsia="仿宋_GB2312" w:cs="仿宋_GB2312"/>
          <w:b/>
          <w:bCs/>
          <w:kern w:val="2"/>
          <w:sz w:val="32"/>
          <w:szCs w:val="32"/>
          <w:highlight w:val="none"/>
          <w:lang w:val="en-US" w:eastAsia="zh-CN" w:bidi="ar-SA"/>
        </w:rPr>
        <w:t>.3</w:t>
      </w:r>
      <w:r>
        <w:rPr>
          <w:rFonts w:hint="eastAsia" w:ascii="仿宋_GB2312" w:cs="仿宋_GB2312"/>
          <w:sz w:val="32"/>
          <w:highlight w:val="none"/>
        </w:rPr>
        <w:t>项目立项依据</w:t>
      </w:r>
      <w:bookmarkEnd w:id="5"/>
      <w:bookmarkEnd w:id="8"/>
    </w:p>
    <w:p w14:paraId="31683F37">
      <w:pPr>
        <w:pStyle w:val="4"/>
        <w:pageBreakBefore w:val="0"/>
        <w:numPr>
          <w:ilvl w:val="2"/>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highlight w:val="none"/>
        </w:rPr>
      </w:pPr>
      <w:bookmarkStart w:id="9" w:name="_Toc11711"/>
      <w:bookmarkStart w:id="10" w:name="_Toc61283483"/>
      <w:bookmarkStart w:id="11" w:name="_Toc32436"/>
      <w:bookmarkStart w:id="12" w:name="_Toc61963360"/>
      <w:r>
        <w:rPr>
          <w:rFonts w:hint="eastAsia" w:ascii="仿宋_GB2312" w:hAnsi="仿宋_GB2312" w:cs="仿宋_GB2312"/>
          <w:b/>
          <w:bCs/>
          <w:kern w:val="2"/>
          <w:sz w:val="32"/>
          <w:szCs w:val="32"/>
          <w:highlight w:val="none"/>
          <w:lang w:val="en-US" w:eastAsia="zh-CN" w:bidi="ar-SA"/>
        </w:rPr>
        <w:t>1</w:t>
      </w:r>
      <w:r>
        <w:rPr>
          <w:rFonts w:hint="eastAsia" w:ascii="仿宋_GB2312" w:hAnsi="仿宋_GB2312" w:eastAsia="仿宋_GB2312" w:cs="仿宋_GB2312"/>
          <w:b/>
          <w:bCs/>
          <w:kern w:val="2"/>
          <w:sz w:val="32"/>
          <w:szCs w:val="32"/>
          <w:highlight w:val="none"/>
          <w:lang w:val="en-US" w:eastAsia="zh-CN" w:bidi="ar-SA"/>
        </w:rPr>
        <w:t>.3.1</w:t>
      </w:r>
      <w:r>
        <w:rPr>
          <w:rFonts w:hint="eastAsia" w:ascii="仿宋_GB2312"/>
          <w:highlight w:val="none"/>
        </w:rPr>
        <w:t>国家</w:t>
      </w:r>
      <w:bookmarkEnd w:id="9"/>
      <w:r>
        <w:rPr>
          <w:rFonts w:hint="eastAsia" w:ascii="仿宋_GB2312"/>
          <w:highlight w:val="none"/>
        </w:rPr>
        <w:t>政策</w:t>
      </w:r>
    </w:p>
    <w:p w14:paraId="6CD496AD">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十八届三中全会《中共中央关于全面深化改革若干重大问题的决定》</w:t>
      </w:r>
    </w:p>
    <w:p w14:paraId="3CF2A5DE">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十八届四中全会《中共中央关于全面依法治国若干重大问题的决定》</w:t>
      </w:r>
    </w:p>
    <w:p w14:paraId="0812F3DF">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《中共中央关于加强基层治理体系和治理能力现代化建设的意见》</w:t>
      </w:r>
    </w:p>
    <w:p w14:paraId="17D71FB7">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中共中央、国务院正式印发《关于深入推进城市执法体制改革改进城市管理工作的指导意见》</w:t>
      </w:r>
    </w:p>
    <w:p w14:paraId="69E2A426">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《中共中央国务院关于深入推进城市执法体制改革改进城市管理工作的指导意见》（中发〔2015〕37号）</w:t>
      </w:r>
    </w:p>
    <w:p w14:paraId="324772AE">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《河北省提升行政执法质量三年行动方案（2023-2025年）》</w:t>
      </w:r>
    </w:p>
    <w:p w14:paraId="6AF376C6">
      <w:pPr>
        <w:pStyle w:val="4"/>
        <w:pageBreakBefore w:val="0"/>
        <w:numPr>
          <w:ilvl w:val="2"/>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highlight w:val="none"/>
        </w:rPr>
      </w:pPr>
      <w:bookmarkStart w:id="13" w:name="_Toc14692"/>
      <w:r>
        <w:rPr>
          <w:rFonts w:hint="eastAsia" w:ascii="仿宋_GB2312" w:hAnsi="仿宋_GB2312" w:cs="仿宋_GB2312"/>
          <w:b/>
          <w:bCs/>
          <w:kern w:val="2"/>
          <w:sz w:val="32"/>
          <w:szCs w:val="32"/>
          <w:highlight w:val="none"/>
          <w:lang w:val="en-US" w:eastAsia="zh-CN" w:bidi="ar-SA"/>
        </w:rPr>
        <w:t>1</w:t>
      </w:r>
      <w:r>
        <w:rPr>
          <w:rFonts w:hint="eastAsia" w:ascii="仿宋_GB2312" w:hAnsi="仿宋_GB2312" w:eastAsia="仿宋_GB2312" w:cs="仿宋_GB2312"/>
          <w:b/>
          <w:bCs/>
          <w:kern w:val="2"/>
          <w:sz w:val="32"/>
          <w:szCs w:val="32"/>
          <w:highlight w:val="none"/>
          <w:lang w:val="en-US" w:eastAsia="zh-CN" w:bidi="ar-SA"/>
        </w:rPr>
        <w:t>.3.2</w:t>
      </w:r>
      <w:r>
        <w:rPr>
          <w:rFonts w:hint="eastAsia" w:ascii="仿宋_GB2312"/>
          <w:highlight w:val="none"/>
        </w:rPr>
        <w:t>系统开发标准</w:t>
      </w:r>
      <w:bookmarkEnd w:id="13"/>
    </w:p>
    <w:p w14:paraId="2B272BE8">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《软件工程标准分类法》（GB/T15538-1995）</w:t>
      </w:r>
    </w:p>
    <w:p w14:paraId="51EB34C1">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《软件开发规范》（GB8566-88）</w:t>
      </w:r>
    </w:p>
    <w:p w14:paraId="50797D9B">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《软件维护指南》（GB/T14079-93）</w:t>
      </w:r>
    </w:p>
    <w:p w14:paraId="6B7793A2">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《计算机软件产品开发文件编制指南》（GB8567-88）</w:t>
      </w:r>
    </w:p>
    <w:p w14:paraId="0AA51EC9">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《质量管理体系要求（idt ISO9000：2000）》（GB/T19001）</w:t>
      </w:r>
    </w:p>
    <w:p w14:paraId="667985F9">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《计算机软件测试文件编制指南》（GB9386-88）</w:t>
      </w:r>
    </w:p>
    <w:p w14:paraId="122B3E65">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《计算机软件文档编制规范》（GB/T8567-2006）</w:t>
      </w:r>
    </w:p>
    <w:p w14:paraId="26E5ACAD">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《计算机软件需求规格说明规范》（GB/T9385-2008）</w:t>
      </w:r>
    </w:p>
    <w:p w14:paraId="0D2184B9">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《计算机软件配置管理计划规范》（GB/T12505-90）</w:t>
      </w:r>
    </w:p>
    <w:p w14:paraId="50FBC801">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《计算机软件质量保证计划规范》（GB/T12504-90）</w:t>
      </w:r>
    </w:p>
    <w:p w14:paraId="718443A7">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《计算机软件测试文档编制规范》（GB/T9386-2008）</w:t>
      </w:r>
    </w:p>
    <w:p w14:paraId="1A6D86D3">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《计算机软件可靠性和可维护性管理》（GB/T12394-2008）</w:t>
      </w:r>
    </w:p>
    <w:p w14:paraId="55261699">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《信息技术软件生存周期过程》（GB/T 8566-2007）</w:t>
      </w:r>
    </w:p>
    <w:p w14:paraId="3FE12571">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《信息处理程序构造及其表示的约定》（GB/T 13502-1992）</w:t>
      </w:r>
    </w:p>
    <w:p w14:paraId="5B7F44E1">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《计算机软件测试规范》（GB/T 15532-2008）</w:t>
      </w:r>
    </w:p>
    <w:p w14:paraId="0E38988B">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《软件系统验收规范》（GB/T 28035-2011）</w:t>
      </w:r>
    </w:p>
    <w:p w14:paraId="5E33594B">
      <w:pPr>
        <w:pStyle w:val="4"/>
        <w:pageBreakBefore w:val="0"/>
        <w:numPr>
          <w:ilvl w:val="2"/>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highlight w:val="none"/>
        </w:rPr>
      </w:pPr>
      <w:bookmarkStart w:id="14" w:name="_Toc23642"/>
      <w:r>
        <w:rPr>
          <w:rFonts w:hint="eastAsia" w:ascii="仿宋_GB2312" w:hAnsi="仿宋_GB2312" w:cs="仿宋_GB2312"/>
          <w:b/>
          <w:bCs/>
          <w:kern w:val="2"/>
          <w:sz w:val="32"/>
          <w:szCs w:val="32"/>
          <w:highlight w:val="none"/>
          <w:lang w:val="en-US" w:eastAsia="zh-CN" w:bidi="ar-SA"/>
        </w:rPr>
        <w:t>1</w:t>
      </w:r>
      <w:r>
        <w:rPr>
          <w:rFonts w:hint="eastAsia" w:ascii="仿宋_GB2312" w:hAnsi="仿宋_GB2312" w:eastAsia="仿宋_GB2312" w:cs="仿宋_GB2312"/>
          <w:b/>
          <w:bCs/>
          <w:kern w:val="2"/>
          <w:sz w:val="32"/>
          <w:szCs w:val="32"/>
          <w:highlight w:val="none"/>
          <w:lang w:val="en-US" w:eastAsia="zh-CN" w:bidi="ar-SA"/>
        </w:rPr>
        <w:t>.3.3</w:t>
      </w:r>
      <w:r>
        <w:rPr>
          <w:rFonts w:hint="eastAsia" w:ascii="仿宋_GB2312"/>
          <w:highlight w:val="none"/>
        </w:rPr>
        <w:t>地理信息标准</w:t>
      </w:r>
      <w:bookmarkEnd w:id="14"/>
    </w:p>
    <w:p w14:paraId="10968DE9">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《城市基础地理信息系统技术标准》（CJJ/T 100-2017）</w:t>
      </w:r>
    </w:p>
    <w:p w14:paraId="4A54F00D">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《地理空间数据交换格式》（GB/T17798-2007）</w:t>
      </w:r>
    </w:p>
    <w:p w14:paraId="706400BC">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《全球定位系统测量规范》（GB/T18314-2009）</w:t>
      </w:r>
    </w:p>
    <w:p w14:paraId="37059ECB">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《中华人民共和国行政区划代码》（GB/T 2260-2007）</w:t>
      </w:r>
    </w:p>
    <w:p w14:paraId="07F866C4">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《基础地理信息要素分类与编码》（GB/T 13923-2006）</w:t>
      </w:r>
    </w:p>
    <w:p w14:paraId="0D776A4A">
      <w:pPr>
        <w:pStyle w:val="4"/>
        <w:pageBreakBefore w:val="0"/>
        <w:numPr>
          <w:ilvl w:val="2"/>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highlight w:val="none"/>
        </w:rPr>
      </w:pPr>
      <w:bookmarkStart w:id="15" w:name="_Toc10072"/>
      <w:r>
        <w:rPr>
          <w:rFonts w:hint="eastAsia" w:ascii="仿宋_GB2312" w:hAnsi="仿宋_GB2312" w:cs="仿宋_GB2312"/>
          <w:b/>
          <w:bCs/>
          <w:kern w:val="2"/>
          <w:sz w:val="32"/>
          <w:szCs w:val="32"/>
          <w:highlight w:val="none"/>
          <w:lang w:val="en-US" w:eastAsia="zh-CN" w:bidi="ar-SA"/>
        </w:rPr>
        <w:t>1</w:t>
      </w:r>
      <w:r>
        <w:rPr>
          <w:rFonts w:hint="eastAsia" w:ascii="仿宋_GB2312" w:hAnsi="仿宋_GB2312" w:eastAsia="仿宋_GB2312" w:cs="仿宋_GB2312"/>
          <w:b/>
          <w:bCs/>
          <w:kern w:val="2"/>
          <w:sz w:val="32"/>
          <w:szCs w:val="32"/>
          <w:highlight w:val="none"/>
          <w:lang w:val="en-US" w:eastAsia="zh-CN" w:bidi="ar-SA"/>
        </w:rPr>
        <w:t>.3.4</w:t>
      </w:r>
      <w:r>
        <w:rPr>
          <w:rFonts w:hint="eastAsia" w:ascii="仿宋_GB2312"/>
          <w:highlight w:val="none"/>
        </w:rPr>
        <w:t>系统集成标准</w:t>
      </w:r>
      <w:bookmarkEnd w:id="15"/>
    </w:p>
    <w:p w14:paraId="2532113A">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《视频安防监控系统技术要求》（GA/T 367-2001）</w:t>
      </w:r>
    </w:p>
    <w:p w14:paraId="62933700">
      <w:pPr>
        <w:pStyle w:val="4"/>
        <w:pageBreakBefore w:val="0"/>
        <w:numPr>
          <w:ilvl w:val="2"/>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highlight w:val="none"/>
        </w:rPr>
      </w:pPr>
      <w:bookmarkStart w:id="16" w:name="_Toc31020"/>
      <w:r>
        <w:rPr>
          <w:rFonts w:hint="eastAsia" w:ascii="仿宋_GB2312" w:hAnsi="仿宋_GB2312" w:cs="仿宋_GB2312"/>
          <w:b/>
          <w:bCs/>
          <w:kern w:val="2"/>
          <w:sz w:val="32"/>
          <w:szCs w:val="32"/>
          <w:highlight w:val="none"/>
          <w:lang w:val="en-US" w:eastAsia="zh-CN" w:bidi="ar-SA"/>
        </w:rPr>
        <w:t>1</w:t>
      </w:r>
      <w:r>
        <w:rPr>
          <w:rFonts w:hint="eastAsia" w:ascii="仿宋_GB2312" w:hAnsi="仿宋_GB2312" w:eastAsia="仿宋_GB2312" w:cs="仿宋_GB2312"/>
          <w:b/>
          <w:bCs/>
          <w:kern w:val="2"/>
          <w:sz w:val="32"/>
          <w:szCs w:val="32"/>
          <w:highlight w:val="none"/>
          <w:lang w:val="en-US" w:eastAsia="zh-CN" w:bidi="ar-SA"/>
        </w:rPr>
        <w:t>.3.5</w:t>
      </w:r>
      <w:r>
        <w:rPr>
          <w:rFonts w:hint="eastAsia" w:ascii="仿宋_GB2312"/>
          <w:highlight w:val="none"/>
        </w:rPr>
        <w:t>信息安全标准</w:t>
      </w:r>
      <w:bookmarkEnd w:id="16"/>
    </w:p>
    <w:p w14:paraId="02706388">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《计算机信息系统安全专用产品分类原则》（GA163-1997）</w:t>
      </w:r>
    </w:p>
    <w:p w14:paraId="66FC4FAF">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《计算机信息系统安全保护等级划分准则》（GB17859-1999）</w:t>
      </w:r>
    </w:p>
    <w:p w14:paraId="26BD12E0">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《信息技术包过滤防火墙安全技术要求》（GB/T18019-1999）</w:t>
      </w:r>
    </w:p>
    <w:p w14:paraId="21899F6A">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《信息技术应用级防火墙安全技术要求》（GB/T18020-1999）</w:t>
      </w:r>
    </w:p>
    <w:p w14:paraId="026EF238">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《信息系统安全管理要求》GB/T20269-2006</w:t>
      </w:r>
    </w:p>
    <w:p w14:paraId="6064B533">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《信息安全等级保护管理办法》（公通字〔2007〕43号）</w:t>
      </w:r>
    </w:p>
    <w:p w14:paraId="75A32A98">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《信息系统安全等级保护定级指南》（GB/T 22240-2008）</w:t>
      </w:r>
    </w:p>
    <w:p w14:paraId="5ABDABEE">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《信息安全技术 网络安全等级保护安全设计技术要求》（GB/T 25070-2019）</w:t>
      </w:r>
    </w:p>
    <w:p w14:paraId="2EFFC0AA">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《信息安全技术 网络安全等级保护基本要求》（GB/T22239-2019）</w:t>
      </w:r>
    </w:p>
    <w:p w14:paraId="6547CE26">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《信息安全技术 网络安全等级保护定级指南》（GB/T 22240-2020）</w:t>
      </w:r>
    </w:p>
    <w:p w14:paraId="764249A4">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《信息安全技术 物联网数据传输安全技术要求》（GB/T 37025）</w:t>
      </w:r>
    </w:p>
    <w:p w14:paraId="1AD4E5B7">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《信息安全技术 网络存储安全技术要求》（GB/T 37939）</w:t>
      </w:r>
    </w:p>
    <w:p w14:paraId="496BD820">
      <w:pPr>
        <w:pStyle w:val="4"/>
        <w:pageBreakBefore w:val="0"/>
        <w:numPr>
          <w:ilvl w:val="2"/>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highlight w:val="none"/>
        </w:rPr>
      </w:pPr>
      <w:bookmarkStart w:id="17" w:name="_Toc16374"/>
      <w:r>
        <w:rPr>
          <w:rFonts w:hint="eastAsia" w:ascii="仿宋_GB2312" w:hAnsi="仿宋_GB2312" w:cs="仿宋_GB2312"/>
          <w:b/>
          <w:bCs/>
          <w:kern w:val="2"/>
          <w:sz w:val="32"/>
          <w:szCs w:val="32"/>
          <w:highlight w:val="none"/>
          <w:lang w:val="en-US" w:eastAsia="zh-CN" w:bidi="ar-SA"/>
        </w:rPr>
        <w:t>1</w:t>
      </w:r>
      <w:r>
        <w:rPr>
          <w:rFonts w:hint="eastAsia" w:ascii="仿宋_GB2312" w:hAnsi="仿宋_GB2312" w:eastAsia="仿宋_GB2312" w:cs="仿宋_GB2312"/>
          <w:b/>
          <w:bCs/>
          <w:kern w:val="2"/>
          <w:sz w:val="32"/>
          <w:szCs w:val="32"/>
          <w:highlight w:val="none"/>
          <w:lang w:val="en-US" w:eastAsia="zh-CN" w:bidi="ar-SA"/>
        </w:rPr>
        <w:t>.3.6</w:t>
      </w:r>
      <w:r>
        <w:rPr>
          <w:rFonts w:hint="eastAsia" w:ascii="仿宋_GB2312"/>
          <w:highlight w:val="none"/>
        </w:rPr>
        <w:t>场地建设标准</w:t>
      </w:r>
      <w:bookmarkEnd w:id="17"/>
    </w:p>
    <w:p w14:paraId="4E95CE54">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《数据中心设计规范》（GB/T 50174-2017）</w:t>
      </w:r>
    </w:p>
    <w:p w14:paraId="3A1A86F8">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《计算机场地通用规范》（GB/T 2887-2011）</w:t>
      </w:r>
    </w:p>
    <w:p w14:paraId="2B2EF799">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《计算机场地安全要求》（GB/T 9361-2011）</w:t>
      </w:r>
    </w:p>
    <w:p w14:paraId="0AD88BDD">
      <w:pPr>
        <w:pStyle w:val="4"/>
        <w:pageBreakBefore w:val="0"/>
        <w:numPr>
          <w:ilvl w:val="2"/>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highlight w:val="none"/>
        </w:rPr>
      </w:pPr>
      <w:bookmarkStart w:id="18" w:name="_Toc30897"/>
      <w:r>
        <w:rPr>
          <w:rFonts w:hint="eastAsia" w:ascii="仿宋_GB2312" w:hAnsi="仿宋_GB2312" w:cs="仿宋_GB2312"/>
          <w:b/>
          <w:bCs/>
          <w:kern w:val="2"/>
          <w:sz w:val="32"/>
          <w:szCs w:val="32"/>
          <w:highlight w:val="none"/>
          <w:lang w:val="en-US" w:eastAsia="zh-CN" w:bidi="ar-SA"/>
        </w:rPr>
        <w:t>1</w:t>
      </w:r>
      <w:r>
        <w:rPr>
          <w:rFonts w:hint="eastAsia" w:ascii="仿宋_GB2312" w:hAnsi="仿宋_GB2312" w:eastAsia="仿宋_GB2312" w:cs="仿宋_GB2312"/>
          <w:b/>
          <w:bCs/>
          <w:kern w:val="2"/>
          <w:sz w:val="32"/>
          <w:szCs w:val="32"/>
          <w:highlight w:val="none"/>
          <w:lang w:val="en-US" w:eastAsia="zh-CN" w:bidi="ar-SA"/>
        </w:rPr>
        <w:t>.3.7</w:t>
      </w:r>
      <w:r>
        <w:rPr>
          <w:rFonts w:hint="eastAsia" w:ascii="仿宋_GB2312"/>
          <w:highlight w:val="none"/>
        </w:rPr>
        <w:t>环卫、消防、安全建设标准</w:t>
      </w:r>
      <w:bookmarkEnd w:id="18"/>
    </w:p>
    <w:p w14:paraId="61C5E68D">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《安全防范系统验收规则》（GA/T 308-2001）</w:t>
      </w:r>
    </w:p>
    <w:p w14:paraId="62928314">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《安全防范工程程序与要求》（GA/T 75-1994）</w:t>
      </w:r>
    </w:p>
    <w:p w14:paraId="3872D2E7">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《安全防范系统通过图形符号》（GA/T 74-2017）</w:t>
      </w:r>
    </w:p>
    <w:p w14:paraId="05926EE2">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《电子设备雷击试验方法》（GB/T 3482-2008）</w:t>
      </w:r>
    </w:p>
    <w:p w14:paraId="256D234F">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《建筑物防雷设计规范》（GB/T 50057-2010）</w:t>
      </w:r>
    </w:p>
    <w:p w14:paraId="68F1EA67">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《建筑内部装修设计防火规范》（GB/T 50222-2017）</w:t>
      </w:r>
    </w:p>
    <w:p w14:paraId="2E2C0163">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《火灾自动报警系统设计规范》（GB/T 50116-2013）</w:t>
      </w:r>
    </w:p>
    <w:p w14:paraId="143362B0">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《火灾自动报警系统施工及验收规范》（GB/T 50166-2007）</w:t>
      </w:r>
    </w:p>
    <w:p w14:paraId="065C5A1F">
      <w:pPr>
        <w:pStyle w:val="4"/>
        <w:pageBreakBefore w:val="0"/>
        <w:numPr>
          <w:ilvl w:val="2"/>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highlight w:val="none"/>
        </w:rPr>
      </w:pPr>
      <w:bookmarkStart w:id="19" w:name="_Toc8550"/>
      <w:r>
        <w:rPr>
          <w:rFonts w:hint="eastAsia" w:ascii="仿宋_GB2312" w:hAnsi="仿宋_GB2312" w:cs="仿宋_GB2312"/>
          <w:b/>
          <w:bCs/>
          <w:kern w:val="2"/>
          <w:sz w:val="32"/>
          <w:szCs w:val="32"/>
          <w:highlight w:val="none"/>
          <w:lang w:val="en-US" w:eastAsia="zh-CN" w:bidi="ar-SA"/>
        </w:rPr>
        <w:t>1</w:t>
      </w:r>
      <w:r>
        <w:rPr>
          <w:rFonts w:hint="eastAsia" w:ascii="仿宋_GB2312" w:hAnsi="仿宋_GB2312" w:eastAsia="仿宋_GB2312" w:cs="仿宋_GB2312"/>
          <w:b/>
          <w:bCs/>
          <w:kern w:val="2"/>
          <w:sz w:val="32"/>
          <w:szCs w:val="32"/>
          <w:highlight w:val="none"/>
          <w:lang w:val="en-US" w:eastAsia="zh-CN" w:bidi="ar-SA"/>
        </w:rPr>
        <w:t>.3.8</w:t>
      </w:r>
      <w:r>
        <w:rPr>
          <w:rFonts w:hint="eastAsia" w:ascii="仿宋_GB2312"/>
          <w:highlight w:val="none"/>
        </w:rPr>
        <w:t>其他标准</w:t>
      </w:r>
      <w:bookmarkEnd w:id="19"/>
    </w:p>
    <w:p w14:paraId="6EE5D416">
      <w:pPr>
        <w:pStyle w:val="31"/>
        <w:pageBreakBefore w:val="0"/>
        <w:numPr>
          <w:ilvl w:val="0"/>
          <w:numId w:val="0"/>
        </w:numPr>
        <w:kinsoku/>
        <w:wordWrap/>
        <w:overflowPunct/>
        <w:topLinePunct w:val="0"/>
        <w:autoSpaceDE/>
        <w:autoSpaceDN/>
        <w:bidi w:val="0"/>
        <w:adjustRightInd/>
        <w:snapToGrid/>
        <w:spacing w:beforeLines="0" w:afterLines="0" w:line="600" w:lineRule="exact"/>
        <w:ind w:firstLine="640" w:firstLineChars="200"/>
        <w:textAlignment w:val="auto"/>
        <w:rPr>
          <w:rFonts w:ascii="仿宋_GB2312"/>
          <w:highlight w:val="none"/>
        </w:rPr>
      </w:pPr>
      <w:r>
        <w:rPr>
          <w:rFonts w:hint="eastAsia" w:ascii="仿宋_GB2312"/>
          <w:highlight w:val="none"/>
        </w:rPr>
        <w:t>《信息安全技术网络安全等级保护基本要求》（GB/T 22239-2019）</w:t>
      </w:r>
    </w:p>
    <w:bookmarkEnd w:id="10"/>
    <w:bookmarkEnd w:id="11"/>
    <w:bookmarkEnd w:id="12"/>
    <w:p w14:paraId="5B2812C3">
      <w:pPr>
        <w:pStyle w:val="2"/>
        <w:keepNext/>
        <w:keepLines/>
        <w:pageBreakBefore w:val="0"/>
        <w:numPr>
          <w:ilvl w:val="0"/>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eastAsia="仿宋_GB2312" w:cs="仿宋_GB2312"/>
          <w:szCs w:val="32"/>
          <w:highlight w:val="none"/>
        </w:rPr>
      </w:pPr>
      <w:bookmarkStart w:id="20" w:name="_Toc7"/>
      <w:r>
        <w:rPr>
          <w:rFonts w:hint="eastAsia" w:ascii="仿宋_GB2312" w:eastAsia="仿宋_GB2312" w:cs="仿宋_GB2312"/>
          <w:b/>
          <w:bCs/>
          <w:kern w:val="44"/>
          <w:sz w:val="32"/>
          <w:szCs w:val="32"/>
          <w:highlight w:val="none"/>
          <w:lang w:val="en-US" w:eastAsia="zh-CN" w:bidi="ar-SA"/>
        </w:rPr>
        <w:t>2.</w:t>
      </w:r>
      <w:r>
        <w:rPr>
          <w:rFonts w:hint="eastAsia" w:ascii="仿宋_GB2312" w:eastAsia="仿宋_GB2312" w:cs="仿宋_GB2312"/>
          <w:szCs w:val="32"/>
          <w:highlight w:val="none"/>
        </w:rPr>
        <w:t>项目需求主要内容</w:t>
      </w:r>
      <w:bookmarkEnd w:id="20"/>
    </w:p>
    <w:p w14:paraId="55A43255">
      <w:pPr>
        <w:pStyle w:val="3"/>
        <w:keepNext/>
        <w:keepLines/>
        <w:pageBreakBefore w:val="0"/>
        <w:numPr>
          <w:ilvl w:val="1"/>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cs="仿宋_GB2312"/>
          <w:sz w:val="32"/>
          <w:highlight w:val="none"/>
        </w:rPr>
      </w:pPr>
      <w:bookmarkStart w:id="21" w:name="_Toc9624"/>
      <w:r>
        <w:rPr>
          <w:rFonts w:hint="eastAsia" w:ascii="仿宋_GB2312" w:cs="仿宋_GB2312"/>
          <w:b/>
          <w:bCs/>
          <w:kern w:val="2"/>
          <w:sz w:val="32"/>
          <w:szCs w:val="32"/>
          <w:highlight w:val="none"/>
          <w:lang w:val="en-US" w:eastAsia="zh-CN" w:bidi="ar-SA"/>
        </w:rPr>
        <w:t>2</w:t>
      </w:r>
      <w:r>
        <w:rPr>
          <w:rFonts w:hint="eastAsia" w:ascii="仿宋_GB2312" w:hAnsi="Times New Roman" w:eastAsia="仿宋_GB2312" w:cs="仿宋_GB2312"/>
          <w:b/>
          <w:bCs/>
          <w:kern w:val="2"/>
          <w:sz w:val="32"/>
          <w:szCs w:val="32"/>
          <w:highlight w:val="none"/>
          <w:lang w:val="en-US" w:eastAsia="zh-CN" w:bidi="ar-SA"/>
        </w:rPr>
        <w:t>.1</w:t>
      </w:r>
      <w:r>
        <w:rPr>
          <w:rFonts w:hint="eastAsia" w:ascii="仿宋_GB2312" w:cs="仿宋_GB2312"/>
          <w:sz w:val="32"/>
          <w:highlight w:val="none"/>
        </w:rPr>
        <w:t>项目需求背景</w:t>
      </w:r>
      <w:bookmarkEnd w:id="21"/>
    </w:p>
    <w:p w14:paraId="18CB20A7">
      <w:pPr>
        <w:spacing w:beforeLines="0" w:afterLines="0" w:line="600" w:lineRule="exact"/>
        <w:ind w:firstLine="643"/>
        <w:rPr>
          <w:rFonts w:ascii="仿宋_GB2312"/>
          <w:highlight w:val="none"/>
        </w:rPr>
      </w:pPr>
      <w:r>
        <w:rPr>
          <w:rFonts w:hint="eastAsia" w:ascii="仿宋_GB2312" w:cs="仿宋_GB2312"/>
          <w:highlight w:val="none"/>
        </w:rPr>
        <w:t>国家政策：《中共中央关于全面推进依法治国</w:t>
      </w:r>
      <w:r>
        <w:rPr>
          <w:rFonts w:hint="eastAsia" w:ascii="仿宋_GB2312" w:hAnsi="宋体" w:cs="宋体"/>
          <w:highlight w:val="none"/>
        </w:rPr>
        <w:t>若</w:t>
      </w:r>
      <w:r>
        <w:rPr>
          <w:rFonts w:hint="eastAsia" w:ascii="仿宋_GB2312"/>
          <w:highlight w:val="none"/>
        </w:rPr>
        <w:t>干重大问题的决定</w:t>
      </w:r>
      <w:r>
        <w:rPr>
          <w:rFonts w:hint="eastAsia" w:ascii="仿宋_GB2312" w:cs="仿宋_GB2312"/>
          <w:highlight w:val="none"/>
        </w:rPr>
        <w:t>》提出：全面推进依法治国，总目标是建设中国特</w:t>
      </w:r>
      <w:r>
        <w:rPr>
          <w:rFonts w:hint="eastAsia" w:ascii="仿宋_GB2312" w:hAnsi="宋体" w:cs="宋体"/>
          <w:highlight w:val="none"/>
        </w:rPr>
        <w:t>色</w:t>
      </w:r>
      <w:r>
        <w:rPr>
          <w:rFonts w:hint="eastAsia" w:ascii="仿宋_GB2312"/>
          <w:highlight w:val="none"/>
        </w:rPr>
        <w:t>社会主义法治体系，建设社会主义法治国家。</w:t>
      </w:r>
      <w:r>
        <w:rPr>
          <w:rFonts w:hint="eastAsia" w:ascii="仿宋_GB2312" w:hAnsi="宋体" w:cs="宋体"/>
          <w:highlight w:val="none"/>
        </w:rPr>
        <w:t>这就</w:t>
      </w:r>
      <w:r>
        <w:rPr>
          <w:rFonts w:hint="eastAsia" w:ascii="仿宋_GB2312"/>
          <w:highlight w:val="none"/>
        </w:rPr>
        <w:t>是，在中国共产</w:t>
      </w:r>
      <w:r>
        <w:rPr>
          <w:rFonts w:hint="eastAsia" w:ascii="仿宋_GB2312" w:hAnsi="宋体" w:cs="宋体"/>
          <w:highlight w:val="none"/>
        </w:rPr>
        <w:t>党</w:t>
      </w:r>
      <w:r>
        <w:rPr>
          <w:rFonts w:hint="eastAsia" w:ascii="仿宋_GB2312"/>
          <w:highlight w:val="none"/>
        </w:rPr>
        <w:t>领导下，</w:t>
      </w:r>
      <w:r>
        <w:rPr>
          <w:rFonts w:hint="eastAsia" w:ascii="仿宋_GB2312" w:hAnsi="宋体" w:cs="宋体"/>
          <w:highlight w:val="none"/>
        </w:rPr>
        <w:t>坚</w:t>
      </w:r>
      <w:r>
        <w:rPr>
          <w:rFonts w:hint="eastAsia" w:ascii="仿宋_GB2312"/>
          <w:highlight w:val="none"/>
        </w:rPr>
        <w:t>持中国特</w:t>
      </w:r>
      <w:r>
        <w:rPr>
          <w:rFonts w:hint="eastAsia" w:ascii="仿宋_GB2312" w:hAnsi="宋体" w:cs="宋体"/>
          <w:highlight w:val="none"/>
        </w:rPr>
        <w:t>色</w:t>
      </w:r>
      <w:r>
        <w:rPr>
          <w:rFonts w:hint="eastAsia" w:ascii="仿宋_GB2312"/>
          <w:highlight w:val="none"/>
        </w:rPr>
        <w:t>社会主义制度，</w:t>
      </w:r>
      <w:r>
        <w:rPr>
          <w:rFonts w:hint="eastAsia" w:ascii="仿宋_GB2312" w:hAnsi="宋体" w:cs="宋体"/>
          <w:highlight w:val="none"/>
        </w:rPr>
        <w:t>贯彻</w:t>
      </w:r>
      <w:r>
        <w:rPr>
          <w:rFonts w:hint="eastAsia" w:ascii="仿宋_GB2312"/>
          <w:highlight w:val="none"/>
        </w:rPr>
        <w:t>中国特</w:t>
      </w:r>
      <w:r>
        <w:rPr>
          <w:rFonts w:hint="eastAsia" w:ascii="仿宋_GB2312" w:hAnsi="宋体" w:cs="宋体"/>
          <w:highlight w:val="none"/>
        </w:rPr>
        <w:t>色</w:t>
      </w:r>
      <w:r>
        <w:rPr>
          <w:rFonts w:hint="eastAsia" w:ascii="仿宋_GB2312"/>
          <w:highlight w:val="none"/>
        </w:rPr>
        <w:t>社会主义法治理论，形成完备的法律规范体系、高效的法治实施体系、</w:t>
      </w:r>
      <w:r>
        <w:rPr>
          <w:rFonts w:hint="eastAsia" w:ascii="仿宋_GB2312" w:hAnsi="宋体" w:cs="宋体"/>
          <w:highlight w:val="none"/>
        </w:rPr>
        <w:t>严</w:t>
      </w:r>
      <w:r>
        <w:rPr>
          <w:rFonts w:hint="eastAsia" w:ascii="仿宋_GB2312"/>
          <w:highlight w:val="none"/>
        </w:rPr>
        <w:t>密的法治监督体系、有力的法治保障体系，形成完善的</w:t>
      </w:r>
      <w:r>
        <w:rPr>
          <w:rFonts w:hint="eastAsia" w:ascii="仿宋_GB2312" w:hAnsi="宋体" w:cs="宋体"/>
          <w:highlight w:val="none"/>
        </w:rPr>
        <w:t>党</w:t>
      </w:r>
      <w:r>
        <w:rPr>
          <w:rFonts w:hint="eastAsia" w:ascii="仿宋_GB2312"/>
          <w:highlight w:val="none"/>
        </w:rPr>
        <w:t>内法规体系，</w:t>
      </w:r>
      <w:r>
        <w:rPr>
          <w:rFonts w:hint="eastAsia" w:ascii="仿宋_GB2312" w:hAnsi="宋体" w:cs="宋体"/>
          <w:highlight w:val="none"/>
        </w:rPr>
        <w:t>坚</w:t>
      </w:r>
      <w:r>
        <w:rPr>
          <w:rFonts w:hint="eastAsia" w:ascii="仿宋_GB2312"/>
          <w:highlight w:val="none"/>
        </w:rPr>
        <w:t>持依法治国、依法执政、依法行政共同推进，</w:t>
      </w:r>
      <w:r>
        <w:rPr>
          <w:rFonts w:hint="eastAsia" w:ascii="仿宋_GB2312" w:hAnsi="宋体" w:cs="宋体"/>
          <w:highlight w:val="none"/>
        </w:rPr>
        <w:t>坚</w:t>
      </w:r>
      <w:r>
        <w:rPr>
          <w:rFonts w:hint="eastAsia" w:ascii="仿宋_GB2312"/>
          <w:highlight w:val="none"/>
        </w:rPr>
        <w:t>持法治国家、法治政府、法治社会一体建设，实现科学立法、</w:t>
      </w:r>
      <w:r>
        <w:rPr>
          <w:rFonts w:hint="eastAsia" w:ascii="仿宋_GB2312" w:hAnsi="宋体" w:cs="宋体"/>
          <w:highlight w:val="none"/>
        </w:rPr>
        <w:t>严</w:t>
      </w:r>
      <w:r>
        <w:rPr>
          <w:rFonts w:hint="eastAsia" w:ascii="仿宋_GB2312"/>
          <w:highlight w:val="none"/>
        </w:rPr>
        <w:t>格执法、公正司法、全民</w:t>
      </w:r>
      <w:r>
        <w:rPr>
          <w:rFonts w:hint="eastAsia" w:ascii="仿宋_GB2312" w:hAnsi="宋体" w:cs="宋体"/>
          <w:highlight w:val="none"/>
        </w:rPr>
        <w:t>守</w:t>
      </w:r>
      <w:r>
        <w:rPr>
          <w:rFonts w:hint="eastAsia" w:ascii="仿宋_GB2312"/>
          <w:highlight w:val="none"/>
        </w:rPr>
        <w:t>法，促进国家治理体系和治理能力现代化。</w:t>
      </w:r>
    </w:p>
    <w:p w14:paraId="721FEA24">
      <w:pPr>
        <w:pStyle w:val="23"/>
        <w:spacing w:before="0" w:beforeLines="0" w:after="0" w:afterLines="0" w:line="600" w:lineRule="exact"/>
        <w:ind w:firstLine="643"/>
        <w:rPr>
          <w:rFonts w:ascii="仿宋_GB2312" w:eastAsia="仿宋_GB2312" w:cs="仿宋_GB2312"/>
          <w:spacing w:val="0"/>
          <w:sz w:val="32"/>
          <w:szCs w:val="22"/>
          <w:highlight w:val="none"/>
        </w:rPr>
      </w:pPr>
      <w:r>
        <w:rPr>
          <w:rFonts w:hint="eastAsia" w:ascii="仿宋_GB2312" w:eastAsia="仿宋_GB2312" w:cs="仿宋_GB2312"/>
          <w:spacing w:val="0"/>
          <w:sz w:val="32"/>
          <w:szCs w:val="22"/>
          <w:highlight w:val="none"/>
        </w:rPr>
        <w:t>《法治政府建设实施纲要（2021－2025年）》中提出完善行政执法程序。全面严格落实行政执法公示、执法全过程记录、重大执法决定法制审核制度。统一行政执法人员资格管理，除中央垂直管理部门外由省级政府统筹本地区行政执法人员资格考试、证件制发、在岗轮训等工作，有关业务主管部门加强对本系统执法人员的专业培训，完善相关规范标准。统一行政执法案卷、文书基本标准，提高执法案卷、文书规范化水平。完善行政执法文书送达制度。全面落实行政裁量权基准制度，细化量化本地区各行政执法行为的裁量范围、种类、幅度等并对外公布。全面梳理、规范和精简执法事项，凡没有法律法规规章依据的一律取消。规范涉企行政检查，着力解决涉企现场检查事项多、频次高、随意检查等问题。按照行政执法类型，制定完善行政执法程序规范。全面严格落实告知制度，依法保障行政相对人陈述、申辩、提出听证申请等权利。除有法定依据外，严禁地方政府采取要求特定区域或者行业、领域的市场主体普遍停产停业的措施。行政机关内部会议纪要不得作为行政执法依据。</w:t>
      </w:r>
    </w:p>
    <w:p w14:paraId="49970579">
      <w:pPr>
        <w:spacing w:beforeLines="0" w:afterLines="0" w:line="600" w:lineRule="exact"/>
        <w:ind w:firstLine="643"/>
        <w:rPr>
          <w:rFonts w:ascii="仿宋_GB2312" w:cs="仿宋_GB2312"/>
          <w:highlight w:val="none"/>
        </w:rPr>
      </w:pPr>
      <w:r>
        <w:rPr>
          <w:rFonts w:hint="eastAsia" w:ascii="仿宋_GB2312" w:cs="仿宋_GB2312"/>
          <w:highlight w:val="none"/>
        </w:rPr>
        <w:t>河北省政策：</w:t>
      </w:r>
    </w:p>
    <w:p w14:paraId="31535B1C">
      <w:pPr>
        <w:spacing w:beforeLines="0" w:afterLines="0" w:line="600" w:lineRule="exact"/>
        <w:ind w:firstLine="643"/>
        <w:rPr>
          <w:rFonts w:ascii="仿宋_GB2312" w:cs="仿宋_GB2312"/>
          <w:highlight w:val="none"/>
        </w:rPr>
      </w:pPr>
      <w:r>
        <w:rPr>
          <w:rFonts w:hint="eastAsia" w:ascii="仿宋_GB2312" w:cs="仿宋_GB2312"/>
          <w:highlight w:val="none"/>
        </w:rPr>
        <w:t>《河北省提升行政执法质量三年行动方案（2023-2025年）》重点任务提出：推进行政执法和行政执法监督信息化建设。</w:t>
      </w:r>
    </w:p>
    <w:p w14:paraId="1C62B7E4">
      <w:pPr>
        <w:spacing w:beforeLines="0" w:afterLines="0" w:line="600" w:lineRule="exact"/>
        <w:ind w:firstLine="643"/>
        <w:rPr>
          <w:rFonts w:ascii="仿宋_GB2312" w:cs="仿宋_GB2312"/>
          <w:highlight w:val="none"/>
        </w:rPr>
      </w:pPr>
      <w:r>
        <w:rPr>
          <w:rFonts w:hint="eastAsia" w:ascii="仿宋_GB2312" w:cs="仿宋_GB2312"/>
          <w:highlight w:val="none"/>
        </w:rPr>
        <w:t>1.建设行政执法和行政执法监督信息系统。按照国家统筹、省级组织、省市两级集中部署、省市县乡四级一体化应用方式，推进行政执法和行政执法监督一体化平台集约化建设和部署应用，推行行政执法移动应用程序（APP）掌上执法。</w:t>
      </w:r>
    </w:p>
    <w:p w14:paraId="5D8040F6">
      <w:pPr>
        <w:spacing w:beforeLines="0" w:afterLines="0" w:line="600" w:lineRule="exact"/>
        <w:ind w:firstLine="643"/>
        <w:rPr>
          <w:rFonts w:ascii="仿宋_GB2312" w:cs="仿宋_GB2312"/>
          <w:highlight w:val="none"/>
        </w:rPr>
      </w:pPr>
      <w:r>
        <w:rPr>
          <w:rFonts w:hint="eastAsia" w:ascii="仿宋_GB2312" w:cs="仿宋_GB2312"/>
          <w:highlight w:val="none"/>
        </w:rPr>
        <w:t>2.归集共享行政执法数据。加快推进与全国行政执法综合管理监督信息系统执法数据的互联互通，力争2025年底前实现向全国行政执法数据库汇聚执法数据。</w:t>
      </w:r>
    </w:p>
    <w:p w14:paraId="10D5F41B">
      <w:pPr>
        <w:spacing w:beforeLines="0" w:afterLines="0" w:line="600" w:lineRule="exact"/>
        <w:ind w:firstLine="643"/>
        <w:rPr>
          <w:rFonts w:ascii="仿宋_GB2312" w:cs="仿宋_GB2312"/>
          <w:highlight w:val="none"/>
        </w:rPr>
      </w:pPr>
      <w:r>
        <w:rPr>
          <w:rFonts w:hint="eastAsia" w:ascii="仿宋_GB2312" w:cs="仿宋_GB2312"/>
          <w:highlight w:val="none"/>
        </w:rPr>
        <w:t>廊坊市政策：</w:t>
      </w:r>
    </w:p>
    <w:p w14:paraId="4357CD83">
      <w:pPr>
        <w:spacing w:beforeLines="0" w:afterLines="0" w:line="600" w:lineRule="exact"/>
        <w:ind w:firstLine="643"/>
        <w:rPr>
          <w:rFonts w:ascii="仿宋_GB2312" w:cs="仿宋_GB2312"/>
          <w:szCs w:val="32"/>
          <w:highlight w:val="none"/>
          <w:lang w:bidi="ar"/>
        </w:rPr>
      </w:pPr>
      <w:r>
        <w:rPr>
          <w:rFonts w:ascii="仿宋_GB2312" w:cs="仿宋_GB2312"/>
          <w:szCs w:val="32"/>
          <w:highlight w:val="none"/>
          <w:lang w:bidi="ar"/>
        </w:rPr>
        <w:t>《廊坊市推进包容审慎监管执法十项措施（试行）》第二条提出：积极推行</w:t>
      </w:r>
      <w:r>
        <w:rPr>
          <w:rFonts w:ascii="仿宋_GB2312" w:cs="仿宋_GB2312"/>
          <w:szCs w:val="32"/>
          <w:highlight w:val="none"/>
          <w:lang w:bidi="ar"/>
        </w:rPr>
        <w:tab/>
      </w:r>
      <w:r>
        <w:rPr>
          <w:rFonts w:ascii="仿宋_GB2312" w:cs="仿宋_GB2312"/>
          <w:szCs w:val="32"/>
          <w:highlight w:val="none"/>
          <w:lang w:bidi="ar"/>
        </w:rPr>
        <w:t>“阳光执法”。建立“廊坊市规范入企执法系统”，做到“一企一码”</w:t>
      </w:r>
      <w:r>
        <w:rPr>
          <w:rFonts w:hint="eastAsia" w:ascii="仿宋_GB2312" w:cs="仿宋_GB2312"/>
          <w:szCs w:val="32"/>
          <w:highlight w:val="none"/>
          <w:lang w:bidi="ar"/>
        </w:rPr>
        <w:t>、</w:t>
      </w:r>
      <w:r>
        <w:rPr>
          <w:rFonts w:ascii="仿宋_GB2312" w:cs="仿宋_GB2312"/>
          <w:szCs w:val="32"/>
          <w:highlight w:val="none"/>
          <w:lang w:bidi="ar"/>
        </w:rPr>
        <w:t>“扫码执法”</w:t>
      </w:r>
      <w:r>
        <w:rPr>
          <w:rFonts w:hint="eastAsia" w:ascii="仿宋_GB2312" w:cs="仿宋_GB2312"/>
          <w:szCs w:val="32"/>
          <w:highlight w:val="none"/>
          <w:lang w:bidi="ar"/>
        </w:rPr>
        <w:t>、</w:t>
      </w:r>
      <w:r>
        <w:rPr>
          <w:rFonts w:ascii="仿宋_GB2312" w:cs="仿宋_GB2312"/>
          <w:szCs w:val="32"/>
          <w:highlight w:val="none"/>
          <w:lang w:bidi="ar"/>
        </w:rPr>
        <w:t>“系统之外无执法”。堵住执法不透明漏洞，行政执法监督机关可通过系统后台随时跟踪执法情况；对拒不扫码的，经营主体有权拒绝其入企。</w:t>
      </w:r>
    </w:p>
    <w:p w14:paraId="36A531E0">
      <w:pPr>
        <w:autoSpaceDE w:val="0"/>
        <w:spacing w:beforeLines="0" w:afterLines="0" w:line="600" w:lineRule="exact"/>
        <w:ind w:firstLine="643"/>
        <w:jc w:val="left"/>
        <w:rPr>
          <w:rFonts w:ascii="仿宋_GB2312" w:hAnsi="仿宋_GB2312" w:cs="仿宋_GB2312"/>
          <w:szCs w:val="32"/>
          <w:highlight w:val="none"/>
        </w:rPr>
      </w:pPr>
      <w:r>
        <w:rPr>
          <w:rFonts w:ascii="仿宋_GB2312" w:hAnsi="仿宋_GB2312" w:cs="仿宋_GB2312"/>
          <w:szCs w:val="32"/>
          <w:highlight w:val="none"/>
          <w:lang w:bidi="ar"/>
        </w:rPr>
        <w:t>《廊坊市司法局关于积极推行“阳光执法”实施方案》的工作目标里提出：全</w:t>
      </w:r>
      <w:r>
        <w:rPr>
          <w:rFonts w:ascii="仿宋_GB2312" w:cs="仿宋_GB2312"/>
          <w:szCs w:val="32"/>
          <w:highlight w:val="none"/>
          <w:lang w:bidi="ar"/>
        </w:rPr>
        <w:t>面建设、应用“廊坊市规范入企行政执法系统”，逐步实现“一企一码”</w:t>
      </w:r>
      <w:r>
        <w:rPr>
          <w:rFonts w:hint="eastAsia" w:ascii="仿宋_GB2312" w:cs="仿宋_GB2312"/>
          <w:szCs w:val="32"/>
          <w:highlight w:val="none"/>
          <w:lang w:bidi="ar"/>
        </w:rPr>
        <w:t>、</w:t>
      </w:r>
      <w:r>
        <w:rPr>
          <w:rFonts w:ascii="仿宋_GB2312" w:cs="仿宋_GB2312"/>
          <w:szCs w:val="32"/>
          <w:highlight w:val="none"/>
          <w:lang w:bidi="ar"/>
        </w:rPr>
        <w:t>“扫码执法”</w:t>
      </w:r>
      <w:r>
        <w:rPr>
          <w:rFonts w:hint="eastAsia" w:ascii="仿宋_GB2312" w:cs="仿宋_GB2312"/>
          <w:szCs w:val="32"/>
          <w:highlight w:val="none"/>
          <w:lang w:bidi="ar"/>
        </w:rPr>
        <w:t>、</w:t>
      </w:r>
      <w:r>
        <w:rPr>
          <w:rFonts w:ascii="仿宋_GB2312" w:cs="仿宋_GB2312"/>
          <w:szCs w:val="32"/>
          <w:highlight w:val="none"/>
          <w:lang w:bidi="ar"/>
        </w:rPr>
        <w:t>“系统之外无执法”，提升行政执法能力和水平。力争到</w:t>
      </w:r>
      <w:r>
        <w:rPr>
          <w:szCs w:val="32"/>
          <w:highlight w:val="none"/>
          <w:lang w:bidi="ar"/>
        </w:rPr>
        <w:t>2024</w:t>
      </w:r>
      <w:r>
        <w:rPr>
          <w:rFonts w:ascii="仿宋_GB2312" w:cs="仿宋_GB2312"/>
          <w:szCs w:val="32"/>
          <w:highlight w:val="none"/>
          <w:lang w:bidi="ar"/>
        </w:rPr>
        <w:t>年底，实现“廊坊市规范入企行政执法系统”与“一码通城”</w:t>
      </w:r>
      <w:r>
        <w:rPr>
          <w:rFonts w:hint="eastAsia" w:ascii="仿宋_GB2312" w:cs="仿宋_GB2312"/>
          <w:szCs w:val="32"/>
          <w:highlight w:val="none"/>
          <w:lang w:bidi="ar"/>
        </w:rPr>
        <w:t>、</w:t>
      </w:r>
      <w:r>
        <w:rPr>
          <w:rFonts w:ascii="仿宋_GB2312" w:cs="仿宋_GB2312"/>
          <w:szCs w:val="32"/>
          <w:highlight w:val="none"/>
          <w:lang w:bidi="ar"/>
        </w:rPr>
        <w:t>“幸福廊坊善政</w:t>
      </w:r>
      <w:r>
        <w:rPr>
          <w:szCs w:val="32"/>
          <w:highlight w:val="none"/>
          <w:lang w:bidi="ar"/>
        </w:rPr>
        <w:t>APP</w:t>
      </w:r>
      <w:r>
        <w:rPr>
          <w:rFonts w:ascii="仿宋_GB2312" w:cs="仿宋_GB2312"/>
          <w:szCs w:val="32"/>
          <w:highlight w:val="none"/>
          <w:lang w:bidi="ar"/>
        </w:rPr>
        <w:t>”的有效融合，与市公共信用信息</w:t>
      </w:r>
      <w:r>
        <w:rPr>
          <w:rFonts w:hint="eastAsia" w:ascii="仿宋_GB2312" w:cs="仿宋_GB2312"/>
          <w:szCs w:val="32"/>
          <w:highlight w:val="none"/>
          <w:lang w:val="en-US" w:eastAsia="zh-CN" w:bidi="ar"/>
        </w:rPr>
        <w:t>完成数据</w:t>
      </w:r>
      <w:r>
        <w:rPr>
          <w:rFonts w:ascii="仿宋_GB2312" w:cs="仿宋_GB2312"/>
          <w:szCs w:val="32"/>
          <w:highlight w:val="none"/>
          <w:lang w:bidi="ar"/>
        </w:rPr>
        <w:t>共享</w:t>
      </w:r>
      <w:r>
        <w:rPr>
          <w:rFonts w:hint="eastAsia" w:ascii="仿宋_GB2312" w:cs="仿宋_GB2312"/>
          <w:szCs w:val="32"/>
          <w:highlight w:val="none"/>
          <w:lang w:eastAsia="zh-CN" w:bidi="ar"/>
        </w:rPr>
        <w:t>、</w:t>
      </w:r>
      <w:r>
        <w:rPr>
          <w:rFonts w:hint="eastAsia" w:ascii="仿宋_GB2312" w:cs="仿宋_GB2312"/>
          <w:szCs w:val="32"/>
          <w:highlight w:val="none"/>
          <w:lang w:val="en-US" w:eastAsia="zh-CN" w:bidi="ar"/>
        </w:rPr>
        <w:t>系统打通</w:t>
      </w:r>
      <w:r>
        <w:rPr>
          <w:rFonts w:hint="eastAsia" w:ascii="仿宋_GB2312" w:cs="仿宋_GB2312"/>
          <w:szCs w:val="32"/>
          <w:highlight w:val="none"/>
          <w:lang w:eastAsia="zh-CN" w:bidi="ar"/>
        </w:rPr>
        <w:t>，</w:t>
      </w:r>
      <w:r>
        <w:rPr>
          <w:rFonts w:hint="eastAsia" w:ascii="仿宋_GB2312" w:cs="仿宋_GB2312"/>
          <w:szCs w:val="32"/>
          <w:highlight w:val="none"/>
          <w:lang w:val="en-US" w:eastAsia="zh-CN" w:bidi="ar"/>
        </w:rPr>
        <w:t>全面融入</w:t>
      </w:r>
      <w:r>
        <w:rPr>
          <w:rFonts w:ascii="仿宋_GB2312" w:cs="仿宋_GB2312"/>
          <w:szCs w:val="32"/>
          <w:highlight w:val="none"/>
          <w:lang w:bidi="ar"/>
        </w:rPr>
        <w:t>“新型智慧城市”；实现全市乡镇和街道、重点行政执法领域全覆盖、常态化，“阳光执法”成为执法部门开展行政检查的主要手段和方式。</w:t>
      </w:r>
    </w:p>
    <w:p w14:paraId="7F4497FF">
      <w:pPr>
        <w:pStyle w:val="3"/>
        <w:numPr>
          <w:ilvl w:val="1"/>
          <w:numId w:val="0"/>
        </w:numPr>
        <w:spacing w:before="0" w:beforeLines="0" w:after="0" w:afterLines="0" w:line="600" w:lineRule="exact"/>
        <w:ind w:left="0" w:leftChars="0" w:firstLine="643" w:firstLineChars="200"/>
        <w:rPr>
          <w:rFonts w:ascii="仿宋_GB2312" w:cs="仿宋_GB2312"/>
          <w:sz w:val="32"/>
          <w:highlight w:val="none"/>
        </w:rPr>
      </w:pPr>
      <w:bookmarkStart w:id="22" w:name="_Toc19836"/>
      <w:r>
        <w:rPr>
          <w:rFonts w:hint="eastAsia" w:ascii="仿宋_GB2312" w:cs="仿宋_GB2312"/>
          <w:b/>
          <w:bCs/>
          <w:kern w:val="2"/>
          <w:sz w:val="32"/>
          <w:szCs w:val="32"/>
          <w:highlight w:val="none"/>
          <w:lang w:val="en-US" w:eastAsia="zh-CN" w:bidi="ar-SA"/>
        </w:rPr>
        <w:t>2</w:t>
      </w:r>
      <w:r>
        <w:rPr>
          <w:rFonts w:hint="eastAsia" w:ascii="仿宋_GB2312" w:hAnsi="Times New Roman" w:eastAsia="仿宋_GB2312" w:cs="仿宋_GB2312"/>
          <w:b/>
          <w:bCs/>
          <w:kern w:val="2"/>
          <w:sz w:val="32"/>
          <w:szCs w:val="32"/>
          <w:highlight w:val="none"/>
          <w:lang w:val="en-US" w:eastAsia="zh-CN" w:bidi="ar-SA"/>
        </w:rPr>
        <w:t>.2</w:t>
      </w:r>
      <w:r>
        <w:rPr>
          <w:rFonts w:hint="eastAsia" w:ascii="仿宋_GB2312" w:cs="仿宋_GB2312"/>
          <w:sz w:val="32"/>
          <w:highlight w:val="none"/>
        </w:rPr>
        <w:t>项目建设目标</w:t>
      </w:r>
      <w:bookmarkEnd w:id="22"/>
    </w:p>
    <w:p w14:paraId="20C49995">
      <w:pPr>
        <w:spacing w:beforeLines="0" w:afterLines="0" w:line="600" w:lineRule="exact"/>
        <w:ind w:firstLine="643"/>
        <w:rPr>
          <w:rFonts w:ascii="仿宋_GB2312"/>
          <w:highlight w:val="none"/>
        </w:rPr>
      </w:pPr>
      <w:r>
        <w:rPr>
          <w:rFonts w:hint="eastAsia" w:ascii="仿宋_GB2312"/>
          <w:highlight w:val="none"/>
        </w:rPr>
        <w:t>通过廊坊市规范入企行政执法系统，实现包括执法检查管理、执法办案管理、执法队员精细化管理、执法公示、执法监督、执法工作考核、考试培训等，同时利用大数据、云计算、AI算法、物联感知等先进技术，依托微服务架构，快速迭代部署，建立“1监督中心+N个执法</w:t>
      </w:r>
      <w:r>
        <w:rPr>
          <w:rFonts w:hint="eastAsia" w:ascii="仿宋_GB2312"/>
          <w:highlight w:val="none"/>
          <w:lang w:val="en-US" w:eastAsia="zh-CN"/>
        </w:rPr>
        <w:t>功能</w:t>
      </w:r>
      <w:r>
        <w:rPr>
          <w:rFonts w:hint="eastAsia" w:ascii="仿宋_GB2312"/>
          <w:highlight w:val="none"/>
        </w:rPr>
        <w:t>+多终端”平台体系。</w:t>
      </w:r>
    </w:p>
    <w:p w14:paraId="70ECCE87">
      <w:pPr>
        <w:spacing w:beforeLines="0" w:afterLines="0" w:line="600" w:lineRule="exact"/>
        <w:ind w:firstLine="643"/>
        <w:rPr>
          <w:rFonts w:ascii="仿宋_GB2312"/>
          <w:highlight w:val="none"/>
        </w:rPr>
      </w:pPr>
      <w:r>
        <w:rPr>
          <w:rFonts w:hint="eastAsia" w:ascii="仿宋_GB2312"/>
          <w:highlight w:val="none"/>
        </w:rPr>
        <w:t>综合考虑廊坊市全市各局及乡镇、街道等执法部门的实际要求，打造乡镇、街道执法及专业执法（包含如城管执法、应急执法、市场监督执法等）等各级执法主体全覆盖的执法办案流程体系，满足各部门依法在线办案需求。通过执法监督平台，实现系统保障综合执法改革，让执法更有力。内外兼修细化行为规范，让执法更准确。多措并举强化执法监督，让执法更公正。实现行政执法三项制度，行政执法的公示制度,行政执法全过程的记录制度,还有重大执法决定的法制审核制度。满足多部门执法单位的需求，软硬件结合，一条线打通执法工作全流程，构建执法工作闭环，打造新时代执法新模式、新方向、新形象。</w:t>
      </w:r>
    </w:p>
    <w:p w14:paraId="6F9066FE">
      <w:pPr>
        <w:pStyle w:val="3"/>
        <w:keepNext/>
        <w:keepLines/>
        <w:pageBreakBefore w:val="0"/>
        <w:widowControl w:val="0"/>
        <w:numPr>
          <w:ilvl w:val="1"/>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cs="仿宋_GB2312"/>
          <w:sz w:val="32"/>
          <w:highlight w:val="none"/>
        </w:rPr>
      </w:pPr>
      <w:bookmarkStart w:id="23" w:name="_Toc13621"/>
      <w:r>
        <w:rPr>
          <w:rFonts w:hint="eastAsia" w:ascii="仿宋_GB2312" w:cs="仿宋_GB2312"/>
          <w:b/>
          <w:bCs/>
          <w:kern w:val="2"/>
          <w:sz w:val="32"/>
          <w:szCs w:val="32"/>
          <w:highlight w:val="none"/>
          <w:lang w:val="en-US" w:eastAsia="zh-CN" w:bidi="ar-SA"/>
        </w:rPr>
        <w:t>2</w:t>
      </w:r>
      <w:r>
        <w:rPr>
          <w:rFonts w:hint="eastAsia" w:ascii="仿宋_GB2312" w:hAnsi="Times New Roman" w:eastAsia="仿宋_GB2312" w:cs="仿宋_GB2312"/>
          <w:b/>
          <w:bCs/>
          <w:kern w:val="2"/>
          <w:sz w:val="32"/>
          <w:szCs w:val="32"/>
          <w:highlight w:val="none"/>
          <w:lang w:val="en-US" w:eastAsia="zh-CN" w:bidi="ar-SA"/>
        </w:rPr>
        <w:t>.3</w:t>
      </w:r>
      <w:r>
        <w:rPr>
          <w:rFonts w:hint="eastAsia" w:ascii="仿宋_GB2312" w:cs="仿宋_GB2312"/>
          <w:sz w:val="32"/>
          <w:highlight w:val="none"/>
        </w:rPr>
        <w:t>项目需求分析</w:t>
      </w:r>
      <w:bookmarkEnd w:id="23"/>
    </w:p>
    <w:p w14:paraId="6F938EC4">
      <w:pPr>
        <w:pStyle w:val="4"/>
        <w:keepNext/>
        <w:keepLines/>
        <w:pageBreakBefore w:val="0"/>
        <w:widowControl w:val="0"/>
        <w:numPr>
          <w:ilvl w:val="2"/>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highlight w:val="none"/>
        </w:rPr>
      </w:pPr>
      <w:bookmarkStart w:id="24" w:name="_Toc9288"/>
      <w:r>
        <w:rPr>
          <w:rFonts w:hint="eastAsia" w:ascii="仿宋_GB2312" w:hAnsi="仿宋_GB2312" w:cs="仿宋_GB2312"/>
          <w:b/>
          <w:bCs/>
          <w:kern w:val="2"/>
          <w:sz w:val="32"/>
          <w:szCs w:val="32"/>
          <w:highlight w:val="none"/>
          <w:lang w:val="en-US" w:eastAsia="zh-CN" w:bidi="ar-SA"/>
        </w:rPr>
        <w:t>2</w:t>
      </w:r>
      <w:r>
        <w:rPr>
          <w:rFonts w:hint="eastAsia" w:ascii="仿宋_GB2312" w:hAnsi="仿宋_GB2312" w:eastAsia="仿宋_GB2312" w:cs="仿宋_GB2312"/>
          <w:b/>
          <w:bCs/>
          <w:kern w:val="2"/>
          <w:sz w:val="32"/>
          <w:szCs w:val="32"/>
          <w:highlight w:val="none"/>
          <w:lang w:val="en-US" w:eastAsia="zh-CN" w:bidi="ar-SA"/>
        </w:rPr>
        <w:t>.3.1</w:t>
      </w:r>
      <w:r>
        <w:rPr>
          <w:rFonts w:hint="eastAsia" w:ascii="仿宋_GB2312"/>
          <w:highlight w:val="none"/>
        </w:rPr>
        <w:t>业务模式需求</w:t>
      </w:r>
      <w:bookmarkEnd w:id="24"/>
    </w:p>
    <w:p w14:paraId="5BDA8252">
      <w:pPr>
        <w:spacing w:beforeLines="0" w:afterLines="0" w:line="600" w:lineRule="exact"/>
        <w:ind w:firstLine="643"/>
        <w:rPr>
          <w:rFonts w:ascii="仿宋_GB2312"/>
          <w:highlight w:val="none"/>
          <w:lang w:val="zh-CN"/>
        </w:rPr>
      </w:pPr>
      <w:r>
        <w:rPr>
          <w:rFonts w:hint="eastAsia" w:ascii="仿宋_GB2312"/>
          <w:highlight w:val="none"/>
        </w:rPr>
        <w:t>廊坊市规范入企行政执法系统采用市、县、乡镇一体化建设模式。系统纵向</w:t>
      </w:r>
      <w:r>
        <w:rPr>
          <w:rFonts w:hint="eastAsia" w:ascii="仿宋_GB2312"/>
          <w:highlight w:val="none"/>
          <w:lang w:val="en-US" w:eastAsia="zh-CN"/>
        </w:rPr>
        <w:t>维度</w:t>
      </w:r>
      <w:r>
        <w:rPr>
          <w:rFonts w:hint="eastAsia" w:ascii="仿宋_GB2312"/>
          <w:highlight w:val="none"/>
        </w:rPr>
        <w:t>全部内容</w:t>
      </w:r>
      <w:r>
        <w:rPr>
          <w:rFonts w:hint="eastAsia" w:ascii="仿宋_GB2312"/>
          <w:highlight w:val="none"/>
          <w:lang w:val="zh-CN"/>
        </w:rPr>
        <w:t>都由市级整体统一建设，</w:t>
      </w:r>
      <w:r>
        <w:rPr>
          <w:rFonts w:hint="eastAsia" w:ascii="仿宋_GB2312"/>
          <w:highlight w:val="none"/>
        </w:rPr>
        <w:t>并给县（市、区）</w:t>
      </w:r>
      <w:r>
        <w:rPr>
          <w:rFonts w:hint="eastAsia" w:ascii="仿宋_GB2312"/>
          <w:highlight w:val="none"/>
          <w:lang w:val="en-US" w:eastAsia="zh-CN"/>
        </w:rPr>
        <w:t>和</w:t>
      </w:r>
      <w:r>
        <w:rPr>
          <w:rFonts w:hint="eastAsia" w:ascii="仿宋_GB2312"/>
          <w:highlight w:val="none"/>
        </w:rPr>
        <w:t>乡镇使用</w:t>
      </w:r>
      <w:r>
        <w:rPr>
          <w:rFonts w:hint="eastAsia" w:ascii="仿宋_GB2312"/>
          <w:highlight w:val="none"/>
          <w:lang w:val="zh-CN"/>
        </w:rPr>
        <w:t>，即全市一个平台，</w:t>
      </w:r>
      <w:r>
        <w:rPr>
          <w:rFonts w:hint="eastAsia" w:ascii="仿宋_GB2312"/>
          <w:highlight w:val="none"/>
        </w:rPr>
        <w:t>各</w:t>
      </w:r>
      <w:r>
        <w:rPr>
          <w:rFonts w:hint="eastAsia" w:ascii="仿宋_GB2312"/>
          <w:highlight w:val="none"/>
          <w:lang w:val="zh-CN"/>
        </w:rPr>
        <w:t>县（</w:t>
      </w:r>
      <w:r>
        <w:rPr>
          <w:rFonts w:hint="eastAsia" w:ascii="仿宋_GB2312"/>
          <w:highlight w:val="none"/>
        </w:rPr>
        <w:t>市、区</w:t>
      </w:r>
      <w:r>
        <w:rPr>
          <w:rFonts w:hint="eastAsia" w:ascii="仿宋_GB2312"/>
          <w:highlight w:val="none"/>
          <w:lang w:val="zh-CN"/>
        </w:rPr>
        <w:t>）</w:t>
      </w:r>
      <w:r>
        <w:rPr>
          <w:rFonts w:hint="eastAsia" w:ascii="仿宋_GB2312"/>
          <w:highlight w:val="none"/>
          <w:lang w:val="en-US" w:eastAsia="zh-CN"/>
        </w:rPr>
        <w:t>和</w:t>
      </w:r>
      <w:r>
        <w:rPr>
          <w:rFonts w:hint="eastAsia" w:ascii="仿宋_GB2312"/>
          <w:highlight w:val="none"/>
          <w:lang w:val="zh-CN"/>
        </w:rPr>
        <w:t>乡镇</w:t>
      </w:r>
      <w:r>
        <w:rPr>
          <w:rFonts w:hint="eastAsia" w:ascii="仿宋_GB2312"/>
          <w:highlight w:val="none"/>
        </w:rPr>
        <w:t>原则上</w:t>
      </w:r>
      <w:r>
        <w:rPr>
          <w:rFonts w:hint="eastAsia" w:ascii="仿宋_GB2312"/>
          <w:highlight w:val="none"/>
          <w:lang w:val="zh-CN"/>
        </w:rPr>
        <w:t>不再单独建设。系统横向</w:t>
      </w:r>
      <w:r>
        <w:rPr>
          <w:rFonts w:hint="eastAsia" w:ascii="仿宋_GB2312"/>
          <w:highlight w:val="none"/>
          <w:lang w:val="en-US" w:eastAsia="zh-CN"/>
        </w:rPr>
        <w:t>维度</w:t>
      </w:r>
      <w:r>
        <w:rPr>
          <w:rFonts w:hint="eastAsia" w:ascii="仿宋_GB2312"/>
          <w:highlight w:val="none"/>
          <w:lang w:val="zh-CN"/>
        </w:rPr>
        <w:t>可供市级其它执法部门（如市场监督管理局、应急局、住建局、综合执法局等）使用</w:t>
      </w:r>
      <w:r>
        <w:rPr>
          <w:rFonts w:hint="default" w:ascii="仿宋_GB2312"/>
          <w:highlight w:val="none"/>
        </w:rPr>
        <w:t>，需支持自定义流程、文书样式、行政检查事项等</w:t>
      </w:r>
      <w:r>
        <w:rPr>
          <w:rFonts w:hint="eastAsia" w:ascii="仿宋_GB2312"/>
          <w:highlight w:val="none"/>
          <w:lang w:val="en-US" w:eastAsia="zh-CN"/>
        </w:rPr>
        <w:t>功能</w:t>
      </w:r>
      <w:r>
        <w:rPr>
          <w:rFonts w:hint="default" w:ascii="仿宋_GB2312"/>
          <w:highlight w:val="none"/>
        </w:rPr>
        <w:t>。</w:t>
      </w:r>
    </w:p>
    <w:p w14:paraId="64033878">
      <w:pPr>
        <w:spacing w:beforeLines="0" w:afterLines="0" w:line="600" w:lineRule="exact"/>
        <w:ind w:firstLine="643"/>
        <w:rPr>
          <w:rFonts w:ascii="仿宋_GB2312"/>
          <w:highlight w:val="none"/>
        </w:rPr>
      </w:pPr>
      <w:r>
        <w:rPr>
          <w:rFonts w:hint="eastAsia" w:ascii="仿宋_GB2312"/>
          <w:highlight w:val="none"/>
        </w:rPr>
        <w:t>随着执法体制改革的不断深入，行政执法三项制度等政策要求的发布，对执法办案过程的规范性、科学性也提出了更高的要求，有必要建立一套智能化的系统平台，通过智能办案手段，提高执法队员执法办案的工作效率。通过信息化手段，提高执法流程、执法文书、案由、行政裁量权基准、操作规范、办案证据完整度、办案信息等相关过程的规范性。</w:t>
      </w:r>
    </w:p>
    <w:p w14:paraId="4B8012CB">
      <w:pPr>
        <w:pStyle w:val="4"/>
        <w:keepNext/>
        <w:keepLines/>
        <w:pageBreakBefore w:val="0"/>
        <w:widowControl w:val="0"/>
        <w:numPr>
          <w:ilvl w:val="2"/>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highlight w:val="none"/>
        </w:rPr>
      </w:pPr>
      <w:bookmarkStart w:id="25" w:name="_Toc22281"/>
      <w:r>
        <w:rPr>
          <w:rFonts w:hint="eastAsia" w:ascii="仿宋_GB2312" w:hAnsi="仿宋_GB2312" w:cs="仿宋_GB2312"/>
          <w:b/>
          <w:bCs/>
          <w:kern w:val="2"/>
          <w:sz w:val="32"/>
          <w:szCs w:val="32"/>
          <w:highlight w:val="none"/>
          <w:lang w:val="en-US" w:eastAsia="zh-CN" w:bidi="ar-SA"/>
        </w:rPr>
        <w:t>2</w:t>
      </w:r>
      <w:r>
        <w:rPr>
          <w:rFonts w:hint="eastAsia" w:ascii="仿宋_GB2312" w:hAnsi="仿宋_GB2312" w:eastAsia="仿宋_GB2312" w:cs="仿宋_GB2312"/>
          <w:b/>
          <w:bCs/>
          <w:kern w:val="2"/>
          <w:sz w:val="32"/>
          <w:szCs w:val="32"/>
          <w:highlight w:val="none"/>
          <w:lang w:val="en-US" w:eastAsia="zh-CN" w:bidi="ar-SA"/>
        </w:rPr>
        <w:t>.3.2</w:t>
      </w:r>
      <w:r>
        <w:rPr>
          <w:rFonts w:hint="eastAsia" w:ascii="仿宋_GB2312"/>
          <w:highlight w:val="none"/>
        </w:rPr>
        <w:t>业务功能及流程分析</w:t>
      </w:r>
      <w:bookmarkEnd w:id="25"/>
    </w:p>
    <w:p w14:paraId="078BA345">
      <w:pPr>
        <w:pStyle w:val="7"/>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cs="仿宋_GB2312"/>
          <w:szCs w:val="32"/>
          <w:highlight w:val="none"/>
        </w:rPr>
      </w:pPr>
      <w:bookmarkStart w:id="26" w:name="_Toc7718"/>
      <w:r>
        <w:rPr>
          <w:rFonts w:hint="eastAsia" w:ascii="仿宋_GB2312" w:hAnsi="仿宋_GB2312" w:cs="仿宋_GB2312"/>
          <w:b/>
          <w:bCs/>
          <w:kern w:val="2"/>
          <w:sz w:val="32"/>
          <w:szCs w:val="32"/>
          <w:highlight w:val="none"/>
          <w:lang w:val="en-US" w:eastAsia="zh-CN" w:bidi="ar-SA"/>
        </w:rPr>
        <w:t>2</w:t>
      </w:r>
      <w:r>
        <w:rPr>
          <w:rFonts w:hint="default" w:ascii="仿宋_GB2312" w:hAnsi="仿宋_GB2312" w:eastAsia="仿宋_GB2312" w:cs="仿宋_GB2312"/>
          <w:b/>
          <w:bCs/>
          <w:kern w:val="2"/>
          <w:sz w:val="32"/>
          <w:szCs w:val="32"/>
          <w:highlight w:val="none"/>
          <w:lang w:val="en-US" w:eastAsia="zh-CN" w:bidi="ar-SA"/>
        </w:rPr>
        <w:t>.3.2.1</w:t>
      </w:r>
      <w:r>
        <w:rPr>
          <w:rFonts w:hint="eastAsia" w:ascii="仿宋_GB2312" w:cs="仿宋_GB2312"/>
          <w:szCs w:val="32"/>
          <w:highlight w:val="none"/>
        </w:rPr>
        <w:t>业务流程分析</w:t>
      </w:r>
      <w:bookmarkEnd w:id="26"/>
    </w:p>
    <w:p w14:paraId="3DE85919">
      <w:pPr>
        <w:pStyle w:val="8"/>
        <w:keepNext/>
        <w:keepLines/>
        <w:pageBreakBefore w:val="0"/>
        <w:widowControl w:val="0"/>
        <w:numPr>
          <w:ilvl w:val="4"/>
          <w:numId w:val="0"/>
        </w:numPr>
        <w:kinsoku/>
        <w:wordWrap/>
        <w:overflowPunct/>
        <w:topLinePunct w:val="0"/>
        <w:autoSpaceDE/>
        <w:autoSpaceDN/>
        <w:bidi w:val="0"/>
        <w:adjustRightInd/>
        <w:snapToGrid/>
        <w:spacing w:before="0" w:beforeLines="0" w:after="0" w:afterLines="0" w:line="600" w:lineRule="exact"/>
        <w:ind w:left="0" w:leftChars="0" w:firstLine="643" w:firstLineChars="200"/>
        <w:textAlignment w:val="auto"/>
        <w:rPr>
          <w:rFonts w:ascii="仿宋_GB2312"/>
          <w:highlight w:val="none"/>
        </w:rPr>
      </w:pPr>
      <w:r>
        <w:rPr>
          <w:rFonts w:hint="eastAsia" w:ascii="宋体" w:hAnsi="宋体" w:eastAsia="宋体" w:cs="宋体"/>
          <w:b/>
          <w:bCs/>
          <w:kern w:val="2"/>
          <w:sz w:val="32"/>
          <w:szCs w:val="28"/>
          <w:highlight w:val="none"/>
          <w:lang w:val="en-US" w:eastAsia="zh-CN" w:bidi="ar-SA"/>
        </w:rPr>
        <w:t>2</w:t>
      </w:r>
      <w:r>
        <w:rPr>
          <w:rFonts w:hint="default" w:ascii="宋体" w:hAnsi="宋体" w:eastAsia="宋体" w:cs="宋体"/>
          <w:b/>
          <w:bCs/>
          <w:kern w:val="2"/>
          <w:sz w:val="32"/>
          <w:szCs w:val="28"/>
          <w:highlight w:val="none"/>
          <w:lang w:val="en-US" w:eastAsia="zh-CN" w:bidi="ar-SA"/>
        </w:rPr>
        <w:t>.3.2.1.1</w:t>
      </w:r>
      <w:r>
        <w:rPr>
          <w:rFonts w:hint="eastAsia" w:ascii="仿宋_GB2312"/>
          <w:highlight w:val="none"/>
        </w:rPr>
        <w:t>行政检查业务流程</w:t>
      </w:r>
    </w:p>
    <w:p w14:paraId="0F1124B7">
      <w:pPr>
        <w:spacing w:beforeLines="0" w:afterLines="0" w:line="600" w:lineRule="exact"/>
        <w:ind w:firstLine="643"/>
        <w:rPr>
          <w:rFonts w:ascii="仿宋_GB2312"/>
          <w:highlight w:val="none"/>
        </w:rPr>
      </w:pPr>
      <w:r>
        <w:rPr>
          <w:rFonts w:hint="eastAsia" w:ascii="仿宋_GB2312"/>
          <w:highlight w:val="none"/>
        </w:rPr>
        <w:t>行政检查业务流程由部门领导对本部门制定行政检查年度计划，同时支持下发实施计划，分配检查任务到执法人员。执法人员按已分配的检查任务进行执法检查并进行检查结果反馈，完成检查计划。</w:t>
      </w:r>
    </w:p>
    <w:p w14:paraId="7D5AE402">
      <w:pPr>
        <w:pStyle w:val="8"/>
        <w:numPr>
          <w:ilvl w:val="4"/>
          <w:numId w:val="0"/>
        </w:numPr>
        <w:spacing w:before="0" w:beforeLines="0" w:after="0" w:afterLines="0" w:line="600" w:lineRule="exact"/>
        <w:ind w:left="0" w:leftChars="0" w:firstLine="643" w:firstLineChars="200"/>
        <w:rPr>
          <w:rFonts w:ascii="仿宋_GB2312"/>
          <w:highlight w:val="none"/>
        </w:rPr>
      </w:pPr>
      <w:r>
        <w:rPr>
          <w:rFonts w:hint="eastAsia" w:ascii="宋体" w:hAnsi="宋体" w:eastAsia="宋体" w:cs="宋体"/>
          <w:b/>
          <w:bCs/>
          <w:kern w:val="2"/>
          <w:sz w:val="32"/>
          <w:szCs w:val="28"/>
          <w:highlight w:val="none"/>
          <w:lang w:val="en-US" w:eastAsia="zh-CN" w:bidi="ar-SA"/>
        </w:rPr>
        <w:t>2</w:t>
      </w:r>
      <w:r>
        <w:rPr>
          <w:rFonts w:hint="default" w:ascii="宋体" w:hAnsi="宋体" w:eastAsia="宋体" w:cs="宋体"/>
          <w:b/>
          <w:bCs/>
          <w:kern w:val="2"/>
          <w:sz w:val="32"/>
          <w:szCs w:val="28"/>
          <w:highlight w:val="none"/>
          <w:lang w:val="en-US" w:eastAsia="zh-CN" w:bidi="ar-SA"/>
        </w:rPr>
        <w:t>.3.2.1.2</w:t>
      </w:r>
      <w:r>
        <w:rPr>
          <w:rFonts w:hint="eastAsia" w:ascii="仿宋_GB2312"/>
          <w:highlight w:val="none"/>
        </w:rPr>
        <w:t>执法办案流程</w:t>
      </w:r>
    </w:p>
    <w:p w14:paraId="1711B574">
      <w:pPr>
        <w:spacing w:beforeLines="0" w:afterLines="0" w:line="600" w:lineRule="exact"/>
        <w:ind w:firstLine="643"/>
        <w:rPr>
          <w:rFonts w:ascii="仿宋_GB2312"/>
          <w:highlight w:val="none"/>
        </w:rPr>
      </w:pPr>
      <w:r>
        <w:rPr>
          <w:rFonts w:hint="eastAsia" w:ascii="仿宋_GB2312" w:cs="仿宋_GB2312"/>
          <w:szCs w:val="32"/>
          <w:highlight w:val="none"/>
        </w:rPr>
        <w:t>根据业务需要实现执法案件的“线索接收、登</w:t>
      </w:r>
      <w:r>
        <w:rPr>
          <w:rFonts w:hint="eastAsia" w:ascii="仿宋_GB2312"/>
          <w:highlight w:val="none"/>
        </w:rPr>
        <w:t>记受理、立案审批、调查取证、处理审批、事先告知、处罚决定、结案等城市执法全过程中的各处置功能。</w:t>
      </w:r>
    </w:p>
    <w:p w14:paraId="0659FDCE">
      <w:pPr>
        <w:pStyle w:val="8"/>
        <w:numPr>
          <w:ilvl w:val="4"/>
          <w:numId w:val="0"/>
        </w:numPr>
        <w:spacing w:before="0" w:beforeLines="0" w:after="0" w:afterLines="0" w:line="600" w:lineRule="exact"/>
        <w:ind w:left="0" w:leftChars="0" w:firstLine="643" w:firstLineChars="200"/>
        <w:rPr>
          <w:rFonts w:hint="eastAsia" w:ascii="方正仿宋_GB2312" w:hAnsi="方正仿宋_GB2312" w:eastAsia="方正仿宋_GB2312" w:cs="方正仿宋_GB2312"/>
          <w:highlight w:val="none"/>
          <w:lang w:val="en-US"/>
        </w:rPr>
      </w:pPr>
      <w:r>
        <w:rPr>
          <w:rFonts w:hint="eastAsia" w:ascii="宋体" w:hAnsi="宋体" w:eastAsia="宋体" w:cs="宋体"/>
          <w:b/>
          <w:bCs/>
          <w:kern w:val="2"/>
          <w:sz w:val="32"/>
          <w:szCs w:val="28"/>
          <w:highlight w:val="none"/>
          <w:lang w:val="en-US" w:eastAsia="zh-CN" w:bidi="ar-SA"/>
        </w:rPr>
        <w:t>2.3.2.1.3</w:t>
      </w:r>
      <w:r>
        <w:rPr>
          <w:rFonts w:hint="eastAsia" w:ascii="方正仿宋_GB2312" w:hAnsi="方正仿宋_GB2312" w:eastAsia="方正仿宋_GB2312" w:cs="方正仿宋_GB2312"/>
          <w:highlight w:val="none"/>
          <w:lang w:val="en-US" w:eastAsia="zh-CN"/>
        </w:rPr>
        <w:t>使用新型智慧城市基础能力的情况</w:t>
      </w:r>
    </w:p>
    <w:p w14:paraId="4DBD94C6">
      <w:pPr>
        <w:spacing w:beforeLines="0" w:afterLines="0" w:line="600" w:lineRule="exact"/>
        <w:ind w:firstLine="643"/>
        <w:rPr>
          <w:rFonts w:ascii="仿宋_GB2312"/>
          <w:highlight w:val="none"/>
        </w:rPr>
      </w:pPr>
      <w:r>
        <w:rPr>
          <w:rFonts w:hint="eastAsia" w:ascii="仿宋_GB2312"/>
          <w:highlight w:val="none"/>
        </w:rPr>
        <w:t>廊坊市规范入企执法系统</w:t>
      </w:r>
      <w:r>
        <w:rPr>
          <w:rFonts w:hint="eastAsia" w:ascii="仿宋_GB2312"/>
          <w:highlight w:val="none"/>
          <w:lang w:val="en-US" w:eastAsia="zh-CN"/>
        </w:rPr>
        <w:t>使用新型智慧城市</w:t>
      </w:r>
      <w:r>
        <w:rPr>
          <w:rFonts w:hint="eastAsia" w:ascii="仿宋_GB2312"/>
          <w:highlight w:val="none"/>
        </w:rPr>
        <w:t>“一码通城”</w:t>
      </w:r>
      <w:r>
        <w:rPr>
          <w:rFonts w:hint="eastAsia" w:ascii="仿宋_GB2312"/>
          <w:highlight w:val="none"/>
          <w:lang w:val="en-US" w:eastAsia="zh-CN"/>
        </w:rPr>
        <w:t>基础能力，调用</w:t>
      </w:r>
      <w:r>
        <w:rPr>
          <w:rFonts w:hint="eastAsia" w:ascii="仿宋_GB2312"/>
          <w:highlight w:val="none"/>
        </w:rPr>
        <w:t>企业法人库</w:t>
      </w:r>
      <w:r>
        <w:rPr>
          <w:rFonts w:hint="eastAsia" w:ascii="仿宋_GB2312"/>
          <w:highlight w:val="none"/>
          <w:lang w:val="en-US" w:eastAsia="zh-CN"/>
        </w:rPr>
        <w:t>和</w:t>
      </w:r>
      <w:r>
        <w:rPr>
          <w:rFonts w:hint="eastAsia" w:ascii="仿宋_GB2312"/>
          <w:highlight w:val="none"/>
        </w:rPr>
        <w:t>“廊坊市信用平台”企业信用信息，提升行政执法的效率和准确度，推动社会信用体系的建设和完善；</w:t>
      </w:r>
    </w:p>
    <w:p w14:paraId="2399DCDC">
      <w:pPr>
        <w:spacing w:beforeLines="0" w:afterLines="0" w:line="600" w:lineRule="exact"/>
        <w:ind w:firstLine="643"/>
        <w:rPr>
          <w:rFonts w:hint="default" w:ascii="仿宋_GB2312"/>
          <w:highlight w:val="none"/>
          <w:lang w:val="en-US" w:eastAsia="zh-CN"/>
        </w:rPr>
      </w:pPr>
      <w:r>
        <w:rPr>
          <w:rFonts w:hint="eastAsia" w:ascii="仿宋_GB2312"/>
          <w:highlight w:val="none"/>
          <w:u w:val="none"/>
          <w:lang w:val="en-US" w:eastAsia="zh-CN"/>
        </w:rPr>
        <w:t>对接</w:t>
      </w:r>
      <w:r>
        <w:rPr>
          <w:rFonts w:hint="eastAsia" w:ascii="仿宋_GB2312"/>
          <w:highlight w:val="none"/>
          <w:u w:val="none"/>
        </w:rPr>
        <w:t>“廊坊市12345政务服务便民热线”</w:t>
      </w:r>
      <w:r>
        <w:rPr>
          <w:rFonts w:hint="eastAsia" w:ascii="仿宋_GB2312"/>
          <w:highlight w:val="none"/>
          <w:u w:val="none"/>
          <w:lang w:val="en-US" w:eastAsia="zh-CN"/>
        </w:rPr>
        <w:t>执法类问题，以便对这些问题进行分析、监督</w:t>
      </w:r>
      <w:r>
        <w:rPr>
          <w:rFonts w:hint="eastAsia" w:ascii="仿宋_GB2312"/>
          <w:highlight w:val="none"/>
          <w:lang w:val="en-US" w:eastAsia="zh-CN"/>
        </w:rPr>
        <w:t>。</w:t>
      </w:r>
    </w:p>
    <w:p w14:paraId="339062D4">
      <w:pPr>
        <w:spacing w:beforeLines="0" w:afterLines="0" w:line="600" w:lineRule="exact"/>
        <w:ind w:firstLine="643"/>
        <w:rPr>
          <w:rFonts w:hint="default" w:ascii="仿宋_GB2312" w:eastAsia="仿宋_GB2312"/>
          <w:highlight w:val="none"/>
          <w:lang w:val="en-US" w:eastAsia="zh-CN"/>
        </w:rPr>
      </w:pPr>
      <w:r>
        <w:rPr>
          <w:rFonts w:hint="eastAsia" w:ascii="仿宋_GB2312"/>
          <w:highlight w:val="none"/>
        </w:rPr>
        <w:t>廊坊市规范入企执法系统移动端“执法通”</w:t>
      </w:r>
      <w:r>
        <w:rPr>
          <w:rFonts w:hint="eastAsia" w:ascii="仿宋_GB2312"/>
          <w:highlight w:val="none"/>
          <w:lang w:eastAsia="zh-CN"/>
        </w:rPr>
        <w:t>、“</w:t>
      </w:r>
      <w:r>
        <w:rPr>
          <w:rFonts w:hint="eastAsia" w:ascii="仿宋_GB2312"/>
          <w:highlight w:val="none"/>
          <w:lang w:val="en-US" w:eastAsia="zh-CN"/>
        </w:rPr>
        <w:t>领导通</w:t>
      </w:r>
      <w:r>
        <w:rPr>
          <w:rFonts w:hint="eastAsia" w:ascii="仿宋_GB2312"/>
          <w:highlight w:val="none"/>
          <w:lang w:eastAsia="zh-CN"/>
        </w:rPr>
        <w:t>”</w:t>
      </w:r>
      <w:r>
        <w:rPr>
          <w:rFonts w:hint="eastAsia" w:ascii="仿宋_GB2312"/>
          <w:highlight w:val="none"/>
          <w:lang w:val="en-US" w:eastAsia="zh-CN"/>
        </w:rPr>
        <w:t>全面融入</w:t>
      </w:r>
      <w:r>
        <w:rPr>
          <w:rFonts w:hint="eastAsia" w:ascii="仿宋_GB2312"/>
          <w:highlight w:val="none"/>
        </w:rPr>
        <w:t>廊坊市智慧城市“善政APP”，</w:t>
      </w:r>
      <w:r>
        <w:rPr>
          <w:rFonts w:hint="eastAsia" w:ascii="仿宋_GB2312"/>
          <w:highlight w:val="none"/>
          <w:lang w:val="en-US" w:eastAsia="zh-CN"/>
        </w:rPr>
        <w:t>使用</w:t>
      </w:r>
      <w:r>
        <w:rPr>
          <w:rFonts w:hint="eastAsia" w:ascii="仿宋_GB2312"/>
          <w:highlight w:val="none"/>
        </w:rPr>
        <w:t>“善政APP”</w:t>
      </w:r>
      <w:r>
        <w:rPr>
          <w:rFonts w:hint="eastAsia" w:ascii="仿宋_GB2312"/>
          <w:highlight w:val="none"/>
          <w:lang w:val="en-US" w:eastAsia="zh-CN"/>
        </w:rPr>
        <w:t>用户体系，</w:t>
      </w:r>
      <w:r>
        <w:rPr>
          <w:rFonts w:hint="eastAsia" w:ascii="仿宋_GB2312"/>
          <w:highlight w:val="none"/>
        </w:rPr>
        <w:t>提升执法人员使用体验，增强信息共享与业务协同，优化资源配置。</w:t>
      </w:r>
      <w:r>
        <w:rPr>
          <w:rFonts w:hint="eastAsia"/>
          <w:highlight w:val="none"/>
          <w:lang w:val="en-US" w:eastAsia="zh-CN"/>
        </w:rPr>
        <w:t>可将执法相关的执法信息如行政检查记录、行政执法案卷等同步到善政中屏平台和智慧城市运营指挥中心大屏。</w:t>
      </w:r>
    </w:p>
    <w:p w14:paraId="28CD57A9">
      <w:pPr>
        <w:spacing w:beforeLines="0" w:afterLines="0" w:line="600" w:lineRule="exact"/>
        <w:ind w:firstLine="643"/>
        <w:rPr>
          <w:rFonts w:hint="eastAsia" w:ascii="仿宋_GB2312"/>
          <w:highlight w:val="none"/>
        </w:rPr>
      </w:pPr>
      <w:r>
        <w:rPr>
          <w:rFonts w:hint="eastAsia" w:ascii="仿宋_GB2312"/>
          <w:highlight w:val="none"/>
          <w:lang w:val="en-US" w:eastAsia="zh-CN"/>
        </w:rPr>
        <w:t>通过政务网络向</w:t>
      </w:r>
      <w:r>
        <w:rPr>
          <w:rFonts w:hint="eastAsia" w:ascii="仿宋_GB2312"/>
          <w:highlight w:val="none"/>
        </w:rPr>
        <w:t>“河北省行政执法公示平台”</w:t>
      </w:r>
      <w:r>
        <w:rPr>
          <w:rFonts w:hint="eastAsia" w:ascii="仿宋_GB2312"/>
          <w:highlight w:val="none"/>
          <w:lang w:val="en-US" w:eastAsia="zh-CN"/>
        </w:rPr>
        <w:t>推送数据，</w:t>
      </w:r>
      <w:r>
        <w:rPr>
          <w:rFonts w:hint="eastAsia" w:ascii="仿宋_GB2312"/>
          <w:highlight w:val="none"/>
        </w:rPr>
        <w:t>提</w:t>
      </w:r>
      <w:r>
        <w:rPr>
          <w:rFonts w:hint="eastAsia" w:ascii="仿宋_GB2312"/>
          <w:highlight w:val="none"/>
        </w:rPr>
        <w:t>升行政执法的透明度和公信力、提高行政执法规范性、有助于加强社会监督和公众参与，推动法治政府建设。</w:t>
      </w:r>
    </w:p>
    <w:p w14:paraId="75842A11">
      <w:pPr>
        <w:spacing w:beforeLines="0" w:afterLines="0" w:line="600" w:lineRule="exact"/>
        <w:ind w:firstLine="643"/>
        <w:rPr>
          <w:rFonts w:hint="eastAsia" w:ascii="仿宋_GB2312" w:hAnsi="Times New Roman" w:eastAsia="仿宋_GB2312" w:cs="Times New Roman"/>
          <w:sz w:val="32"/>
          <w:szCs w:val="22"/>
          <w:highlight w:val="none"/>
          <w:lang w:eastAsia="zh-CN"/>
        </w:rPr>
      </w:pPr>
      <w:r>
        <w:rPr>
          <w:rFonts w:hint="eastAsia" w:ascii="仿宋_GB2312"/>
          <w:highlight w:val="none"/>
          <w:lang w:val="en-US" w:eastAsia="zh-CN"/>
        </w:rPr>
        <w:t>执法人员用户体系依托智慧城市统一身份认证平台开展。</w:t>
      </w:r>
      <w:r>
        <w:rPr>
          <w:rFonts w:hint="eastAsia" w:ascii="仿宋_GB2312" w:hAnsi="Times New Roman" w:eastAsia="仿宋_GB2312" w:cs="Times New Roman"/>
          <w:sz w:val="32"/>
          <w:szCs w:val="22"/>
          <w:highlight w:val="none"/>
        </w:rPr>
        <w:t>确保执法人员身份的真实性和合法性</w:t>
      </w:r>
      <w:r>
        <w:rPr>
          <w:rFonts w:hint="eastAsia" w:ascii="仿宋_GB2312" w:hAnsi="Times New Roman" w:eastAsia="仿宋_GB2312" w:cs="Times New Roman"/>
          <w:sz w:val="32"/>
          <w:szCs w:val="22"/>
          <w:highlight w:val="none"/>
          <w:lang w:eastAsia="zh-CN"/>
        </w:rPr>
        <w:t>；</w:t>
      </w:r>
      <w:r>
        <w:rPr>
          <w:rFonts w:hint="eastAsia" w:ascii="仿宋_GB2312" w:hAnsi="Times New Roman" w:eastAsia="仿宋_GB2312" w:cs="Times New Roman"/>
          <w:sz w:val="32"/>
          <w:szCs w:val="22"/>
          <w:highlight w:val="none"/>
        </w:rPr>
        <w:t>简化用户管理：集中管理执法人员的身份信息和权限，减少重复注册和数据冗余</w:t>
      </w:r>
      <w:r>
        <w:rPr>
          <w:rFonts w:hint="eastAsia" w:ascii="仿宋_GB2312" w:hAnsi="Times New Roman" w:eastAsia="仿宋_GB2312" w:cs="Times New Roman"/>
          <w:sz w:val="32"/>
          <w:szCs w:val="22"/>
          <w:highlight w:val="none"/>
          <w:lang w:eastAsia="zh-CN"/>
        </w:rPr>
        <w:t>；</w:t>
      </w:r>
      <w:r>
        <w:rPr>
          <w:rFonts w:hint="eastAsia" w:ascii="仿宋_GB2312" w:hAnsi="Times New Roman" w:eastAsia="仿宋_GB2312" w:cs="Times New Roman"/>
          <w:sz w:val="32"/>
          <w:szCs w:val="22"/>
          <w:highlight w:val="none"/>
        </w:rPr>
        <w:t>增强系统互操作性</w:t>
      </w:r>
      <w:r>
        <w:rPr>
          <w:rFonts w:hint="eastAsia" w:ascii="仿宋_GB2312" w:cs="Times New Roman"/>
          <w:sz w:val="32"/>
          <w:szCs w:val="22"/>
          <w:highlight w:val="none"/>
          <w:lang w:eastAsia="zh-CN"/>
        </w:rPr>
        <w:t>；</w:t>
      </w:r>
      <w:r>
        <w:rPr>
          <w:rFonts w:hint="eastAsia" w:ascii="仿宋_GB2312" w:hAnsi="Times New Roman" w:eastAsia="仿宋_GB2312" w:cs="Times New Roman"/>
          <w:sz w:val="32"/>
          <w:szCs w:val="22"/>
          <w:highlight w:val="none"/>
        </w:rPr>
        <w:t>通过统一认证平台，与其他智慧城市应用系统实现无缝对接和数据共享。</w:t>
      </w:r>
    </w:p>
    <w:p w14:paraId="3559AF08">
      <w:pPr>
        <w:spacing w:beforeLines="0" w:afterLines="0" w:line="600" w:lineRule="exact"/>
        <w:ind w:firstLine="643"/>
        <w:rPr>
          <w:rFonts w:hint="eastAsia" w:ascii="仿宋_GB2312" w:hAnsi="Times New Roman" w:eastAsia="仿宋_GB2312" w:cs="Times New Roman"/>
          <w:sz w:val="32"/>
          <w:szCs w:val="22"/>
          <w:highlight w:val="none"/>
          <w:lang w:eastAsia="zh-CN"/>
        </w:rPr>
      </w:pPr>
      <w:r>
        <w:rPr>
          <w:rFonts w:hint="eastAsia" w:ascii="仿宋_GB2312" w:hAnsi="Times New Roman" w:eastAsia="仿宋_GB2312" w:cs="Times New Roman"/>
          <w:sz w:val="32"/>
          <w:szCs w:val="22"/>
          <w:highlight w:val="none"/>
        </w:rPr>
        <w:t>1、单点登录 (SSO)：执法人员通过统一认证平台进行单点登录，使用一次登录凭据即可访问所有授权的智慧城市应用系统。</w:t>
      </w:r>
    </w:p>
    <w:p w14:paraId="2546EE05">
      <w:pPr>
        <w:spacing w:beforeLines="0" w:afterLines="0" w:line="600" w:lineRule="exact"/>
        <w:ind w:firstLine="643"/>
        <w:rPr>
          <w:rFonts w:hint="eastAsia" w:ascii="仿宋_GB2312" w:hAnsi="Times New Roman" w:eastAsia="仿宋_GB2312" w:cs="Times New Roman"/>
          <w:sz w:val="32"/>
          <w:szCs w:val="22"/>
          <w:highlight w:val="none"/>
          <w:lang w:eastAsia="zh-CN"/>
        </w:rPr>
      </w:pPr>
      <w:r>
        <w:rPr>
          <w:rFonts w:hint="eastAsia" w:ascii="仿宋_GB2312" w:hAnsi="Times New Roman" w:eastAsia="仿宋_GB2312" w:cs="Times New Roman"/>
          <w:sz w:val="32"/>
          <w:szCs w:val="22"/>
          <w:highlight w:val="none"/>
        </w:rPr>
        <w:t>2、用户注册与导入：支持执法人员通过统一认证平台进行注册或批量导入，自动同步用户信息至用户体系。</w:t>
      </w:r>
    </w:p>
    <w:p w14:paraId="72C6BAF2">
      <w:pPr>
        <w:spacing w:beforeLines="0" w:afterLines="0" w:line="600" w:lineRule="exact"/>
        <w:ind w:firstLine="643"/>
        <w:rPr>
          <w:rFonts w:hint="eastAsia" w:ascii="仿宋_GB2312" w:hAnsi="Times New Roman" w:eastAsia="仿宋_GB2312" w:cs="Times New Roman"/>
          <w:sz w:val="32"/>
          <w:szCs w:val="22"/>
          <w:highlight w:val="none"/>
          <w:lang w:eastAsia="zh-CN"/>
        </w:rPr>
      </w:pPr>
      <w:r>
        <w:rPr>
          <w:rFonts w:hint="eastAsia" w:ascii="仿宋_GB2312" w:hAnsi="Times New Roman" w:eastAsia="仿宋_GB2312" w:cs="Times New Roman"/>
          <w:sz w:val="32"/>
          <w:szCs w:val="22"/>
          <w:highlight w:val="none"/>
        </w:rPr>
        <w:t>3、权限分配：基于统一认证平台的权限管理功能，为执法人员分配不同的角色和权限，确保用户仅能访问其职能范围内的数据和应用。</w:t>
      </w:r>
    </w:p>
    <w:p w14:paraId="54607075">
      <w:pPr>
        <w:spacing w:beforeLines="0" w:afterLines="0" w:line="600" w:lineRule="exact"/>
        <w:ind w:firstLine="643"/>
        <w:rPr>
          <w:rFonts w:hint="eastAsia" w:ascii="仿宋_GB2312"/>
          <w:highlight w:val="none"/>
          <w:lang w:val="en-US" w:eastAsia="zh-CN"/>
        </w:rPr>
      </w:pPr>
      <w:r>
        <w:rPr>
          <w:rFonts w:hint="eastAsia" w:ascii="仿宋_GB2312" w:hAnsi="Times New Roman" w:eastAsia="仿宋_GB2312" w:cs="Times New Roman"/>
          <w:sz w:val="32"/>
          <w:szCs w:val="22"/>
          <w:highlight w:val="none"/>
        </w:rPr>
        <w:t>4、用户信息更新：通过统一认证平台自动更新用户信息，如职位变动、权限变更等，确保用户数据的实时准确性。</w:t>
      </w:r>
    </w:p>
    <w:p w14:paraId="7F56A5E0">
      <w:pPr>
        <w:pStyle w:val="7"/>
        <w:numPr>
          <w:ilvl w:val="3"/>
          <w:numId w:val="0"/>
        </w:numPr>
        <w:spacing w:before="0" w:beforeLines="0" w:after="0" w:afterLines="0" w:line="600" w:lineRule="exact"/>
        <w:ind w:left="0" w:leftChars="0" w:firstLine="643" w:firstLineChars="200"/>
        <w:rPr>
          <w:rFonts w:ascii="仿宋_GB2312" w:cs="仿宋_GB2312"/>
          <w:szCs w:val="32"/>
          <w:highlight w:val="none"/>
        </w:rPr>
      </w:pPr>
      <w:bookmarkStart w:id="27" w:name="_Toc24218"/>
      <w:bookmarkStart w:id="28" w:name="_Toc15328"/>
      <w:bookmarkStart w:id="29" w:name="_Toc26213"/>
      <w:r>
        <w:rPr>
          <w:rFonts w:hint="eastAsia" w:ascii="仿宋_GB2312" w:hAnsi="仿宋_GB2312" w:cs="仿宋_GB2312"/>
          <w:b/>
          <w:bCs/>
          <w:kern w:val="2"/>
          <w:sz w:val="32"/>
          <w:szCs w:val="32"/>
          <w:highlight w:val="none"/>
          <w:lang w:val="en-US" w:eastAsia="zh-CN" w:bidi="ar-SA"/>
        </w:rPr>
        <w:t>2</w:t>
      </w:r>
      <w:r>
        <w:rPr>
          <w:rFonts w:hint="default" w:ascii="仿宋_GB2312" w:hAnsi="仿宋_GB2312" w:eastAsia="仿宋_GB2312" w:cs="仿宋_GB2312"/>
          <w:b/>
          <w:bCs/>
          <w:kern w:val="2"/>
          <w:sz w:val="32"/>
          <w:szCs w:val="32"/>
          <w:highlight w:val="none"/>
          <w:lang w:val="en-US" w:eastAsia="zh-CN" w:bidi="ar-SA"/>
        </w:rPr>
        <w:t>.3.2.2</w:t>
      </w:r>
      <w:r>
        <w:rPr>
          <w:rFonts w:hint="eastAsia" w:ascii="仿宋_GB2312" w:cs="仿宋_GB2312"/>
          <w:szCs w:val="32"/>
          <w:highlight w:val="none"/>
        </w:rPr>
        <w:t>业务功能</w:t>
      </w:r>
      <w:bookmarkEnd w:id="27"/>
      <w:r>
        <w:rPr>
          <w:rFonts w:hint="eastAsia" w:ascii="仿宋_GB2312" w:cs="仿宋_GB2312"/>
          <w:szCs w:val="32"/>
          <w:highlight w:val="none"/>
        </w:rPr>
        <w:t>分析</w:t>
      </w:r>
    </w:p>
    <w:p w14:paraId="490A4E5D">
      <w:pPr>
        <w:pStyle w:val="8"/>
        <w:numPr>
          <w:ilvl w:val="4"/>
          <w:numId w:val="0"/>
        </w:numPr>
        <w:spacing w:before="0" w:beforeLines="0" w:after="0" w:afterLines="0" w:line="600" w:lineRule="exact"/>
        <w:ind w:left="0" w:leftChars="0" w:firstLine="643" w:firstLineChars="200"/>
        <w:rPr>
          <w:rFonts w:ascii="仿宋_GB2312"/>
          <w:highlight w:val="none"/>
        </w:rPr>
      </w:pPr>
      <w:r>
        <w:rPr>
          <w:rFonts w:hint="eastAsia" w:ascii="宋体" w:hAnsi="宋体" w:eastAsia="宋体" w:cs="宋体"/>
          <w:b/>
          <w:bCs/>
          <w:kern w:val="2"/>
          <w:sz w:val="32"/>
          <w:szCs w:val="28"/>
          <w:highlight w:val="none"/>
          <w:lang w:val="en-US" w:eastAsia="zh-CN" w:bidi="ar-SA"/>
        </w:rPr>
        <w:t>2</w:t>
      </w:r>
      <w:r>
        <w:rPr>
          <w:rFonts w:hint="default" w:ascii="宋体" w:hAnsi="宋体" w:eastAsia="宋体" w:cs="宋体"/>
          <w:b/>
          <w:bCs/>
          <w:kern w:val="2"/>
          <w:sz w:val="32"/>
          <w:szCs w:val="28"/>
          <w:highlight w:val="none"/>
          <w:lang w:val="en-US" w:eastAsia="zh-CN" w:bidi="ar-SA"/>
        </w:rPr>
        <w:t>.3.2.2.1</w:t>
      </w:r>
      <w:r>
        <w:rPr>
          <w:rFonts w:hint="eastAsia" w:ascii="仿宋_GB2312"/>
          <w:highlight w:val="none"/>
        </w:rPr>
        <w:t>执法部分</w:t>
      </w:r>
    </w:p>
    <w:p w14:paraId="746997D5">
      <w:pPr>
        <w:pStyle w:val="9"/>
        <w:numPr>
          <w:ilvl w:val="5"/>
          <w:numId w:val="0"/>
        </w:numPr>
        <w:spacing w:before="0" w:beforeLines="0" w:after="0" w:afterLines="0" w:line="600" w:lineRule="exact"/>
        <w:ind w:left="0" w:leftChars="0" w:firstLine="643" w:firstLineChars="200"/>
        <w:rPr>
          <w:rFonts w:ascii="仿宋_GB2312"/>
          <w:highlight w:val="none"/>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.3.2.2.1.1</w:t>
      </w:r>
      <w:r>
        <w:rPr>
          <w:rFonts w:hint="eastAsia" w:ascii="仿宋_GB2312"/>
          <w:highlight w:val="none"/>
        </w:rPr>
        <w:t>执法监管一张图</w:t>
      </w:r>
    </w:p>
    <w:p w14:paraId="627CD93D">
      <w:pPr>
        <w:spacing w:beforeLines="0" w:afterLines="0" w:line="600" w:lineRule="exact"/>
        <w:ind w:firstLine="643"/>
        <w:rPr>
          <w:rFonts w:ascii="仿宋_GB2312"/>
          <w:highlight w:val="none"/>
        </w:rPr>
      </w:pPr>
      <w:r>
        <w:rPr>
          <w:rFonts w:hint="eastAsia" w:ascii="仿宋_GB2312"/>
          <w:highlight w:val="none"/>
        </w:rPr>
        <w:t>执法监管一张图需通</w:t>
      </w:r>
      <w:r>
        <w:rPr>
          <w:rFonts w:hint="eastAsia" w:ascii="仿宋_GB2312"/>
          <w:highlight w:val="none"/>
        </w:rPr>
        <w:t>过</w:t>
      </w:r>
      <w:r>
        <w:rPr>
          <w:rFonts w:hint="eastAsia" w:ascii="仿宋_GB2312"/>
          <w:highlight w:val="none"/>
          <w:lang w:val="en-US" w:eastAsia="zh-CN"/>
        </w:rPr>
        <w:t>现行智慧城市</w:t>
      </w:r>
      <w:r>
        <w:rPr>
          <w:rFonts w:hint="eastAsia" w:ascii="仿宋_GB2312"/>
          <w:highlight w:val="none"/>
        </w:rPr>
        <w:t>GIS地图</w:t>
      </w:r>
      <w:r>
        <w:rPr>
          <w:rFonts w:hint="eastAsia" w:ascii="仿宋_GB2312"/>
          <w:highlight w:val="none"/>
          <w:lang w:val="en-US" w:eastAsia="zh-CN"/>
        </w:rPr>
        <w:t>增加图层的方式，</w:t>
      </w:r>
      <w:r>
        <w:rPr>
          <w:rFonts w:hint="eastAsia" w:ascii="仿宋_GB2312"/>
          <w:highlight w:val="none"/>
        </w:rPr>
        <w:t>展现执法对象、执法案件、执法人员、执法车辆、执法设备、执法监控摄像头、重点区域在地图的分布情况。综合监管一张图重点展示企业信用信息，并需要支持显示各行业企业的检查事项、检查记录、处罚记录等，为执法部门制定科学合理的决策提供依据。</w:t>
      </w:r>
    </w:p>
    <w:p w14:paraId="3FDBB30E">
      <w:pPr>
        <w:pStyle w:val="9"/>
        <w:numPr>
          <w:ilvl w:val="5"/>
          <w:numId w:val="0"/>
        </w:numPr>
        <w:spacing w:before="0" w:beforeLines="0" w:after="0" w:afterLines="0" w:line="600" w:lineRule="exact"/>
        <w:ind w:left="0" w:leftChars="0" w:firstLine="643" w:firstLineChars="200"/>
        <w:rPr>
          <w:rFonts w:ascii="仿宋_GB2312"/>
          <w:highlight w:val="none"/>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.3.2.2.1.2</w:t>
      </w:r>
      <w:r>
        <w:rPr>
          <w:rFonts w:hint="eastAsia" w:ascii="仿宋_GB2312"/>
          <w:highlight w:val="none"/>
        </w:rPr>
        <w:t>基础信息管理</w:t>
      </w:r>
      <w:r>
        <w:rPr>
          <w:rFonts w:hint="eastAsia" w:ascii="仿宋_GB2312"/>
          <w:highlight w:val="none"/>
          <w:lang w:val="en-US" w:eastAsia="zh-CN"/>
        </w:rPr>
        <w:t>功能</w:t>
      </w:r>
    </w:p>
    <w:p w14:paraId="089DA6E3">
      <w:pPr>
        <w:spacing w:beforeLines="0" w:afterLines="0" w:line="600" w:lineRule="exact"/>
        <w:ind w:firstLine="643"/>
        <w:rPr>
          <w:rFonts w:ascii="仿宋_GB2312"/>
          <w:highlight w:val="none"/>
        </w:rPr>
      </w:pPr>
      <w:r>
        <w:rPr>
          <w:rFonts w:hint="eastAsia" w:ascii="仿宋_GB2312"/>
          <w:highlight w:val="none"/>
        </w:rPr>
        <w:t>基础信息管理系统需对执法设备、执法人员、法律法规、案由、执法车辆、作业配置等基础信息进行维护，为执法办案、执法巡查等提供基础数据。应支持将执法人员、执法车辆、执法设备信息通过不同的图层展示到GIS地图上，同时会对每个图层下执法基础信息</w:t>
      </w:r>
      <w:r>
        <w:rPr>
          <w:rFonts w:hint="eastAsia" w:ascii="仿宋_GB2312"/>
          <w:highlight w:val="none"/>
        </w:rPr>
        <w:t>等进行总数统计展示。</w:t>
      </w:r>
    </w:p>
    <w:p w14:paraId="387BFCE0">
      <w:pPr>
        <w:pStyle w:val="9"/>
        <w:numPr>
          <w:ilvl w:val="5"/>
          <w:numId w:val="0"/>
        </w:numPr>
        <w:spacing w:before="0" w:beforeLines="0" w:after="0" w:afterLines="0" w:line="600" w:lineRule="exact"/>
        <w:ind w:left="0" w:leftChars="0" w:firstLine="643" w:firstLineChars="200"/>
        <w:rPr>
          <w:rFonts w:ascii="仿宋_GB2312"/>
          <w:highlight w:val="none"/>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.3.2.2.1.3</w:t>
      </w:r>
      <w:r>
        <w:rPr>
          <w:rFonts w:hint="eastAsia" w:ascii="仿宋_GB2312"/>
          <w:highlight w:val="none"/>
        </w:rPr>
        <w:t>执法配置管理</w:t>
      </w:r>
      <w:r>
        <w:rPr>
          <w:rFonts w:hint="eastAsia" w:ascii="仿宋_GB2312"/>
          <w:highlight w:val="none"/>
          <w:lang w:val="en-US" w:eastAsia="zh-CN"/>
        </w:rPr>
        <w:t>功能</w:t>
      </w:r>
    </w:p>
    <w:p w14:paraId="2CDB818F">
      <w:pPr>
        <w:spacing w:beforeLines="0" w:afterLines="0" w:line="600" w:lineRule="exact"/>
        <w:ind w:firstLine="643"/>
        <w:rPr>
          <w:rFonts w:ascii="仿宋_GB2312"/>
          <w:highlight w:val="none"/>
        </w:rPr>
      </w:pPr>
      <w:r>
        <w:rPr>
          <w:rFonts w:hint="eastAsia" w:ascii="仿宋_GB2312"/>
          <w:highlight w:val="none"/>
        </w:rPr>
        <w:t>执法配置管理系统需对平台的办案流程及组件进行管理及配置。实现对文书模板管理、流程管理、电子签名管理、电子印章管理、文书管理及文书关联管理等相关信息的配置，维护和扩展工作。</w:t>
      </w:r>
    </w:p>
    <w:p w14:paraId="56225D92">
      <w:pPr>
        <w:pStyle w:val="9"/>
        <w:numPr>
          <w:ilvl w:val="5"/>
          <w:numId w:val="0"/>
        </w:numPr>
        <w:spacing w:before="0" w:beforeLines="0" w:after="0" w:afterLines="0" w:line="600" w:lineRule="exact"/>
        <w:ind w:left="0" w:leftChars="0" w:firstLine="643" w:firstLineChars="200"/>
        <w:rPr>
          <w:rFonts w:ascii="仿宋_GB2312"/>
          <w:highlight w:val="none"/>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.3.2.2.1.4</w:t>
      </w:r>
      <w:r>
        <w:rPr>
          <w:rFonts w:hint="eastAsia" w:ascii="仿宋_GB2312"/>
          <w:highlight w:val="none"/>
        </w:rPr>
        <w:t>行政检查</w:t>
      </w:r>
      <w:r>
        <w:rPr>
          <w:rFonts w:hint="eastAsia" w:ascii="仿宋_GB2312"/>
          <w:highlight w:val="none"/>
          <w:lang w:val="en-US" w:eastAsia="zh-CN"/>
        </w:rPr>
        <w:t>功能</w:t>
      </w:r>
    </w:p>
    <w:p w14:paraId="100650E4">
      <w:pPr>
        <w:spacing w:beforeLines="0" w:afterLines="0" w:line="600" w:lineRule="exact"/>
        <w:ind w:firstLine="643"/>
        <w:rPr>
          <w:rFonts w:ascii="仿宋_GB2312"/>
          <w:highlight w:val="none"/>
        </w:rPr>
      </w:pPr>
      <w:r>
        <w:rPr>
          <w:rFonts w:hint="eastAsia" w:ascii="仿宋_GB2312"/>
          <w:highlight w:val="none"/>
        </w:rPr>
        <w:t>行政检查系统需实现对专项检查、日常检查任务的下发与移动反馈，执法行政检查需明确行政检查事项、检查标准、检查频率等形成新政检查的案卷，引导执法人员依法、规范地开展行政检查工作，提高执法质量和效率。</w:t>
      </w:r>
    </w:p>
    <w:p w14:paraId="05774F28">
      <w:pPr>
        <w:pStyle w:val="9"/>
        <w:numPr>
          <w:ilvl w:val="5"/>
          <w:numId w:val="0"/>
        </w:numPr>
        <w:spacing w:before="0" w:beforeLines="0" w:after="0" w:afterLines="0" w:line="600" w:lineRule="exact"/>
        <w:ind w:left="0" w:leftChars="0" w:firstLine="643" w:firstLineChars="200"/>
        <w:rPr>
          <w:rFonts w:hint="eastAsia" w:ascii="仿宋_GB2312" w:eastAsia="仿宋_GB2312"/>
          <w:highlight w:val="none"/>
          <w:lang w:val="en-US" w:eastAsia="zh-CN"/>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.3.2.2.1.5</w:t>
      </w:r>
      <w:r>
        <w:rPr>
          <w:rFonts w:hint="eastAsia" w:ascii="仿宋_GB2312"/>
          <w:highlight w:val="none"/>
        </w:rPr>
        <w:t>执法办案</w:t>
      </w:r>
      <w:r>
        <w:rPr>
          <w:rFonts w:hint="eastAsia" w:ascii="仿宋_GB2312"/>
          <w:highlight w:val="none"/>
          <w:lang w:val="en-US" w:eastAsia="zh-CN"/>
        </w:rPr>
        <w:t>功能</w:t>
      </w:r>
    </w:p>
    <w:p w14:paraId="6DB8FD9B">
      <w:pPr>
        <w:spacing w:beforeLines="0" w:afterLines="0" w:line="600" w:lineRule="exact"/>
        <w:ind w:firstLine="643"/>
        <w:rPr>
          <w:rFonts w:ascii="仿宋_GB2312"/>
          <w:highlight w:val="none"/>
        </w:rPr>
      </w:pPr>
      <w:r>
        <w:rPr>
          <w:rFonts w:hint="eastAsia" w:ascii="仿宋_GB2312"/>
          <w:highlight w:val="none"/>
        </w:rPr>
        <w:t>执法办案系统主要用于行政处罚、行政强制等行政执法行为的全过程网上流转和移动执法，需支持线上文书生成、文书审批，并需具备电子签名、电子印章功能。打造全流程线上执法平台，全面提升执法精细化、智能化水平。</w:t>
      </w:r>
    </w:p>
    <w:p w14:paraId="68A461CE">
      <w:pPr>
        <w:pStyle w:val="9"/>
        <w:numPr>
          <w:ilvl w:val="5"/>
          <w:numId w:val="0"/>
        </w:numPr>
        <w:spacing w:before="0" w:beforeLines="0" w:after="0" w:afterLines="0" w:line="600" w:lineRule="exact"/>
        <w:ind w:left="0" w:leftChars="0" w:firstLine="643" w:firstLineChars="200"/>
        <w:rPr>
          <w:rFonts w:ascii="仿宋_GB2312"/>
          <w:highlight w:val="none"/>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.3.2.2.1.6</w:t>
      </w:r>
      <w:r>
        <w:rPr>
          <w:rFonts w:hint="eastAsia" w:ascii="仿宋_GB2312"/>
          <w:highlight w:val="none"/>
        </w:rPr>
        <w:t>执法公示</w:t>
      </w:r>
      <w:r>
        <w:rPr>
          <w:rFonts w:hint="eastAsia" w:ascii="仿宋_GB2312"/>
          <w:highlight w:val="none"/>
          <w:lang w:val="en-US" w:eastAsia="zh-CN"/>
        </w:rPr>
        <w:t>功能</w:t>
      </w:r>
    </w:p>
    <w:p w14:paraId="5BF228A4">
      <w:pPr>
        <w:spacing w:beforeLines="0" w:afterLines="0" w:line="600" w:lineRule="exact"/>
        <w:ind w:firstLine="643"/>
        <w:rPr>
          <w:rFonts w:ascii="仿宋_GB2312"/>
          <w:highlight w:val="none"/>
        </w:rPr>
      </w:pPr>
      <w:r>
        <w:rPr>
          <w:rFonts w:hint="eastAsia" w:ascii="仿宋_GB2312"/>
          <w:highlight w:val="none"/>
        </w:rPr>
        <w:t>系统需提供行政执法处罚公示功能，支持公示信息在线审批，审批完成后公示到河北省行政执法公示等平台，强化执法监督效能，促进规范公正文明执法，持续提高行政执法工作的透明度和政府公信力。</w:t>
      </w:r>
    </w:p>
    <w:p w14:paraId="62538B81">
      <w:pPr>
        <w:pStyle w:val="9"/>
        <w:numPr>
          <w:ilvl w:val="5"/>
          <w:numId w:val="0"/>
        </w:numPr>
        <w:spacing w:before="0" w:beforeLines="0" w:after="0" w:afterLines="0" w:line="600" w:lineRule="exact"/>
        <w:ind w:left="0" w:leftChars="0" w:firstLine="643" w:firstLineChars="200"/>
        <w:rPr>
          <w:rFonts w:hint="eastAsia" w:ascii="仿宋_GB2312" w:eastAsia="仿宋_GB2312"/>
          <w:highlight w:val="none"/>
          <w:lang w:val="en-US" w:eastAsia="zh-CN"/>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.3.2.2.1.7</w:t>
      </w:r>
      <w:r>
        <w:rPr>
          <w:rFonts w:hint="eastAsia" w:ascii="仿宋_GB2312"/>
          <w:highlight w:val="none"/>
        </w:rPr>
        <w:t>案件组卷</w:t>
      </w:r>
      <w:r>
        <w:rPr>
          <w:rFonts w:hint="eastAsia" w:ascii="仿宋_GB2312"/>
          <w:highlight w:val="none"/>
          <w:lang w:val="en-US" w:eastAsia="zh-CN"/>
        </w:rPr>
        <w:t>功能</w:t>
      </w:r>
    </w:p>
    <w:p w14:paraId="266A40B9">
      <w:pPr>
        <w:spacing w:beforeLines="0" w:afterLines="0" w:line="600" w:lineRule="exact"/>
        <w:ind w:firstLine="643"/>
        <w:rPr>
          <w:rFonts w:ascii="仿宋_GB2312"/>
          <w:highlight w:val="none"/>
        </w:rPr>
      </w:pPr>
      <w:r>
        <w:rPr>
          <w:rFonts w:hint="eastAsia" w:ascii="仿宋_GB2312"/>
          <w:highlight w:val="none"/>
        </w:rPr>
        <w:t>系统需支持行政处罚、行政强制等执法过程中形成的与案件有关的文书按照一定顺序汇集成卷，建立规范化的电子档案归卷备查。系统应具有证据收集全面、文字表述准确、制作规范简便等特点，进一步规范行政执法工作，提高行政效率和案卷水平。</w:t>
      </w:r>
    </w:p>
    <w:p w14:paraId="57110DCA">
      <w:pPr>
        <w:pStyle w:val="9"/>
        <w:numPr>
          <w:ilvl w:val="5"/>
          <w:numId w:val="0"/>
        </w:numPr>
        <w:spacing w:before="0" w:beforeLines="0" w:after="0" w:afterLines="0" w:line="600" w:lineRule="exact"/>
        <w:ind w:left="0" w:leftChars="0" w:firstLine="643" w:firstLineChars="200"/>
        <w:rPr>
          <w:rFonts w:hint="eastAsia" w:ascii="仿宋_GB2312" w:eastAsia="仿宋_GB2312"/>
          <w:highlight w:val="none"/>
          <w:lang w:val="en-US" w:eastAsia="zh-CN"/>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.3.2.2.1.8</w:t>
      </w:r>
      <w:r>
        <w:rPr>
          <w:rFonts w:hint="eastAsia" w:ascii="仿宋_GB2312"/>
          <w:highlight w:val="none"/>
        </w:rPr>
        <w:t>应用维护</w:t>
      </w:r>
      <w:r>
        <w:rPr>
          <w:rFonts w:hint="eastAsia" w:ascii="仿宋_GB2312"/>
          <w:highlight w:val="none"/>
          <w:lang w:val="en-US" w:eastAsia="zh-CN"/>
        </w:rPr>
        <w:t>功能</w:t>
      </w:r>
    </w:p>
    <w:p w14:paraId="31D88C55">
      <w:pPr>
        <w:spacing w:beforeLines="0" w:afterLines="0" w:line="600" w:lineRule="exact"/>
        <w:ind w:firstLine="643"/>
        <w:rPr>
          <w:rFonts w:ascii="仿宋_GB2312"/>
          <w:highlight w:val="none"/>
        </w:rPr>
      </w:pPr>
      <w:r>
        <w:rPr>
          <w:rFonts w:hint="eastAsia" w:ascii="仿宋_GB2312"/>
          <w:highlight w:val="none"/>
        </w:rPr>
        <w:t>应用维护系统需支持对组织机构、人员权限、菜单管理、字典库等事项进行日常管理和维护。</w:t>
      </w:r>
    </w:p>
    <w:p w14:paraId="706A15B6">
      <w:pPr>
        <w:pStyle w:val="9"/>
        <w:numPr>
          <w:ilvl w:val="5"/>
          <w:numId w:val="0"/>
        </w:numPr>
        <w:spacing w:before="0" w:beforeLines="0" w:after="0" w:afterLines="0" w:line="600" w:lineRule="exact"/>
        <w:ind w:left="0" w:leftChars="0" w:firstLine="643" w:firstLineChars="200"/>
        <w:rPr>
          <w:rFonts w:ascii="仿宋_GB2312"/>
          <w:highlight w:val="none"/>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.3.2.2.1.9</w:t>
      </w:r>
      <w:r>
        <w:rPr>
          <w:rFonts w:hint="eastAsia" w:ascii="仿宋_GB2312"/>
          <w:highlight w:val="none"/>
        </w:rPr>
        <w:t>执法通</w:t>
      </w:r>
    </w:p>
    <w:p w14:paraId="5F4074B6">
      <w:pPr>
        <w:spacing w:beforeLines="0" w:afterLines="0" w:line="600" w:lineRule="exact"/>
        <w:ind w:firstLine="643"/>
        <w:rPr>
          <w:rFonts w:ascii="仿宋_GB2312"/>
          <w:highlight w:val="none"/>
        </w:rPr>
      </w:pPr>
      <w:r>
        <w:rPr>
          <w:rFonts w:hint="eastAsia" w:ascii="仿宋_GB2312"/>
          <w:highlight w:val="none"/>
          <w:lang w:val="en-US" w:eastAsia="zh-CN"/>
        </w:rPr>
        <w:t>基于</w:t>
      </w:r>
      <w:r>
        <w:rPr>
          <w:rFonts w:hint="eastAsia" w:ascii="仿宋_GB2312"/>
          <w:highlight w:val="none"/>
        </w:rPr>
        <w:t>“善政APP”</w:t>
      </w:r>
      <w:r>
        <w:rPr>
          <w:rFonts w:hint="eastAsia" w:ascii="仿宋_GB2312"/>
          <w:highlight w:val="none"/>
          <w:lang w:val="en-US" w:eastAsia="zh-CN"/>
        </w:rPr>
        <w:t>完成，具备</w:t>
      </w:r>
      <w:r>
        <w:rPr>
          <w:rFonts w:hint="eastAsia" w:ascii="仿宋_GB2312"/>
          <w:highlight w:val="none"/>
        </w:rPr>
        <w:t>扫码执法、接收线索、行政检查、执法办案等功能，并可查看查阅法律法规、政策文件、相关案例等功能，提高执法效率。</w:t>
      </w:r>
    </w:p>
    <w:p w14:paraId="655045B2">
      <w:pPr>
        <w:pStyle w:val="8"/>
        <w:numPr>
          <w:ilvl w:val="4"/>
          <w:numId w:val="0"/>
        </w:numPr>
        <w:spacing w:before="0" w:beforeLines="0" w:after="0" w:afterLines="0" w:line="600" w:lineRule="exact"/>
        <w:ind w:left="0" w:leftChars="0" w:firstLine="643" w:firstLineChars="200"/>
        <w:rPr>
          <w:rFonts w:ascii="仿宋_GB2312" w:cs="仿宋_GB2312"/>
          <w:szCs w:val="32"/>
          <w:highlight w:val="none"/>
        </w:rPr>
      </w:pPr>
      <w:r>
        <w:rPr>
          <w:rFonts w:hint="eastAsia" w:ascii="宋体" w:hAnsi="宋体" w:eastAsia="宋体" w:cs="宋体"/>
          <w:b/>
          <w:bCs/>
          <w:kern w:val="2"/>
          <w:sz w:val="32"/>
          <w:szCs w:val="32"/>
          <w:highlight w:val="none"/>
          <w:lang w:val="en-US" w:eastAsia="zh-CN" w:bidi="ar-SA"/>
        </w:rPr>
        <w:t>2</w:t>
      </w:r>
      <w:r>
        <w:rPr>
          <w:rFonts w:hint="default" w:ascii="宋体" w:hAnsi="宋体" w:eastAsia="宋体" w:cs="宋体"/>
          <w:b/>
          <w:bCs/>
          <w:kern w:val="2"/>
          <w:sz w:val="32"/>
          <w:szCs w:val="32"/>
          <w:highlight w:val="none"/>
          <w:lang w:val="en-US" w:eastAsia="zh-CN" w:bidi="ar-SA"/>
        </w:rPr>
        <w:t>.3.2.2.2</w:t>
      </w:r>
      <w:r>
        <w:rPr>
          <w:rFonts w:hint="eastAsia" w:ascii="仿宋_GB2312" w:cs="仿宋_GB2312"/>
          <w:szCs w:val="32"/>
          <w:highlight w:val="none"/>
        </w:rPr>
        <w:t>监管部分</w:t>
      </w:r>
    </w:p>
    <w:p w14:paraId="3F27188C">
      <w:pPr>
        <w:pStyle w:val="9"/>
        <w:numPr>
          <w:ilvl w:val="5"/>
          <w:numId w:val="0"/>
        </w:numPr>
        <w:spacing w:before="0" w:beforeLines="0" w:after="0" w:afterLines="0" w:line="600" w:lineRule="exact"/>
        <w:ind w:left="0" w:leftChars="0" w:firstLine="643" w:firstLineChars="200"/>
        <w:rPr>
          <w:rFonts w:hint="eastAsia" w:ascii="仿宋_GB2312" w:eastAsia="仿宋_GB2312"/>
          <w:highlight w:val="none"/>
          <w:lang w:val="en-US" w:eastAsia="zh-CN"/>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.3.2.2.2.1</w:t>
      </w:r>
      <w:r>
        <w:rPr>
          <w:rFonts w:hint="eastAsia" w:ascii="仿宋_GB2312"/>
          <w:highlight w:val="none"/>
        </w:rPr>
        <w:t>执法监督</w:t>
      </w:r>
      <w:r>
        <w:rPr>
          <w:rFonts w:hint="eastAsia" w:ascii="仿宋_GB2312"/>
          <w:highlight w:val="none"/>
          <w:lang w:val="en-US" w:eastAsia="zh-CN"/>
        </w:rPr>
        <w:t>功能</w:t>
      </w:r>
    </w:p>
    <w:p w14:paraId="79C9E448">
      <w:pPr>
        <w:spacing w:beforeLines="0" w:afterLines="0" w:line="600" w:lineRule="exact"/>
        <w:ind w:firstLine="643"/>
        <w:rPr>
          <w:rFonts w:ascii="仿宋_GB2312"/>
          <w:highlight w:val="none"/>
        </w:rPr>
      </w:pPr>
      <w:r>
        <w:rPr>
          <w:rFonts w:hint="eastAsia" w:ascii="仿宋_GB2312"/>
          <w:highlight w:val="none"/>
        </w:rPr>
        <w:t>执法监督系统需通过预警督办、案卷评查、群众投诉和执法数据统计分析等功能的有机结合，构建一套全面、高效、智能的执法监督机制。提升执法活动的规范性和公正性，增强执法监督的时效性和针对性，为构建法治社会、维护公平正义提供有力保障。</w:t>
      </w:r>
    </w:p>
    <w:p w14:paraId="485009E9">
      <w:pPr>
        <w:pStyle w:val="9"/>
        <w:numPr>
          <w:ilvl w:val="5"/>
          <w:numId w:val="0"/>
        </w:numPr>
        <w:spacing w:before="0" w:beforeLines="0" w:after="0" w:afterLines="0" w:line="600" w:lineRule="exact"/>
        <w:ind w:left="0" w:leftChars="0" w:firstLine="643" w:firstLineChars="200"/>
        <w:rPr>
          <w:rFonts w:hint="eastAsia" w:ascii="仿宋_GB2312" w:eastAsia="仿宋_GB2312"/>
          <w:highlight w:val="none"/>
          <w:lang w:eastAsia="zh-CN"/>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.3.2.2.2.2</w:t>
      </w:r>
      <w:r>
        <w:rPr>
          <w:rFonts w:hint="eastAsia" w:ascii="仿宋_GB2312"/>
          <w:highlight w:val="none"/>
        </w:rPr>
        <w:t>执法监督办公</w:t>
      </w:r>
      <w:r>
        <w:rPr>
          <w:rFonts w:hint="eastAsia" w:ascii="仿宋_GB2312"/>
          <w:highlight w:val="none"/>
          <w:lang w:val="en-US" w:eastAsia="zh-CN"/>
        </w:rPr>
        <w:t>功能</w:t>
      </w:r>
    </w:p>
    <w:p w14:paraId="4BF53341">
      <w:pPr>
        <w:pStyle w:val="23"/>
        <w:spacing w:before="0" w:beforeLines="0" w:after="0" w:afterLines="0" w:line="600" w:lineRule="exact"/>
        <w:ind w:firstLine="643"/>
        <w:rPr>
          <w:rFonts w:ascii="仿宋_GB2312" w:eastAsia="仿宋_GB2312"/>
          <w:spacing w:val="0"/>
          <w:sz w:val="32"/>
          <w:szCs w:val="22"/>
          <w:highlight w:val="none"/>
        </w:rPr>
      </w:pPr>
      <w:r>
        <w:rPr>
          <w:rFonts w:hint="eastAsia" w:ascii="仿宋_GB2312" w:eastAsia="仿宋_GB2312"/>
          <w:spacing w:val="0"/>
          <w:sz w:val="32"/>
          <w:szCs w:val="22"/>
          <w:highlight w:val="none"/>
        </w:rPr>
        <w:t>执法办公系统需支持自动化办公、信息共享和工作流程管理等功能，为行政执法人员提供一个高效、便捷和安全的工作平台，提高行政执法工作的效率和信息管理能力。</w:t>
      </w:r>
    </w:p>
    <w:p w14:paraId="0E7A28F0">
      <w:pPr>
        <w:pStyle w:val="9"/>
        <w:numPr>
          <w:ilvl w:val="5"/>
          <w:numId w:val="0"/>
        </w:numPr>
        <w:spacing w:before="0" w:beforeLines="0" w:after="0" w:afterLines="0" w:line="600" w:lineRule="exact"/>
        <w:ind w:left="0" w:leftChars="0" w:firstLine="643" w:firstLineChars="200"/>
        <w:rPr>
          <w:rFonts w:ascii="仿宋_GB2312"/>
          <w:highlight w:val="none"/>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.3.2.2.2.3</w:t>
      </w:r>
      <w:r>
        <w:rPr>
          <w:rFonts w:hint="eastAsia" w:ascii="仿宋_GB2312"/>
          <w:highlight w:val="none"/>
        </w:rPr>
        <w:t>执法考试培训</w:t>
      </w:r>
      <w:r>
        <w:rPr>
          <w:rFonts w:hint="eastAsia" w:ascii="仿宋_GB2312"/>
          <w:highlight w:val="none"/>
          <w:lang w:val="en-US" w:eastAsia="zh-CN"/>
        </w:rPr>
        <w:t>功能</w:t>
      </w:r>
    </w:p>
    <w:p w14:paraId="1E79F51B">
      <w:pPr>
        <w:spacing w:beforeLines="0" w:afterLines="0" w:line="600" w:lineRule="exact"/>
        <w:ind w:firstLine="643"/>
        <w:rPr>
          <w:rFonts w:ascii="仿宋_GB2312"/>
          <w:highlight w:val="none"/>
        </w:rPr>
      </w:pPr>
      <w:r>
        <w:rPr>
          <w:rFonts w:hint="eastAsia" w:ascii="仿宋_GB2312"/>
          <w:highlight w:val="none"/>
        </w:rPr>
        <w:t>执法考试培训系统需支持组织执法人员学习培训、组卷考试等并支持自动统计执法人员学习时长、考试成绩等，为行政执法人员提供全面的学习资源和便捷的学习方式。</w:t>
      </w:r>
    </w:p>
    <w:p w14:paraId="0DE47194">
      <w:pPr>
        <w:pStyle w:val="9"/>
        <w:numPr>
          <w:ilvl w:val="5"/>
          <w:numId w:val="0"/>
        </w:numPr>
        <w:spacing w:before="0" w:beforeLines="0" w:after="0" w:afterLines="0" w:line="600" w:lineRule="exact"/>
        <w:ind w:left="0" w:leftChars="0" w:firstLine="643" w:firstLineChars="200"/>
        <w:rPr>
          <w:rFonts w:hint="eastAsia" w:ascii="仿宋_GB2312" w:eastAsia="仿宋_GB2312"/>
          <w:highlight w:val="none"/>
          <w:lang w:val="en-US" w:eastAsia="zh-CN"/>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.3.2.2.2.4</w:t>
      </w:r>
      <w:r>
        <w:rPr>
          <w:rFonts w:hint="eastAsia" w:ascii="仿宋_GB2312"/>
          <w:highlight w:val="none"/>
        </w:rPr>
        <w:t>社会主体信用管理</w:t>
      </w:r>
      <w:r>
        <w:rPr>
          <w:rFonts w:hint="eastAsia" w:ascii="仿宋_GB2312"/>
          <w:highlight w:val="none"/>
          <w:lang w:val="en-US" w:eastAsia="zh-CN"/>
        </w:rPr>
        <w:t>功能</w:t>
      </w:r>
    </w:p>
    <w:p w14:paraId="428ABA36">
      <w:pPr>
        <w:spacing w:beforeLines="0" w:afterLines="0" w:line="600" w:lineRule="exact"/>
        <w:ind w:firstLine="643"/>
        <w:rPr>
          <w:rFonts w:ascii="仿宋_GB2312"/>
          <w:highlight w:val="none"/>
        </w:rPr>
      </w:pPr>
      <w:r>
        <w:rPr>
          <w:rFonts w:hint="eastAsia" w:ascii="仿宋_GB2312"/>
          <w:highlight w:val="none"/>
        </w:rPr>
        <w:t>社会主体信用管理系统需支持展示社会主体名称、地址、联系方式等相关信息，关联行政处罚信息、行政检查信息和信用信息，展示违法次数最多的个人或单位，反映其信用情况，实现对社会主体的精细化管理，提高日常执法工作的有效性和针对性。</w:t>
      </w:r>
    </w:p>
    <w:p w14:paraId="7C74F2E9">
      <w:pPr>
        <w:pStyle w:val="9"/>
        <w:numPr>
          <w:ilvl w:val="5"/>
          <w:numId w:val="0"/>
        </w:numPr>
        <w:spacing w:before="0" w:beforeLines="0" w:after="0" w:afterLines="0" w:line="600" w:lineRule="exact"/>
        <w:ind w:left="0" w:leftChars="0" w:firstLine="643" w:firstLineChars="200"/>
        <w:rPr>
          <w:rFonts w:ascii="仿宋_GB2312"/>
          <w:highlight w:val="none"/>
        </w:rPr>
      </w:pPr>
      <w:r>
        <w:rPr>
          <w:rFonts w:hint="eastAsia" w:ascii="宋体" w:hAnsi="宋体" w:eastAsia="宋体" w:cs="宋体"/>
          <w:b/>
          <w:bCs/>
          <w:kern w:val="2"/>
          <w:sz w:val="32"/>
          <w:szCs w:val="24"/>
          <w:highlight w:val="none"/>
          <w:lang w:val="en-US" w:eastAsia="zh-CN" w:bidi="ar-SA"/>
        </w:rPr>
        <w:t>2</w:t>
      </w:r>
      <w:r>
        <w:rPr>
          <w:rFonts w:hint="default" w:ascii="宋体" w:hAnsi="宋体" w:eastAsia="宋体" w:cs="宋体"/>
          <w:b/>
          <w:bCs/>
          <w:kern w:val="2"/>
          <w:sz w:val="32"/>
          <w:szCs w:val="24"/>
          <w:highlight w:val="none"/>
          <w:lang w:val="en-US" w:eastAsia="zh-CN" w:bidi="ar-SA"/>
        </w:rPr>
        <w:t>.3.2.2.2.5</w:t>
      </w:r>
      <w:r>
        <w:rPr>
          <w:rFonts w:hint="eastAsia" w:ascii="仿宋_GB2312"/>
          <w:highlight w:val="none"/>
        </w:rPr>
        <w:t>执法时空分析</w:t>
      </w:r>
    </w:p>
    <w:p w14:paraId="7135B07F">
      <w:pPr>
        <w:spacing w:beforeLines="0" w:afterLines="0" w:line="600" w:lineRule="exact"/>
        <w:ind w:firstLine="643"/>
        <w:rPr>
          <w:rFonts w:ascii="仿宋_GB2312"/>
          <w:highlight w:val="none"/>
        </w:rPr>
      </w:pPr>
      <w:r>
        <w:rPr>
          <w:rFonts w:hint="eastAsia" w:ascii="仿宋_GB2312"/>
          <w:highlight w:val="none"/>
        </w:rPr>
        <w:t>系统需支持展示执法运行情况概览,主要包括执法人员统计、执法主体统计、执法案卷统计、在线车辆</w:t>
      </w:r>
      <w:r>
        <w:rPr>
          <w:rFonts w:hint="eastAsia" w:ascii="仿宋_GB2312"/>
          <w:highlight w:val="none"/>
        </w:rPr>
        <w:t>、社会主体统计、高发案件分析、趋势分析、案件区域分析、来源分析、执法人员及案件的地图分布。</w:t>
      </w:r>
    </w:p>
    <w:p w14:paraId="68E91F8B">
      <w:pPr>
        <w:pStyle w:val="9"/>
        <w:numPr>
          <w:ilvl w:val="5"/>
          <w:numId w:val="0"/>
        </w:numPr>
        <w:spacing w:before="0" w:beforeLines="0" w:after="0" w:afterLines="0" w:line="600" w:lineRule="exact"/>
        <w:ind w:left="0" w:leftChars="0" w:firstLine="643" w:firstLineChars="200"/>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b/>
          <w:bCs/>
          <w:kern w:val="2"/>
          <w:sz w:val="32"/>
          <w:szCs w:val="24"/>
          <w:highlight w:val="none"/>
          <w:lang w:val="en-US" w:eastAsia="zh-CN" w:bidi="ar-SA"/>
        </w:rPr>
        <w:t>3.3.2.2.2.6</w:t>
      </w:r>
      <w:r>
        <w:rPr>
          <w:rFonts w:hint="eastAsia" w:ascii="方正仿宋_GB2312" w:hAnsi="方正仿宋_GB2312" w:eastAsia="方正仿宋_GB2312" w:cs="方正仿宋_GB2312"/>
          <w:highlight w:val="none"/>
        </w:rPr>
        <w:t>领导通</w:t>
      </w:r>
    </w:p>
    <w:p w14:paraId="41F5DECE">
      <w:pPr>
        <w:spacing w:beforeLines="0" w:afterLines="0" w:line="600" w:lineRule="exact"/>
        <w:ind w:firstLine="643"/>
        <w:rPr>
          <w:rFonts w:hint="default" w:ascii="方正仿宋_GB2312" w:hAnsi="方正仿宋_GB2312" w:eastAsia="方正仿宋_GB2312" w:cs="方正仿宋_GB2312"/>
          <w:highlight w:val="none"/>
          <w:lang w:val="en-US" w:eastAsia="zh-CN"/>
        </w:rPr>
      </w:pPr>
      <w:r>
        <w:rPr>
          <w:rFonts w:hint="eastAsia" w:ascii="方正仿宋_GB2312" w:hAnsi="方正仿宋_GB2312" w:eastAsia="方正仿宋_GB2312" w:cs="方正仿宋_GB2312"/>
          <w:highlight w:val="none"/>
          <w:lang w:val="en-US" w:eastAsia="zh-CN"/>
        </w:rPr>
        <w:t>将“</w:t>
      </w:r>
      <w:r>
        <w:rPr>
          <w:rFonts w:hint="eastAsia" w:ascii="方正仿宋_GB2312" w:hAnsi="方正仿宋_GB2312" w:eastAsia="方正仿宋_GB2312" w:cs="方正仿宋_GB2312"/>
          <w:highlight w:val="none"/>
        </w:rPr>
        <w:t>领导通</w:t>
      </w:r>
      <w:r>
        <w:rPr>
          <w:rFonts w:hint="eastAsia" w:ascii="方正仿宋_GB2312" w:hAnsi="方正仿宋_GB2312" w:eastAsia="方正仿宋_GB2312" w:cs="方正仿宋_GB2312"/>
          <w:highlight w:val="none"/>
          <w:lang w:val="en-US" w:eastAsia="zh-CN"/>
        </w:rPr>
        <w:t>”纳入廊坊善政APP，</w:t>
      </w:r>
      <w:r>
        <w:rPr>
          <w:rFonts w:hint="eastAsia" w:ascii="方正仿宋_GB2312" w:hAnsi="方正仿宋_GB2312" w:eastAsia="方正仿宋_GB2312" w:cs="方正仿宋_GB2312"/>
          <w:highlight w:val="none"/>
        </w:rPr>
        <w:t>需支持实时了解执法人员出勤情况、执法过程和结果，实现对执法工作的全面监督，并支持任务指派、超期案件督办、查看执法文书、分析执法数据等操作，从而更加精准地掌握执法动态。</w:t>
      </w:r>
      <w:r>
        <w:rPr>
          <w:rFonts w:hint="eastAsia" w:ascii="方正仿宋_GB2312" w:hAnsi="方正仿宋_GB2312" w:eastAsia="方正仿宋_GB2312" w:cs="方正仿宋_GB2312"/>
          <w:highlight w:val="none"/>
          <w:lang w:val="en-US" w:eastAsia="zh-CN"/>
        </w:rPr>
        <w:t>如有大、中、小屏设计，需充分依托新型智慧城市现行相关系统完成设计。</w:t>
      </w:r>
    </w:p>
    <w:p w14:paraId="7D17F748">
      <w:pPr>
        <w:pStyle w:val="8"/>
        <w:numPr>
          <w:ilvl w:val="4"/>
          <w:numId w:val="0"/>
        </w:numPr>
        <w:spacing w:before="0" w:beforeLines="0" w:after="0" w:afterLines="0" w:line="600" w:lineRule="exact"/>
        <w:ind w:left="0" w:leftChars="0" w:firstLine="643" w:firstLineChars="200"/>
        <w:rPr>
          <w:rFonts w:ascii="仿宋_GB2312" w:cs="仿宋_GB2312"/>
          <w:szCs w:val="32"/>
          <w:highlight w:val="none"/>
        </w:rPr>
      </w:pPr>
      <w:r>
        <w:rPr>
          <w:rFonts w:hint="default" w:ascii="宋体" w:hAnsi="宋体" w:eastAsia="宋体" w:cs="宋体"/>
          <w:b/>
          <w:bCs/>
          <w:kern w:val="2"/>
          <w:sz w:val="32"/>
          <w:szCs w:val="32"/>
          <w:highlight w:val="none"/>
          <w:lang w:val="en-US" w:eastAsia="zh-CN" w:bidi="ar-SA"/>
        </w:rPr>
        <w:t>3.3.2.2.3</w:t>
      </w:r>
      <w:r>
        <w:rPr>
          <w:rFonts w:hint="eastAsia" w:ascii="仿宋_GB2312" w:cs="仿宋_GB2312"/>
          <w:szCs w:val="32"/>
          <w:highlight w:val="none"/>
        </w:rPr>
        <w:t>小程序</w:t>
      </w:r>
    </w:p>
    <w:p w14:paraId="33FB138C">
      <w:pPr>
        <w:spacing w:beforeLines="0" w:afterLines="0" w:line="600" w:lineRule="exact"/>
        <w:ind w:firstLine="643"/>
        <w:rPr>
          <w:rFonts w:ascii="仿宋_GB2312"/>
          <w:highlight w:val="none"/>
        </w:rPr>
      </w:pPr>
      <w:r>
        <w:rPr>
          <w:rFonts w:hint="eastAsia" w:ascii="仿宋_GB2312"/>
          <w:highlight w:val="none"/>
          <w:lang w:val="en-US" w:eastAsia="zh-CN"/>
        </w:rPr>
        <w:t>充分依托“幸福廊坊小程序”，设计“</w:t>
      </w:r>
      <w:r>
        <w:rPr>
          <w:rFonts w:hint="eastAsia" w:ascii="仿宋_GB2312"/>
          <w:highlight w:val="none"/>
        </w:rPr>
        <w:t>廊坊市规范入企行政执法</w:t>
      </w:r>
      <w:r>
        <w:rPr>
          <w:rFonts w:hint="eastAsia" w:ascii="仿宋_GB2312"/>
          <w:highlight w:val="none"/>
          <w:lang w:val="en-US" w:eastAsia="zh-CN"/>
        </w:rPr>
        <w:t>系统”的公众端</w:t>
      </w:r>
      <w:r>
        <w:rPr>
          <w:rFonts w:hint="eastAsia" w:ascii="仿宋_GB2312"/>
          <w:highlight w:val="none"/>
          <w:lang w:eastAsia="zh-CN"/>
        </w:rPr>
        <w:t>，</w:t>
      </w:r>
      <w:r>
        <w:rPr>
          <w:rFonts w:hint="eastAsia" w:ascii="仿宋_GB2312"/>
          <w:highlight w:val="none"/>
        </w:rPr>
        <w:t>主要用户</w:t>
      </w:r>
      <w:r>
        <w:rPr>
          <w:rFonts w:hint="eastAsia" w:ascii="仿宋_GB2312"/>
          <w:highlight w:val="none"/>
          <w:lang w:val="en-US" w:eastAsia="zh-CN"/>
        </w:rPr>
        <w:t>群体</w:t>
      </w:r>
      <w:r>
        <w:rPr>
          <w:rFonts w:hint="eastAsia" w:ascii="仿宋_GB2312"/>
          <w:highlight w:val="none"/>
        </w:rPr>
        <w:t>为企业和市民，旨提升执法效率与透明度、促进信息共享与协同、加强企业监督与管理以及优化营商环境。</w:t>
      </w:r>
    </w:p>
    <w:p w14:paraId="1407D4EB">
      <w:pPr>
        <w:spacing w:beforeLines="0" w:afterLines="0" w:line="600" w:lineRule="exact"/>
        <w:ind w:firstLine="643"/>
        <w:rPr>
          <w:rFonts w:ascii="仿宋_GB2312"/>
          <w:highlight w:val="none"/>
        </w:rPr>
      </w:pPr>
      <w:r>
        <w:rPr>
          <w:rFonts w:hint="eastAsia" w:ascii="仿宋_GB2312"/>
          <w:highlight w:val="none"/>
        </w:rPr>
        <w:t>企业</w:t>
      </w:r>
      <w:r>
        <w:rPr>
          <w:rFonts w:hint="eastAsia" w:ascii="仿宋_GB2312"/>
          <w:highlight w:val="none"/>
          <w:lang w:val="en-US" w:eastAsia="zh-CN"/>
        </w:rPr>
        <w:t>部分</w:t>
      </w:r>
      <w:r>
        <w:rPr>
          <w:rFonts w:hint="eastAsia" w:ascii="仿宋_GB2312"/>
          <w:highlight w:val="none"/>
        </w:rPr>
        <w:t>需支持可通过小程序接收行政检查、行政处罚结果，了解执法规定、政策解读及执法案例等信息。</w:t>
      </w:r>
    </w:p>
    <w:p w14:paraId="196117A3">
      <w:pPr>
        <w:spacing w:beforeLines="0" w:afterLines="0" w:line="600" w:lineRule="exact"/>
        <w:ind w:firstLine="643"/>
        <w:rPr>
          <w:rFonts w:ascii="仿宋_GB2312"/>
          <w:highlight w:val="none"/>
        </w:rPr>
      </w:pPr>
      <w:r>
        <w:rPr>
          <w:rFonts w:hint="eastAsia" w:ascii="仿宋_GB2312"/>
          <w:highlight w:val="none"/>
        </w:rPr>
        <w:t>市民</w:t>
      </w:r>
      <w:r>
        <w:rPr>
          <w:rFonts w:hint="eastAsia" w:ascii="仿宋_GB2312"/>
          <w:highlight w:val="none"/>
          <w:lang w:val="en-US" w:eastAsia="zh-CN"/>
        </w:rPr>
        <w:t>部分</w:t>
      </w:r>
      <w:r>
        <w:rPr>
          <w:rFonts w:hint="eastAsia" w:ascii="仿宋_GB2312"/>
          <w:highlight w:val="none"/>
        </w:rPr>
        <w:t>需支持可通过小程序了解执法新闻资讯等信息。还</w:t>
      </w:r>
      <w:r>
        <w:rPr>
          <w:rFonts w:hint="eastAsia" w:ascii="仿宋_GB2312"/>
          <w:highlight w:val="none"/>
          <w:lang w:eastAsia="zh-CN"/>
        </w:rPr>
        <w:t>需</w:t>
      </w:r>
      <w:r>
        <w:rPr>
          <w:rFonts w:hint="eastAsia" w:ascii="仿宋_GB2312"/>
          <w:highlight w:val="none"/>
        </w:rPr>
        <w:t>提供便捷的在线服务，如在线咨询、在线举报等，方便市民随时随地与执法部门进行沟通和互动。</w:t>
      </w:r>
    </w:p>
    <w:p w14:paraId="0953C1FC">
      <w:pPr>
        <w:spacing w:beforeLines="0" w:afterLines="0" w:line="600" w:lineRule="exact"/>
        <w:ind w:firstLine="643"/>
        <w:rPr>
          <w:rFonts w:ascii="仿宋_GB2312"/>
          <w:highlight w:val="none"/>
        </w:rPr>
      </w:pPr>
      <w:r>
        <w:rPr>
          <w:rFonts w:hint="eastAsia" w:ascii="仿宋_GB2312"/>
          <w:highlight w:val="none"/>
        </w:rPr>
        <w:t>同时，通过系统支持可对对接“一码通城”系统实现在线生成企业二维码，作为政府为经营主体生成的“数字身份证”即“企业码”。行政执法人员将通过系统扫描“企业码”启动执法程序。</w:t>
      </w:r>
    </w:p>
    <w:p w14:paraId="28CDFBCA">
      <w:pPr>
        <w:pStyle w:val="8"/>
        <w:numPr>
          <w:ilvl w:val="4"/>
          <w:numId w:val="0"/>
        </w:numPr>
        <w:spacing w:before="0" w:beforeLines="0" w:after="0" w:afterLines="0" w:line="600" w:lineRule="exact"/>
        <w:ind w:left="0" w:leftChars="0" w:firstLine="643" w:firstLineChars="200"/>
        <w:rPr>
          <w:rFonts w:ascii="仿宋_GB2312" w:cs="仿宋_GB2312"/>
          <w:szCs w:val="32"/>
          <w:highlight w:val="none"/>
        </w:rPr>
      </w:pPr>
      <w:r>
        <w:rPr>
          <w:rFonts w:hint="default" w:ascii="宋体" w:hAnsi="宋体" w:eastAsia="宋体" w:cs="宋体"/>
          <w:b/>
          <w:bCs/>
          <w:kern w:val="2"/>
          <w:sz w:val="32"/>
          <w:szCs w:val="32"/>
          <w:highlight w:val="none"/>
          <w:lang w:val="en-US" w:eastAsia="zh-CN" w:bidi="ar-SA"/>
        </w:rPr>
        <w:t>3.3.2.2.4</w:t>
      </w:r>
      <w:r>
        <w:rPr>
          <w:rFonts w:hint="eastAsia" w:ascii="仿宋_GB2312" w:cs="仿宋_GB2312"/>
          <w:szCs w:val="32"/>
          <w:highlight w:val="none"/>
        </w:rPr>
        <w:t>其它系统对接</w:t>
      </w:r>
    </w:p>
    <w:p w14:paraId="13787484">
      <w:pPr>
        <w:spacing w:beforeLines="0" w:afterLines="0" w:line="600" w:lineRule="exact"/>
        <w:ind w:firstLine="643"/>
        <w:rPr>
          <w:rFonts w:hint="eastAsia" w:ascii="仿宋_GB2312"/>
          <w:highlight w:val="none"/>
          <w:lang w:val="en-US" w:eastAsia="zh-CN"/>
        </w:rPr>
      </w:pPr>
      <w:r>
        <w:rPr>
          <w:rFonts w:hint="eastAsia" w:ascii="仿宋_GB2312"/>
          <w:highlight w:val="none"/>
        </w:rPr>
        <w:t>廊坊市规范入企执法系统</w:t>
      </w:r>
      <w:r>
        <w:rPr>
          <w:rFonts w:hint="eastAsia" w:ascii="仿宋_GB2312"/>
          <w:highlight w:val="none"/>
          <w:lang w:val="en-US" w:eastAsia="zh-CN"/>
        </w:rPr>
        <w:t>在设计过程中需充分与现行相关系统对接融合。</w:t>
      </w:r>
    </w:p>
    <w:p w14:paraId="2D9CF216">
      <w:pPr>
        <w:spacing w:beforeLines="0" w:afterLines="0" w:line="600" w:lineRule="exact"/>
        <w:ind w:firstLine="643"/>
        <w:rPr>
          <w:rFonts w:ascii="仿宋_GB2312"/>
          <w:highlight w:val="none"/>
        </w:rPr>
      </w:pPr>
      <w:r>
        <w:rPr>
          <w:rFonts w:hint="eastAsia" w:ascii="仿宋_GB2312"/>
          <w:highlight w:val="none"/>
          <w:lang w:val="en-US" w:eastAsia="zh-CN"/>
        </w:rPr>
        <w:t>对接市政务数据共享交换平台，获取</w:t>
      </w:r>
      <w:r>
        <w:rPr>
          <w:rFonts w:hint="eastAsia" w:ascii="仿宋_GB2312"/>
          <w:highlight w:val="none"/>
        </w:rPr>
        <w:t>企业法人库信息，“廊坊市信用平台”企业信用信息，提升行政执法的效率和准确度，推动社会信用体系的建设和完善；</w:t>
      </w:r>
    </w:p>
    <w:p w14:paraId="25A676A0">
      <w:pPr>
        <w:spacing w:beforeLines="0" w:afterLines="0" w:line="600" w:lineRule="exact"/>
        <w:ind w:firstLine="643"/>
        <w:rPr>
          <w:highlight w:val="none"/>
        </w:rPr>
      </w:pPr>
      <w:r>
        <w:rPr>
          <w:rFonts w:hint="eastAsia" w:ascii="仿宋_GB2312"/>
          <w:highlight w:val="none"/>
          <w:u w:val="none"/>
          <w:lang w:val="en-US" w:eastAsia="zh-CN"/>
        </w:rPr>
        <w:t>对接</w:t>
      </w:r>
      <w:r>
        <w:rPr>
          <w:rFonts w:hint="eastAsia" w:ascii="仿宋_GB2312"/>
          <w:highlight w:val="none"/>
          <w:u w:val="none"/>
        </w:rPr>
        <w:t>“廊坊市12345政务服务便民热线”</w:t>
      </w:r>
      <w:r>
        <w:rPr>
          <w:rFonts w:hint="eastAsia" w:ascii="仿宋_GB2312"/>
          <w:highlight w:val="none"/>
          <w:u w:val="none"/>
          <w:lang w:val="en-US" w:eastAsia="zh-CN"/>
        </w:rPr>
        <w:t>执法类问题，以便对这些问题进行分析、监督</w:t>
      </w:r>
      <w:r>
        <w:rPr>
          <w:rFonts w:hint="eastAsia" w:ascii="仿宋_GB2312"/>
          <w:highlight w:val="none"/>
          <w:lang w:val="en-US" w:eastAsia="zh-CN"/>
        </w:rPr>
        <w:t>。</w:t>
      </w:r>
    </w:p>
    <w:p w14:paraId="43916AAA">
      <w:pPr>
        <w:spacing w:beforeLines="0" w:afterLines="0" w:line="600" w:lineRule="exact"/>
        <w:ind w:firstLine="643"/>
        <w:rPr>
          <w:rFonts w:hint="eastAsia" w:ascii="仿宋_GB2312"/>
          <w:highlight w:val="none"/>
        </w:rPr>
      </w:pPr>
      <w:r>
        <w:rPr>
          <w:rFonts w:hint="eastAsia" w:ascii="仿宋_GB2312"/>
          <w:highlight w:val="none"/>
        </w:rPr>
        <w:t>对接“河北省行政执法公示平台”提升行政执法的透明度和公信力、提高行政执法规范性、有助于加强社会</w:t>
      </w:r>
      <w:r>
        <w:rPr>
          <w:rFonts w:hint="eastAsia" w:ascii="仿宋_GB2312"/>
          <w:highlight w:val="none"/>
        </w:rPr>
        <w:t>监督和公众参与，推动法治政府建设。</w:t>
      </w:r>
    </w:p>
    <w:p w14:paraId="32A4829D">
      <w:pPr>
        <w:spacing w:beforeLines="0" w:afterLines="0" w:line="600" w:lineRule="exact"/>
        <w:ind w:firstLine="643"/>
        <w:rPr>
          <w:rFonts w:ascii="仿宋_GB2312"/>
          <w:highlight w:val="none"/>
        </w:rPr>
      </w:pPr>
      <w:r>
        <w:rPr>
          <w:rFonts w:hint="eastAsia" w:ascii="仿宋_GB2312"/>
          <w:highlight w:val="none"/>
        </w:rPr>
        <w:t>廊坊市规范入企执法系统移动端“执法通”</w:t>
      </w:r>
      <w:r>
        <w:rPr>
          <w:rFonts w:hint="eastAsia" w:ascii="仿宋_GB2312"/>
          <w:highlight w:val="none"/>
          <w:lang w:eastAsia="zh-CN"/>
        </w:rPr>
        <w:t>、“</w:t>
      </w:r>
      <w:r>
        <w:rPr>
          <w:rFonts w:hint="eastAsia" w:ascii="仿宋_GB2312"/>
          <w:highlight w:val="none"/>
          <w:lang w:val="en-US" w:eastAsia="zh-CN"/>
        </w:rPr>
        <w:t>领导通</w:t>
      </w:r>
      <w:r>
        <w:rPr>
          <w:rFonts w:hint="eastAsia" w:ascii="仿宋_GB2312"/>
          <w:highlight w:val="none"/>
          <w:lang w:eastAsia="zh-CN"/>
        </w:rPr>
        <w:t>”</w:t>
      </w:r>
      <w:r>
        <w:rPr>
          <w:rFonts w:hint="eastAsia" w:ascii="仿宋_GB2312"/>
          <w:highlight w:val="none"/>
        </w:rPr>
        <w:t>需</w:t>
      </w:r>
      <w:r>
        <w:rPr>
          <w:rFonts w:hint="eastAsia" w:ascii="仿宋_GB2312"/>
          <w:highlight w:val="none"/>
          <w:lang w:val="en-US" w:eastAsia="zh-CN"/>
        </w:rPr>
        <w:t>融入</w:t>
      </w:r>
      <w:r>
        <w:rPr>
          <w:rFonts w:hint="eastAsia" w:ascii="仿宋_GB2312"/>
          <w:highlight w:val="none"/>
        </w:rPr>
        <w:t>廊坊市智慧城市“善政APP”，提升执法人员使用体验，增强</w:t>
      </w:r>
      <w:r>
        <w:rPr>
          <w:rFonts w:hint="eastAsia" w:ascii="仿宋_GB2312"/>
          <w:highlight w:val="none"/>
        </w:rPr>
        <w:t>信息共享与业务协同，优化资源配置。</w:t>
      </w:r>
    </w:p>
    <w:p w14:paraId="326EC15B">
      <w:pPr>
        <w:spacing w:beforeLines="0" w:afterLines="0" w:line="600" w:lineRule="exact"/>
        <w:ind w:firstLine="643"/>
        <w:rPr>
          <w:rFonts w:hint="eastAsia" w:ascii="仿宋_GB2312"/>
          <w:highlight w:val="none"/>
        </w:rPr>
      </w:pPr>
      <w:r>
        <w:rPr>
          <w:rFonts w:hint="eastAsia" w:ascii="仿宋_GB2312"/>
          <w:highlight w:val="none"/>
          <w:lang w:val="en-US" w:eastAsia="zh-CN"/>
        </w:rPr>
        <w:t>执法人员用户体系依托智慧城市统一身份认证平台开展。</w:t>
      </w:r>
      <w:r>
        <w:rPr>
          <w:rFonts w:hint="eastAsia" w:ascii="仿宋_GB2312" w:hAnsi="Times New Roman" w:eastAsia="仿宋_GB2312" w:cs="Times New Roman"/>
          <w:sz w:val="32"/>
          <w:szCs w:val="22"/>
          <w:highlight w:val="none"/>
        </w:rPr>
        <w:t>确保执法人员身份的真实性和合法性</w:t>
      </w:r>
      <w:r>
        <w:rPr>
          <w:rFonts w:hint="eastAsia" w:ascii="仿宋_GB2312" w:hAnsi="Times New Roman" w:eastAsia="仿宋_GB2312" w:cs="Times New Roman"/>
          <w:sz w:val="32"/>
          <w:szCs w:val="22"/>
          <w:highlight w:val="none"/>
          <w:lang w:eastAsia="zh-CN"/>
        </w:rPr>
        <w:t>；</w:t>
      </w:r>
      <w:r>
        <w:rPr>
          <w:rFonts w:hint="eastAsia" w:ascii="仿宋_GB2312" w:hAnsi="Times New Roman" w:eastAsia="仿宋_GB2312" w:cs="Times New Roman"/>
          <w:sz w:val="32"/>
          <w:szCs w:val="22"/>
          <w:highlight w:val="none"/>
        </w:rPr>
        <w:t>执法人员通过统一认证平台进行单点登录，使用一次登录凭据即可访问所有授权的智慧城市应用系统</w:t>
      </w:r>
      <w:r>
        <w:rPr>
          <w:rFonts w:hint="eastAsia" w:ascii="仿宋_GB2312" w:cs="Times New Roman"/>
          <w:sz w:val="32"/>
          <w:szCs w:val="22"/>
          <w:highlight w:val="none"/>
          <w:lang w:eastAsia="zh-CN"/>
        </w:rPr>
        <w:t>；</w:t>
      </w:r>
      <w:r>
        <w:rPr>
          <w:rFonts w:hint="eastAsia" w:ascii="仿宋_GB2312" w:hAnsi="Times New Roman" w:eastAsia="仿宋_GB2312" w:cs="Times New Roman"/>
          <w:sz w:val="32"/>
          <w:szCs w:val="22"/>
          <w:highlight w:val="none"/>
        </w:rPr>
        <w:t>支持执法人员通过统一认证平台进行注册或批量导入，自动同步用户信息至用户体系</w:t>
      </w:r>
      <w:r>
        <w:rPr>
          <w:rFonts w:hint="eastAsia" w:ascii="仿宋_GB2312" w:cs="Times New Roman"/>
          <w:sz w:val="32"/>
          <w:szCs w:val="22"/>
          <w:highlight w:val="none"/>
          <w:lang w:eastAsia="zh-CN"/>
        </w:rPr>
        <w:t>；</w:t>
      </w:r>
      <w:r>
        <w:rPr>
          <w:rFonts w:hint="eastAsia" w:ascii="仿宋_GB2312" w:hAnsi="Times New Roman" w:eastAsia="仿宋_GB2312" w:cs="Times New Roman"/>
          <w:sz w:val="32"/>
          <w:szCs w:val="22"/>
          <w:highlight w:val="none"/>
        </w:rPr>
        <w:t>基于统一认证平台的权限管理功能，为执法人员分配不同的角色和权限，确保用户仅能访问其职能范围内的数据和应用</w:t>
      </w:r>
      <w:r>
        <w:rPr>
          <w:rFonts w:hint="eastAsia" w:ascii="仿宋_GB2312" w:cs="Times New Roman"/>
          <w:sz w:val="32"/>
          <w:szCs w:val="22"/>
          <w:highlight w:val="none"/>
          <w:lang w:eastAsia="zh-CN"/>
        </w:rPr>
        <w:t>；</w:t>
      </w:r>
      <w:r>
        <w:rPr>
          <w:rFonts w:hint="eastAsia" w:ascii="仿宋_GB2312" w:hAnsi="Times New Roman" w:eastAsia="仿宋_GB2312" w:cs="Times New Roman"/>
          <w:sz w:val="32"/>
          <w:szCs w:val="22"/>
          <w:highlight w:val="none"/>
        </w:rPr>
        <w:t>通过统一认证平台自动更新用户信息，如职位变动、权限变更等，确保用户数据的实时准确性。</w:t>
      </w:r>
    </w:p>
    <w:p w14:paraId="56B8143B">
      <w:pPr>
        <w:pStyle w:val="4"/>
        <w:numPr>
          <w:ilvl w:val="2"/>
          <w:numId w:val="0"/>
        </w:numPr>
        <w:spacing w:before="0" w:beforeLines="0" w:after="0" w:afterLines="0" w:line="600" w:lineRule="exact"/>
        <w:ind w:left="0" w:leftChars="0" w:firstLine="643" w:firstLineChars="200"/>
        <w:rPr>
          <w:rFonts w:ascii="仿宋_GB2312"/>
          <w:highlight w:val="none"/>
        </w:rPr>
      </w:pPr>
      <w:bookmarkStart w:id="30" w:name="_Toc9931"/>
      <w:r>
        <w:rPr>
          <w:rFonts w:hint="eastAsia" w:ascii="仿宋_GB2312" w:hAnsi="仿宋_GB2312" w:eastAsia="仿宋_GB2312" w:cs="仿宋_GB2312"/>
          <w:b/>
          <w:bCs/>
          <w:kern w:val="2"/>
          <w:sz w:val="32"/>
          <w:szCs w:val="32"/>
          <w:highlight w:val="none"/>
          <w:lang w:val="en-US" w:eastAsia="zh-CN" w:bidi="ar-SA"/>
        </w:rPr>
        <w:t>3.3.3</w:t>
      </w:r>
      <w:r>
        <w:rPr>
          <w:rFonts w:hint="eastAsia" w:ascii="仿宋_GB2312"/>
          <w:highlight w:val="none"/>
        </w:rPr>
        <w:t>数据资源和共享需求</w:t>
      </w:r>
      <w:bookmarkEnd w:id="30"/>
    </w:p>
    <w:p w14:paraId="27FDA8CF">
      <w:pPr>
        <w:pStyle w:val="7"/>
        <w:numPr>
          <w:ilvl w:val="3"/>
          <w:numId w:val="0"/>
        </w:numPr>
        <w:spacing w:before="0" w:beforeLines="0" w:after="0" w:afterLines="0" w:line="600" w:lineRule="exact"/>
        <w:ind w:left="0" w:leftChars="0" w:firstLine="643" w:firstLineChars="200"/>
        <w:rPr>
          <w:rFonts w:ascii="仿宋_GB2312" w:cs="仿宋_GB2312"/>
          <w:szCs w:val="32"/>
          <w:highlight w:val="none"/>
        </w:rPr>
      </w:pPr>
      <w:r>
        <w:rPr>
          <w:rFonts w:hint="default" w:ascii="仿宋_GB2312" w:hAnsi="仿宋_GB2312" w:eastAsia="仿宋_GB2312" w:cs="仿宋_GB2312"/>
          <w:b/>
          <w:bCs/>
          <w:kern w:val="2"/>
          <w:sz w:val="32"/>
          <w:szCs w:val="32"/>
          <w:highlight w:val="none"/>
          <w:lang w:val="en-US" w:eastAsia="zh-CN" w:bidi="ar-SA"/>
        </w:rPr>
        <w:t>3.3.3.1</w:t>
      </w:r>
      <w:r>
        <w:rPr>
          <w:rFonts w:hint="eastAsia" w:ascii="仿宋_GB2312" w:cs="仿宋_GB2312"/>
          <w:szCs w:val="32"/>
          <w:highlight w:val="none"/>
        </w:rPr>
        <w:t>所需数据资源</w:t>
      </w:r>
    </w:p>
    <w:tbl>
      <w:tblPr>
        <w:tblStyle w:val="19"/>
        <w:tblW w:w="919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4531"/>
        <w:gridCol w:w="3382"/>
      </w:tblGrid>
      <w:tr w14:paraId="1CE7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blHeader/>
        </w:trPr>
        <w:tc>
          <w:tcPr>
            <w:tcW w:w="1277" w:type="dxa"/>
            <w:shd w:val="clear" w:color="auto" w:fill="auto"/>
            <w:vAlign w:val="center"/>
          </w:tcPr>
          <w:p w14:paraId="424F13BB">
            <w:pPr>
              <w:widowControl/>
              <w:spacing w:beforeLines="0" w:afterLines="0" w:line="600" w:lineRule="exact"/>
              <w:ind w:firstLine="0" w:firstLineChars="0"/>
              <w:jc w:val="center"/>
              <w:textAlignment w:val="center"/>
              <w:rPr>
                <w:rFonts w:hint="eastAsia" w:ascii="仿宋_GB2312" w:cs="仿宋_GB2312"/>
                <w:b/>
                <w:bCs/>
                <w:kern w:val="0"/>
                <w:szCs w:val="32"/>
                <w:highlight w:val="none"/>
              </w:rPr>
            </w:pPr>
            <w:r>
              <w:rPr>
                <w:rFonts w:hint="eastAsia" w:ascii="仿宋_GB2312" w:cs="仿宋_GB2312"/>
                <w:b/>
                <w:bCs/>
                <w:kern w:val="0"/>
                <w:szCs w:val="32"/>
                <w:highlight w:val="none"/>
              </w:rPr>
              <w:t>数据</w:t>
            </w:r>
          </w:p>
          <w:p w14:paraId="1A86B0E6">
            <w:pPr>
              <w:widowControl/>
              <w:spacing w:beforeLines="0" w:afterLines="0" w:line="600" w:lineRule="exact"/>
              <w:ind w:firstLine="0" w:firstLineChars="0"/>
              <w:jc w:val="center"/>
              <w:textAlignment w:val="center"/>
              <w:rPr>
                <w:rFonts w:ascii="仿宋_GB2312" w:cs="仿宋_GB2312"/>
                <w:b/>
                <w:bCs/>
                <w:szCs w:val="32"/>
                <w:highlight w:val="none"/>
              </w:rPr>
            </w:pPr>
            <w:r>
              <w:rPr>
                <w:rFonts w:hint="eastAsia" w:ascii="仿宋_GB2312" w:cs="仿宋_GB2312"/>
                <w:b/>
                <w:bCs/>
                <w:kern w:val="0"/>
                <w:szCs w:val="32"/>
                <w:highlight w:val="none"/>
              </w:rPr>
              <w:t>分类</w:t>
            </w:r>
          </w:p>
        </w:tc>
        <w:tc>
          <w:tcPr>
            <w:tcW w:w="4531" w:type="dxa"/>
            <w:shd w:val="clear" w:color="auto" w:fill="auto"/>
            <w:vAlign w:val="center"/>
          </w:tcPr>
          <w:p w14:paraId="126BF4B7">
            <w:pPr>
              <w:widowControl/>
              <w:spacing w:beforeLines="0" w:afterLines="0" w:line="600" w:lineRule="exact"/>
              <w:ind w:firstLine="0" w:firstLineChars="0"/>
              <w:jc w:val="center"/>
              <w:textAlignment w:val="center"/>
              <w:rPr>
                <w:rFonts w:ascii="仿宋_GB2312" w:cs="仿宋_GB2312"/>
                <w:b/>
                <w:bCs/>
                <w:szCs w:val="32"/>
                <w:highlight w:val="none"/>
              </w:rPr>
            </w:pPr>
            <w:r>
              <w:rPr>
                <w:rFonts w:hint="eastAsia" w:ascii="仿宋_GB2312" w:cs="仿宋_GB2312"/>
                <w:b/>
                <w:bCs/>
                <w:kern w:val="0"/>
                <w:szCs w:val="32"/>
                <w:highlight w:val="none"/>
              </w:rPr>
              <w:t>数据项</w:t>
            </w:r>
          </w:p>
        </w:tc>
        <w:tc>
          <w:tcPr>
            <w:tcW w:w="3382" w:type="dxa"/>
            <w:shd w:val="clear" w:color="auto" w:fill="auto"/>
            <w:vAlign w:val="center"/>
          </w:tcPr>
          <w:p w14:paraId="71CD4406">
            <w:pPr>
              <w:widowControl/>
              <w:spacing w:beforeLines="0" w:afterLines="0" w:line="600" w:lineRule="exact"/>
              <w:ind w:firstLine="0" w:firstLineChars="0"/>
              <w:jc w:val="center"/>
              <w:textAlignment w:val="center"/>
              <w:rPr>
                <w:rFonts w:ascii="仿宋_GB2312" w:cs="仿宋_GB2312"/>
                <w:b/>
                <w:bCs/>
                <w:szCs w:val="32"/>
                <w:highlight w:val="none"/>
              </w:rPr>
            </w:pPr>
            <w:r>
              <w:rPr>
                <w:rFonts w:hint="eastAsia" w:ascii="仿宋_GB2312" w:cs="仿宋_GB2312"/>
                <w:b/>
                <w:bCs/>
                <w:kern w:val="0"/>
                <w:szCs w:val="32"/>
                <w:highlight w:val="none"/>
              </w:rPr>
              <w:t>数据来源单位</w:t>
            </w:r>
          </w:p>
        </w:tc>
      </w:tr>
      <w:tr w14:paraId="0875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277" w:type="dxa"/>
            <w:vMerge w:val="restart"/>
            <w:shd w:val="clear" w:color="auto" w:fill="auto"/>
            <w:vAlign w:val="center"/>
          </w:tcPr>
          <w:p w14:paraId="099A96A7">
            <w:pPr>
              <w:widowControl/>
              <w:spacing w:beforeLines="0" w:afterLines="0" w:line="600" w:lineRule="exact"/>
              <w:ind w:firstLine="0" w:firstLineChars="0"/>
              <w:jc w:val="center"/>
              <w:textAlignment w:val="center"/>
              <w:rPr>
                <w:rFonts w:ascii="仿宋_GB2312" w:cs="仿宋_GB2312"/>
                <w:kern w:val="0"/>
                <w:szCs w:val="32"/>
                <w:highlight w:val="none"/>
              </w:rPr>
            </w:pPr>
            <w:r>
              <w:rPr>
                <w:rFonts w:hint="eastAsia" w:ascii="仿宋_GB2312" w:cs="仿宋_GB2312"/>
                <w:kern w:val="0"/>
                <w:szCs w:val="32"/>
                <w:highlight w:val="none"/>
              </w:rPr>
              <w:t>系统对接数据</w:t>
            </w:r>
          </w:p>
        </w:tc>
        <w:tc>
          <w:tcPr>
            <w:tcW w:w="4531" w:type="dxa"/>
            <w:shd w:val="clear" w:color="auto" w:fill="auto"/>
            <w:vAlign w:val="center"/>
          </w:tcPr>
          <w:p w14:paraId="461289A8">
            <w:pPr>
              <w:widowControl/>
              <w:spacing w:beforeLines="0" w:afterLines="0" w:line="600" w:lineRule="exact"/>
              <w:ind w:firstLine="0" w:firstLineChars="0"/>
              <w:jc w:val="left"/>
              <w:textAlignment w:val="center"/>
              <w:rPr>
                <w:rFonts w:hint="default" w:ascii="仿宋_GB2312" w:eastAsia="仿宋_GB2312" w:cs="仿宋_GB2312"/>
                <w:kern w:val="0"/>
                <w:szCs w:val="32"/>
                <w:highlight w:val="none"/>
                <w:lang w:val="en-US" w:eastAsia="zh-CN"/>
              </w:rPr>
            </w:pPr>
            <w:r>
              <w:rPr>
                <w:rFonts w:hint="eastAsia" w:ascii="仿宋_GB2312" w:cs="仿宋_GB2312"/>
                <w:kern w:val="0"/>
                <w:szCs w:val="32"/>
                <w:highlight w:val="none"/>
                <w:lang w:val="en-US" w:eastAsia="zh-CN"/>
              </w:rPr>
              <w:t>企业数据</w:t>
            </w:r>
          </w:p>
        </w:tc>
        <w:tc>
          <w:tcPr>
            <w:tcW w:w="3382" w:type="dxa"/>
            <w:shd w:val="clear" w:color="auto" w:fill="auto"/>
            <w:vAlign w:val="center"/>
          </w:tcPr>
          <w:p w14:paraId="24C79A17">
            <w:pPr>
              <w:widowControl/>
              <w:spacing w:beforeLines="0" w:afterLines="0" w:line="600" w:lineRule="exact"/>
              <w:ind w:firstLine="0" w:firstLineChars="0"/>
              <w:jc w:val="center"/>
              <w:textAlignment w:val="center"/>
              <w:rPr>
                <w:rFonts w:ascii="仿宋_GB2312" w:cs="仿宋_GB2312"/>
                <w:kern w:val="0"/>
                <w:szCs w:val="32"/>
                <w:highlight w:val="none"/>
              </w:rPr>
            </w:pPr>
            <w:r>
              <w:rPr>
                <w:rFonts w:hint="eastAsia" w:ascii="仿宋_GB2312" w:cs="仿宋_GB2312"/>
                <w:kern w:val="0"/>
                <w:szCs w:val="32"/>
                <w:highlight w:val="none"/>
              </w:rPr>
              <w:t>数据局</w:t>
            </w:r>
          </w:p>
        </w:tc>
      </w:tr>
      <w:tr w14:paraId="09B3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277" w:type="dxa"/>
            <w:vMerge w:val="continue"/>
            <w:shd w:val="clear" w:color="auto" w:fill="auto"/>
            <w:vAlign w:val="center"/>
          </w:tcPr>
          <w:p w14:paraId="4C11D46C">
            <w:pPr>
              <w:spacing w:beforeLines="0" w:afterLines="0" w:line="600" w:lineRule="exact"/>
              <w:ind w:firstLine="0" w:firstLineChars="0"/>
              <w:rPr>
                <w:rFonts w:ascii="仿宋_GB2312"/>
                <w:highlight w:val="none"/>
                <w:rPrChange w:id="0" w:author="燕鹏" w:date="2024-08-07T15:35:46Z">
                  <w:rPr>
                    <w:rFonts w:ascii="仿宋_GB2312"/>
                  </w:rPr>
                </w:rPrChange>
              </w:rPr>
            </w:pPr>
          </w:p>
        </w:tc>
        <w:tc>
          <w:tcPr>
            <w:tcW w:w="4531" w:type="dxa"/>
            <w:shd w:val="clear" w:color="auto" w:fill="auto"/>
            <w:vAlign w:val="center"/>
          </w:tcPr>
          <w:p w14:paraId="23D392B3">
            <w:pPr>
              <w:widowControl/>
              <w:spacing w:beforeLines="0" w:afterLines="0" w:line="600" w:lineRule="exact"/>
              <w:ind w:firstLine="0" w:firstLineChars="0"/>
              <w:jc w:val="left"/>
              <w:textAlignment w:val="center"/>
              <w:rPr>
                <w:rFonts w:ascii="仿宋_GB2312" w:cs="仿宋_GB2312"/>
                <w:kern w:val="0"/>
                <w:szCs w:val="32"/>
                <w:highlight w:val="none"/>
                <w:rPrChange w:id="1" w:author="燕鹏" w:date="2024-08-07T15:35:46Z">
                  <w:rPr>
                    <w:rFonts w:ascii="仿宋_GB2312" w:cs="仿宋_GB2312"/>
                    <w:kern w:val="0"/>
                    <w:szCs w:val="32"/>
                  </w:rPr>
                </w:rPrChange>
              </w:rPr>
            </w:pPr>
            <w:r>
              <w:rPr>
                <w:rFonts w:hint="eastAsia" w:ascii="仿宋_GB2312" w:cs="仿宋_GB2312"/>
                <w:kern w:val="0"/>
                <w:szCs w:val="32"/>
                <w:highlight w:val="none"/>
                <w:rPrChange w:id="2" w:author="燕鹏" w:date="2024-08-07T15:35:46Z">
                  <w:rPr>
                    <w:rFonts w:hint="eastAsia" w:ascii="仿宋_GB2312" w:cs="仿宋_GB2312"/>
                    <w:kern w:val="0"/>
                    <w:szCs w:val="32"/>
                  </w:rPr>
                </w:rPrChange>
              </w:rPr>
              <w:t>廊坊市12345政务服务便民热线登记的相关</w:t>
            </w:r>
            <w:bookmarkStart w:id="59" w:name="_GoBack"/>
            <w:bookmarkEnd w:id="59"/>
            <w:r>
              <w:rPr>
                <w:rFonts w:hint="eastAsia" w:ascii="仿宋_GB2312" w:cs="仿宋_GB2312"/>
                <w:kern w:val="0"/>
                <w:szCs w:val="32"/>
                <w:highlight w:val="none"/>
                <w:rPrChange w:id="2" w:author="燕鹏" w:date="2024-08-07T15:35:46Z">
                  <w:rPr>
                    <w:rFonts w:hint="eastAsia" w:ascii="仿宋_GB2312" w:cs="仿宋_GB2312"/>
                    <w:kern w:val="0"/>
                    <w:szCs w:val="32"/>
                  </w:rPr>
                </w:rPrChange>
              </w:rPr>
              <w:t>案件</w:t>
            </w:r>
          </w:p>
        </w:tc>
        <w:tc>
          <w:tcPr>
            <w:tcW w:w="3382" w:type="dxa"/>
            <w:shd w:val="clear" w:color="auto" w:fill="auto"/>
            <w:vAlign w:val="center"/>
          </w:tcPr>
          <w:p w14:paraId="39E93CD0">
            <w:pPr>
              <w:widowControl/>
              <w:spacing w:beforeLines="0" w:afterLines="0" w:line="600" w:lineRule="exact"/>
              <w:ind w:firstLine="0" w:firstLineChars="0"/>
              <w:jc w:val="center"/>
              <w:textAlignment w:val="center"/>
              <w:rPr>
                <w:rFonts w:ascii="仿宋_GB2312" w:cs="仿宋_GB2312"/>
                <w:kern w:val="0"/>
                <w:szCs w:val="32"/>
                <w:highlight w:val="none"/>
                <w:rPrChange w:id="3" w:author="燕鹏" w:date="2024-08-07T15:35:46Z">
                  <w:rPr>
                    <w:rFonts w:ascii="仿宋_GB2312" w:cs="仿宋_GB2312"/>
                    <w:kern w:val="0"/>
                    <w:szCs w:val="32"/>
                  </w:rPr>
                </w:rPrChange>
              </w:rPr>
            </w:pPr>
            <w:r>
              <w:rPr>
                <w:rFonts w:hint="eastAsia" w:ascii="仿宋_GB2312" w:cs="仿宋_GB2312"/>
                <w:kern w:val="0"/>
                <w:szCs w:val="32"/>
                <w:highlight w:val="none"/>
                <w:rPrChange w:id="4" w:author="燕鹏" w:date="2024-08-07T15:35:46Z">
                  <w:rPr>
                    <w:rFonts w:hint="eastAsia" w:ascii="仿宋_GB2312" w:cs="仿宋_GB2312"/>
                    <w:kern w:val="0"/>
                    <w:szCs w:val="32"/>
                  </w:rPr>
                </w:rPrChange>
              </w:rPr>
              <w:t>市政府办公室</w:t>
            </w:r>
          </w:p>
        </w:tc>
      </w:tr>
      <w:tr w14:paraId="3F63E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277" w:type="dxa"/>
            <w:shd w:val="clear" w:color="auto" w:fill="auto"/>
            <w:vAlign w:val="center"/>
          </w:tcPr>
          <w:p w14:paraId="68388F24">
            <w:pPr>
              <w:widowControl/>
              <w:spacing w:beforeLines="0" w:afterLines="0" w:line="600" w:lineRule="exact"/>
              <w:ind w:firstLine="0" w:firstLineChars="0"/>
              <w:jc w:val="center"/>
              <w:textAlignment w:val="center"/>
              <w:rPr>
                <w:rFonts w:ascii="仿宋_GB2312" w:cs="仿宋_GB2312"/>
                <w:kern w:val="0"/>
                <w:szCs w:val="32"/>
                <w:highlight w:val="none"/>
              </w:rPr>
            </w:pPr>
            <w:r>
              <w:rPr>
                <w:rFonts w:hint="eastAsia" w:ascii="仿宋_GB2312" w:cs="仿宋_GB2312"/>
                <w:kern w:val="0"/>
                <w:szCs w:val="32"/>
                <w:highlight w:val="none"/>
              </w:rPr>
              <w:t>行政检查数据</w:t>
            </w:r>
          </w:p>
        </w:tc>
        <w:tc>
          <w:tcPr>
            <w:tcW w:w="4531" w:type="dxa"/>
            <w:shd w:val="clear" w:color="auto" w:fill="auto"/>
            <w:vAlign w:val="center"/>
          </w:tcPr>
          <w:p w14:paraId="260C3DDB">
            <w:pPr>
              <w:widowControl/>
              <w:spacing w:beforeLines="0" w:afterLines="0" w:line="600" w:lineRule="exact"/>
              <w:ind w:firstLine="0" w:firstLineChars="0"/>
              <w:jc w:val="left"/>
              <w:textAlignment w:val="center"/>
              <w:rPr>
                <w:rFonts w:ascii="仿宋_GB2312" w:cs="仿宋_GB2312"/>
                <w:kern w:val="0"/>
                <w:szCs w:val="32"/>
                <w:highlight w:val="none"/>
              </w:rPr>
            </w:pPr>
            <w:r>
              <w:rPr>
                <w:rFonts w:hint="eastAsia" w:ascii="仿宋_GB2312" w:cs="仿宋_GB2312"/>
                <w:kern w:val="0"/>
                <w:szCs w:val="32"/>
                <w:highlight w:val="none"/>
              </w:rPr>
              <w:t>行政检查事项</w:t>
            </w:r>
          </w:p>
        </w:tc>
        <w:tc>
          <w:tcPr>
            <w:tcW w:w="3382" w:type="dxa"/>
            <w:shd w:val="clear" w:color="auto" w:fill="auto"/>
            <w:vAlign w:val="center"/>
          </w:tcPr>
          <w:p w14:paraId="035D5F70">
            <w:pPr>
              <w:widowControl/>
              <w:spacing w:beforeLines="0" w:afterLines="0" w:line="600" w:lineRule="exact"/>
              <w:ind w:firstLine="0" w:firstLineChars="0"/>
              <w:jc w:val="center"/>
              <w:textAlignment w:val="center"/>
              <w:rPr>
                <w:rFonts w:ascii="仿宋_GB2312" w:cs="仿宋_GB2312"/>
                <w:kern w:val="0"/>
                <w:szCs w:val="32"/>
                <w:highlight w:val="none"/>
              </w:rPr>
            </w:pPr>
            <w:r>
              <w:rPr>
                <w:rFonts w:hint="eastAsia" w:ascii="仿宋_GB2312" w:cs="仿宋_GB2312"/>
                <w:kern w:val="0"/>
                <w:szCs w:val="32"/>
                <w:highlight w:val="none"/>
              </w:rPr>
              <w:t>行政执法部门</w:t>
            </w:r>
          </w:p>
        </w:tc>
      </w:tr>
      <w:tr w14:paraId="05B32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7" w:type="dxa"/>
            <w:vMerge w:val="restart"/>
            <w:shd w:val="clear" w:color="auto" w:fill="auto"/>
            <w:vAlign w:val="center"/>
          </w:tcPr>
          <w:p w14:paraId="6771498E">
            <w:pPr>
              <w:widowControl/>
              <w:spacing w:beforeLines="0" w:afterLines="0" w:line="600" w:lineRule="exact"/>
              <w:ind w:firstLine="0" w:firstLineChars="0"/>
              <w:jc w:val="center"/>
              <w:textAlignment w:val="center"/>
              <w:rPr>
                <w:rFonts w:hint="eastAsia" w:ascii="仿宋_GB2312" w:cs="仿宋_GB2312"/>
                <w:kern w:val="0"/>
                <w:szCs w:val="32"/>
                <w:highlight w:val="none"/>
              </w:rPr>
            </w:pPr>
            <w:r>
              <w:rPr>
                <w:rFonts w:hint="eastAsia" w:ascii="仿宋_GB2312" w:cs="仿宋_GB2312"/>
                <w:kern w:val="0"/>
                <w:szCs w:val="32"/>
                <w:highlight w:val="none"/>
              </w:rPr>
              <w:t>执法</w:t>
            </w:r>
          </w:p>
          <w:p w14:paraId="4ACE7690">
            <w:pPr>
              <w:widowControl/>
              <w:spacing w:beforeLines="0" w:afterLines="0" w:line="600" w:lineRule="exact"/>
              <w:ind w:firstLine="0" w:firstLineChars="0"/>
              <w:jc w:val="center"/>
              <w:textAlignment w:val="center"/>
              <w:rPr>
                <w:rFonts w:ascii="仿宋_GB2312" w:cs="仿宋_GB2312"/>
                <w:kern w:val="0"/>
                <w:szCs w:val="32"/>
                <w:highlight w:val="none"/>
              </w:rPr>
            </w:pPr>
            <w:r>
              <w:rPr>
                <w:rFonts w:hint="eastAsia" w:ascii="仿宋_GB2312" w:cs="仿宋_GB2312"/>
                <w:kern w:val="0"/>
                <w:szCs w:val="32"/>
                <w:highlight w:val="none"/>
              </w:rPr>
              <w:t>办案</w:t>
            </w:r>
          </w:p>
        </w:tc>
        <w:tc>
          <w:tcPr>
            <w:tcW w:w="4531" w:type="dxa"/>
            <w:shd w:val="clear" w:color="auto" w:fill="auto"/>
            <w:vAlign w:val="center"/>
          </w:tcPr>
          <w:p w14:paraId="294738E7">
            <w:pPr>
              <w:widowControl/>
              <w:spacing w:beforeLines="0" w:afterLines="0" w:line="600" w:lineRule="exact"/>
              <w:ind w:firstLine="0" w:firstLineChars="0"/>
              <w:jc w:val="left"/>
              <w:textAlignment w:val="center"/>
              <w:rPr>
                <w:rFonts w:ascii="仿宋_GB2312" w:cs="仿宋_GB2312"/>
                <w:kern w:val="0"/>
                <w:szCs w:val="32"/>
                <w:highlight w:val="none"/>
              </w:rPr>
            </w:pPr>
            <w:r>
              <w:rPr>
                <w:rFonts w:hint="eastAsia" w:ascii="仿宋_GB2312" w:cs="仿宋_GB2312"/>
                <w:kern w:val="0"/>
                <w:szCs w:val="32"/>
                <w:highlight w:val="none"/>
              </w:rPr>
              <w:t>行政处罚事项（案由）</w:t>
            </w:r>
          </w:p>
        </w:tc>
        <w:tc>
          <w:tcPr>
            <w:tcW w:w="3382" w:type="dxa"/>
            <w:shd w:val="clear" w:color="auto" w:fill="auto"/>
            <w:vAlign w:val="center"/>
          </w:tcPr>
          <w:p w14:paraId="12CEF74C">
            <w:pPr>
              <w:widowControl/>
              <w:spacing w:beforeLines="0" w:afterLines="0" w:line="600" w:lineRule="exact"/>
              <w:ind w:firstLine="0" w:firstLineChars="0"/>
              <w:jc w:val="center"/>
              <w:textAlignment w:val="center"/>
              <w:rPr>
                <w:rFonts w:ascii="仿宋_GB2312" w:cs="仿宋_GB2312"/>
                <w:kern w:val="0"/>
                <w:szCs w:val="32"/>
                <w:highlight w:val="none"/>
              </w:rPr>
            </w:pPr>
            <w:r>
              <w:rPr>
                <w:rFonts w:hint="eastAsia" w:ascii="仿宋_GB2312" w:cs="仿宋_GB2312"/>
                <w:kern w:val="0"/>
                <w:szCs w:val="32"/>
                <w:highlight w:val="none"/>
              </w:rPr>
              <w:t>行政执法部门</w:t>
            </w:r>
          </w:p>
        </w:tc>
      </w:tr>
      <w:tr w14:paraId="25487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7" w:type="dxa"/>
            <w:vMerge w:val="continue"/>
            <w:shd w:val="clear" w:color="auto" w:fill="auto"/>
            <w:vAlign w:val="center"/>
          </w:tcPr>
          <w:p w14:paraId="3952A4AF">
            <w:pPr>
              <w:widowControl/>
              <w:spacing w:beforeLines="0" w:afterLines="0" w:line="600" w:lineRule="exact"/>
              <w:ind w:firstLine="0" w:firstLineChars="0"/>
              <w:jc w:val="center"/>
              <w:textAlignment w:val="center"/>
              <w:rPr>
                <w:rFonts w:ascii="仿宋_GB2312" w:cs="仿宋_GB2312"/>
                <w:kern w:val="0"/>
                <w:szCs w:val="32"/>
                <w:highlight w:val="none"/>
                <w:rPrChange w:id="5" w:author="燕鹏" w:date="2024-08-07T15:35:46Z">
                  <w:rPr>
                    <w:rFonts w:ascii="仿宋_GB2312" w:cs="仿宋_GB2312"/>
                    <w:kern w:val="0"/>
                    <w:szCs w:val="32"/>
                  </w:rPr>
                </w:rPrChange>
              </w:rPr>
            </w:pPr>
          </w:p>
        </w:tc>
        <w:tc>
          <w:tcPr>
            <w:tcW w:w="4531" w:type="dxa"/>
            <w:shd w:val="clear" w:color="auto" w:fill="auto"/>
            <w:vAlign w:val="center"/>
          </w:tcPr>
          <w:p w14:paraId="6B955301">
            <w:pPr>
              <w:widowControl/>
              <w:spacing w:beforeLines="0" w:afterLines="0" w:line="600" w:lineRule="exact"/>
              <w:ind w:firstLine="0" w:firstLineChars="0"/>
              <w:jc w:val="left"/>
              <w:textAlignment w:val="center"/>
              <w:rPr>
                <w:rFonts w:ascii="仿宋_GB2312" w:cs="仿宋_GB2312"/>
                <w:kern w:val="0"/>
                <w:szCs w:val="32"/>
                <w:highlight w:val="none"/>
                <w:rPrChange w:id="6" w:author="燕鹏" w:date="2024-08-07T15:35:46Z">
                  <w:rPr>
                    <w:rFonts w:ascii="仿宋_GB2312" w:cs="仿宋_GB2312"/>
                    <w:kern w:val="0"/>
                    <w:szCs w:val="32"/>
                  </w:rPr>
                </w:rPrChange>
              </w:rPr>
            </w:pPr>
            <w:r>
              <w:rPr>
                <w:rFonts w:hint="eastAsia" w:ascii="仿宋_GB2312" w:cs="仿宋_GB2312"/>
                <w:kern w:val="0"/>
                <w:szCs w:val="32"/>
                <w:highlight w:val="none"/>
                <w:rPrChange w:id="7" w:author="燕鹏" w:date="2024-08-07T15:35:46Z">
                  <w:rPr>
                    <w:rFonts w:hint="eastAsia" w:ascii="仿宋_GB2312" w:cs="仿宋_GB2312"/>
                    <w:kern w:val="0"/>
                    <w:szCs w:val="32"/>
                  </w:rPr>
                </w:rPrChange>
              </w:rPr>
              <w:t>执法办案流程</w:t>
            </w:r>
          </w:p>
        </w:tc>
        <w:tc>
          <w:tcPr>
            <w:tcW w:w="3382" w:type="dxa"/>
            <w:shd w:val="clear" w:color="auto" w:fill="auto"/>
            <w:vAlign w:val="center"/>
          </w:tcPr>
          <w:p w14:paraId="592AEEAD">
            <w:pPr>
              <w:widowControl/>
              <w:spacing w:beforeLines="0" w:afterLines="0" w:line="600" w:lineRule="exact"/>
              <w:ind w:firstLine="0" w:firstLineChars="0"/>
              <w:jc w:val="center"/>
              <w:textAlignment w:val="center"/>
              <w:rPr>
                <w:rFonts w:ascii="仿宋_GB2312" w:cs="仿宋_GB2312"/>
                <w:kern w:val="0"/>
                <w:szCs w:val="32"/>
                <w:highlight w:val="none"/>
                <w:rPrChange w:id="8" w:author="燕鹏" w:date="2024-08-07T15:35:46Z">
                  <w:rPr>
                    <w:rFonts w:ascii="仿宋_GB2312" w:cs="仿宋_GB2312"/>
                    <w:kern w:val="0"/>
                    <w:szCs w:val="32"/>
                  </w:rPr>
                </w:rPrChange>
              </w:rPr>
            </w:pPr>
            <w:r>
              <w:rPr>
                <w:rFonts w:hint="eastAsia" w:ascii="仿宋_GB2312" w:cs="仿宋_GB2312"/>
                <w:kern w:val="0"/>
                <w:szCs w:val="32"/>
                <w:highlight w:val="none"/>
                <w:rPrChange w:id="9" w:author="燕鹏" w:date="2024-08-07T15:35:46Z">
                  <w:rPr>
                    <w:rFonts w:hint="eastAsia" w:ascii="仿宋_GB2312" w:cs="仿宋_GB2312"/>
                    <w:kern w:val="0"/>
                    <w:szCs w:val="32"/>
                  </w:rPr>
                </w:rPrChange>
              </w:rPr>
              <w:t>行政执法部门</w:t>
            </w:r>
          </w:p>
        </w:tc>
      </w:tr>
      <w:tr w14:paraId="7B8FC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7" w:type="dxa"/>
            <w:vMerge w:val="continue"/>
            <w:shd w:val="clear" w:color="auto" w:fill="auto"/>
            <w:vAlign w:val="center"/>
          </w:tcPr>
          <w:p w14:paraId="0F76ECF0">
            <w:pPr>
              <w:widowControl/>
              <w:spacing w:beforeLines="0" w:afterLines="0" w:line="600" w:lineRule="exact"/>
              <w:ind w:firstLine="0" w:firstLineChars="0"/>
              <w:jc w:val="center"/>
              <w:textAlignment w:val="center"/>
              <w:rPr>
                <w:rFonts w:ascii="仿宋_GB2312" w:cs="仿宋_GB2312"/>
                <w:kern w:val="0"/>
                <w:szCs w:val="32"/>
                <w:highlight w:val="none"/>
                <w:rPrChange w:id="10" w:author="燕鹏" w:date="2024-08-07T15:35:46Z">
                  <w:rPr>
                    <w:rFonts w:ascii="仿宋_GB2312" w:cs="仿宋_GB2312"/>
                    <w:kern w:val="0"/>
                    <w:szCs w:val="32"/>
                  </w:rPr>
                </w:rPrChange>
              </w:rPr>
            </w:pPr>
          </w:p>
        </w:tc>
        <w:tc>
          <w:tcPr>
            <w:tcW w:w="4531" w:type="dxa"/>
            <w:shd w:val="clear" w:color="auto" w:fill="auto"/>
            <w:vAlign w:val="center"/>
          </w:tcPr>
          <w:p w14:paraId="6600CE40">
            <w:pPr>
              <w:widowControl/>
              <w:spacing w:beforeLines="0" w:afterLines="0" w:line="600" w:lineRule="exact"/>
              <w:ind w:firstLine="0" w:firstLineChars="0"/>
              <w:jc w:val="left"/>
              <w:textAlignment w:val="center"/>
              <w:rPr>
                <w:rFonts w:ascii="仿宋_GB2312" w:cs="仿宋_GB2312"/>
                <w:kern w:val="0"/>
                <w:szCs w:val="32"/>
                <w:highlight w:val="none"/>
                <w:rPrChange w:id="11" w:author="燕鹏" w:date="2024-08-07T15:35:46Z">
                  <w:rPr>
                    <w:rFonts w:ascii="仿宋_GB2312" w:cs="仿宋_GB2312"/>
                    <w:kern w:val="0"/>
                    <w:szCs w:val="32"/>
                  </w:rPr>
                </w:rPrChange>
              </w:rPr>
            </w:pPr>
            <w:r>
              <w:rPr>
                <w:rFonts w:hint="eastAsia" w:ascii="仿宋_GB2312" w:cs="仿宋_GB2312"/>
                <w:kern w:val="0"/>
                <w:szCs w:val="32"/>
                <w:highlight w:val="none"/>
                <w:rPrChange w:id="12" w:author="燕鹏" w:date="2024-08-07T15:35:46Z">
                  <w:rPr>
                    <w:rFonts w:hint="eastAsia" w:ascii="仿宋_GB2312" w:cs="仿宋_GB2312"/>
                    <w:kern w:val="0"/>
                    <w:szCs w:val="32"/>
                  </w:rPr>
                </w:rPrChange>
              </w:rPr>
              <w:t>执法文书模板</w:t>
            </w:r>
          </w:p>
        </w:tc>
        <w:tc>
          <w:tcPr>
            <w:tcW w:w="3382" w:type="dxa"/>
            <w:shd w:val="clear" w:color="auto" w:fill="auto"/>
            <w:vAlign w:val="center"/>
          </w:tcPr>
          <w:p w14:paraId="7103D9B1">
            <w:pPr>
              <w:widowControl/>
              <w:spacing w:beforeLines="0" w:afterLines="0" w:line="600" w:lineRule="exact"/>
              <w:ind w:firstLine="0" w:firstLineChars="0"/>
              <w:jc w:val="center"/>
              <w:textAlignment w:val="center"/>
              <w:rPr>
                <w:rFonts w:ascii="仿宋_GB2312" w:cs="仿宋_GB2312"/>
                <w:kern w:val="0"/>
                <w:szCs w:val="32"/>
                <w:highlight w:val="none"/>
                <w:rPrChange w:id="13" w:author="燕鹏" w:date="2024-08-07T15:35:46Z">
                  <w:rPr>
                    <w:rFonts w:ascii="仿宋_GB2312" w:cs="仿宋_GB2312"/>
                    <w:kern w:val="0"/>
                    <w:szCs w:val="32"/>
                  </w:rPr>
                </w:rPrChange>
              </w:rPr>
            </w:pPr>
            <w:r>
              <w:rPr>
                <w:rFonts w:hint="eastAsia" w:ascii="仿宋_GB2312" w:cs="仿宋_GB2312"/>
                <w:kern w:val="0"/>
                <w:szCs w:val="32"/>
                <w:highlight w:val="none"/>
                <w:rPrChange w:id="14" w:author="燕鹏" w:date="2024-08-07T15:35:46Z">
                  <w:rPr>
                    <w:rFonts w:hint="eastAsia" w:ascii="仿宋_GB2312" w:cs="仿宋_GB2312"/>
                    <w:kern w:val="0"/>
                    <w:szCs w:val="32"/>
                  </w:rPr>
                </w:rPrChange>
              </w:rPr>
              <w:t>行政执法部门</w:t>
            </w:r>
          </w:p>
        </w:tc>
      </w:tr>
      <w:tr w14:paraId="12DD8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7" w:type="dxa"/>
            <w:shd w:val="clear" w:color="auto" w:fill="auto"/>
            <w:vAlign w:val="center"/>
          </w:tcPr>
          <w:p w14:paraId="55E73E9B">
            <w:pPr>
              <w:widowControl/>
              <w:spacing w:beforeLines="0" w:afterLines="0" w:line="600" w:lineRule="exact"/>
              <w:ind w:firstLine="0" w:firstLineChars="0"/>
              <w:jc w:val="center"/>
              <w:textAlignment w:val="center"/>
              <w:rPr>
                <w:rFonts w:ascii="仿宋_GB2312" w:cs="仿宋_GB2312"/>
                <w:kern w:val="0"/>
                <w:szCs w:val="32"/>
                <w:highlight w:val="none"/>
              </w:rPr>
            </w:pPr>
            <w:r>
              <w:rPr>
                <w:rFonts w:hint="eastAsia" w:ascii="仿宋_GB2312" w:cs="仿宋_GB2312"/>
                <w:kern w:val="0"/>
                <w:szCs w:val="32"/>
                <w:highlight w:val="none"/>
              </w:rPr>
              <w:t>廊坊市信用平台管理</w:t>
            </w:r>
          </w:p>
        </w:tc>
        <w:tc>
          <w:tcPr>
            <w:tcW w:w="4531" w:type="dxa"/>
            <w:shd w:val="clear" w:color="auto" w:fill="auto"/>
            <w:vAlign w:val="center"/>
          </w:tcPr>
          <w:p w14:paraId="364CAF71">
            <w:pPr>
              <w:widowControl/>
              <w:spacing w:beforeLines="0" w:afterLines="0" w:line="600" w:lineRule="exact"/>
              <w:ind w:firstLine="0" w:firstLineChars="0"/>
              <w:jc w:val="left"/>
              <w:textAlignment w:val="center"/>
              <w:rPr>
                <w:rFonts w:ascii="仿宋_GB2312" w:cs="仿宋_GB2312"/>
                <w:kern w:val="0"/>
                <w:szCs w:val="32"/>
                <w:highlight w:val="none"/>
              </w:rPr>
            </w:pPr>
            <w:r>
              <w:rPr>
                <w:rFonts w:hint="eastAsia" w:ascii="仿宋_GB2312" w:cs="仿宋_GB2312"/>
                <w:kern w:val="0"/>
                <w:szCs w:val="32"/>
                <w:highlight w:val="none"/>
              </w:rPr>
              <w:t>社会主体</w:t>
            </w:r>
            <w:r>
              <w:rPr>
                <w:rFonts w:hint="eastAsia" w:ascii="仿宋_GB2312" w:cs="仿宋_GB2312"/>
                <w:kern w:val="0"/>
                <w:szCs w:val="32"/>
                <w:highlight w:val="none"/>
                <w:lang w:val="en-US" w:eastAsia="zh-CN"/>
              </w:rPr>
              <w:t>信用</w:t>
            </w:r>
            <w:r>
              <w:rPr>
                <w:rFonts w:hint="eastAsia" w:ascii="仿宋_GB2312" w:cs="仿宋_GB2312"/>
                <w:kern w:val="0"/>
                <w:szCs w:val="32"/>
                <w:highlight w:val="none"/>
              </w:rPr>
              <w:t>数据</w:t>
            </w:r>
          </w:p>
        </w:tc>
        <w:tc>
          <w:tcPr>
            <w:tcW w:w="3382" w:type="dxa"/>
            <w:shd w:val="clear" w:color="auto" w:fill="auto"/>
            <w:vAlign w:val="center"/>
          </w:tcPr>
          <w:p w14:paraId="4FFC2114">
            <w:pPr>
              <w:widowControl/>
              <w:spacing w:beforeLines="0" w:afterLines="0" w:line="600" w:lineRule="exact"/>
              <w:ind w:firstLine="0" w:firstLineChars="0"/>
              <w:jc w:val="center"/>
              <w:textAlignment w:val="center"/>
              <w:rPr>
                <w:rFonts w:ascii="仿宋_GB2312" w:cs="仿宋_GB2312"/>
                <w:kern w:val="0"/>
                <w:szCs w:val="32"/>
                <w:highlight w:val="none"/>
              </w:rPr>
            </w:pPr>
            <w:r>
              <w:rPr>
                <w:rFonts w:hint="eastAsia" w:ascii="仿宋_GB2312" w:cs="仿宋_GB2312"/>
                <w:kern w:val="0"/>
                <w:szCs w:val="32"/>
                <w:highlight w:val="none"/>
              </w:rPr>
              <w:t>数据局</w:t>
            </w:r>
          </w:p>
        </w:tc>
      </w:tr>
      <w:tr w14:paraId="2B41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7" w:type="dxa"/>
            <w:shd w:val="clear" w:color="auto" w:fill="auto"/>
            <w:vAlign w:val="center"/>
          </w:tcPr>
          <w:p w14:paraId="153426D4">
            <w:pPr>
              <w:widowControl/>
              <w:spacing w:beforeLines="0" w:afterLines="0" w:line="600" w:lineRule="exact"/>
              <w:ind w:firstLine="0" w:firstLineChars="0"/>
              <w:jc w:val="center"/>
              <w:textAlignment w:val="center"/>
              <w:rPr>
                <w:rFonts w:ascii="仿宋_GB2312" w:cs="仿宋_GB2312"/>
                <w:kern w:val="0"/>
                <w:szCs w:val="32"/>
                <w:highlight w:val="none"/>
              </w:rPr>
            </w:pPr>
            <w:r>
              <w:rPr>
                <w:rFonts w:hint="eastAsia" w:ascii="仿宋_GB2312" w:cs="仿宋_GB2312"/>
                <w:kern w:val="0"/>
                <w:szCs w:val="32"/>
                <w:highlight w:val="none"/>
              </w:rPr>
              <w:t>执法台账数据</w:t>
            </w:r>
          </w:p>
        </w:tc>
        <w:tc>
          <w:tcPr>
            <w:tcW w:w="4531" w:type="dxa"/>
            <w:shd w:val="clear" w:color="auto" w:fill="auto"/>
            <w:vAlign w:val="center"/>
          </w:tcPr>
          <w:p w14:paraId="67E0236E">
            <w:pPr>
              <w:widowControl/>
              <w:spacing w:beforeLines="0" w:afterLines="0" w:line="600" w:lineRule="exact"/>
              <w:ind w:firstLine="0" w:firstLineChars="0"/>
              <w:jc w:val="left"/>
              <w:textAlignment w:val="center"/>
              <w:rPr>
                <w:rFonts w:ascii="仿宋_GB2312" w:cs="仿宋_GB2312"/>
                <w:kern w:val="0"/>
                <w:szCs w:val="32"/>
                <w:highlight w:val="none"/>
              </w:rPr>
            </w:pPr>
            <w:r>
              <w:rPr>
                <w:rFonts w:hint="eastAsia" w:ascii="仿宋_GB2312" w:cs="仿宋_GB2312"/>
                <w:kern w:val="0"/>
                <w:szCs w:val="32"/>
                <w:highlight w:val="none"/>
              </w:rPr>
              <w:t>执法机构、人员、车辆、执法装备等数据</w:t>
            </w:r>
          </w:p>
        </w:tc>
        <w:tc>
          <w:tcPr>
            <w:tcW w:w="3382" w:type="dxa"/>
            <w:shd w:val="clear" w:color="auto" w:fill="auto"/>
            <w:vAlign w:val="center"/>
          </w:tcPr>
          <w:p w14:paraId="4482EB2D">
            <w:pPr>
              <w:widowControl/>
              <w:spacing w:beforeLines="0" w:afterLines="0" w:line="600" w:lineRule="exact"/>
              <w:ind w:firstLine="0" w:firstLineChars="0"/>
              <w:jc w:val="center"/>
              <w:textAlignment w:val="center"/>
              <w:rPr>
                <w:rFonts w:ascii="仿宋_GB2312" w:cs="仿宋_GB2312"/>
                <w:kern w:val="0"/>
                <w:szCs w:val="32"/>
                <w:highlight w:val="none"/>
              </w:rPr>
            </w:pPr>
            <w:r>
              <w:rPr>
                <w:rFonts w:hint="eastAsia" w:ascii="仿宋_GB2312" w:cs="仿宋_GB2312"/>
                <w:kern w:val="0"/>
                <w:szCs w:val="32"/>
                <w:highlight w:val="none"/>
              </w:rPr>
              <w:t>行政执法部门</w:t>
            </w:r>
          </w:p>
        </w:tc>
      </w:tr>
    </w:tbl>
    <w:p w14:paraId="7A12CE06">
      <w:pPr>
        <w:pStyle w:val="7"/>
        <w:numPr>
          <w:ilvl w:val="3"/>
          <w:numId w:val="0"/>
        </w:numPr>
        <w:spacing w:before="0" w:beforeLines="0" w:after="0" w:afterLines="0" w:line="600" w:lineRule="exact"/>
        <w:ind w:left="0" w:leftChars="0" w:firstLine="643" w:firstLineChars="200"/>
        <w:rPr>
          <w:rFonts w:hint="eastAsia" w:ascii="方正仿宋_GB2312" w:hAnsi="方正仿宋_GB2312" w:eastAsia="方正仿宋_GB2312" w:cs="方正仿宋_GB2312"/>
          <w:szCs w:val="32"/>
          <w:highlight w:val="none"/>
        </w:rPr>
      </w:pPr>
      <w:r>
        <w:rPr>
          <w:rFonts w:hint="eastAsia" w:ascii="方正仿宋_GB2312" w:hAnsi="方正仿宋_GB2312" w:eastAsia="方正仿宋_GB2312" w:cs="方正仿宋_GB2312"/>
          <w:b/>
          <w:bCs/>
          <w:kern w:val="2"/>
          <w:sz w:val="32"/>
          <w:szCs w:val="32"/>
          <w:highlight w:val="none"/>
          <w:lang w:val="en-US" w:eastAsia="zh-CN" w:bidi="ar-SA"/>
        </w:rPr>
        <w:t>3.3.3.2系统可提供</w:t>
      </w:r>
      <w:r>
        <w:rPr>
          <w:rFonts w:hint="eastAsia" w:ascii="方正仿宋_GB2312" w:hAnsi="方正仿宋_GB2312" w:eastAsia="方正仿宋_GB2312" w:cs="方正仿宋_GB2312"/>
          <w:szCs w:val="32"/>
          <w:highlight w:val="none"/>
        </w:rPr>
        <w:t>共享</w:t>
      </w:r>
      <w:r>
        <w:rPr>
          <w:rFonts w:hint="eastAsia" w:ascii="方正仿宋_GB2312" w:hAnsi="方正仿宋_GB2312" w:eastAsia="方正仿宋_GB2312" w:cs="方正仿宋_GB2312"/>
          <w:szCs w:val="32"/>
          <w:highlight w:val="none"/>
          <w:lang w:val="en-US" w:eastAsia="zh-CN"/>
        </w:rPr>
        <w:t>的</w:t>
      </w:r>
      <w:r>
        <w:rPr>
          <w:rFonts w:hint="eastAsia" w:ascii="方正仿宋_GB2312" w:hAnsi="方正仿宋_GB2312" w:eastAsia="方正仿宋_GB2312" w:cs="方正仿宋_GB2312"/>
          <w:szCs w:val="32"/>
          <w:highlight w:val="none"/>
        </w:rPr>
        <w:t>数据资源</w:t>
      </w:r>
    </w:p>
    <w:p w14:paraId="18D25885">
      <w:pPr>
        <w:spacing w:beforeLines="0" w:afterLines="0" w:line="600" w:lineRule="exact"/>
        <w:ind w:firstLine="643"/>
        <w:rPr>
          <w:rFonts w:ascii="仿宋_GB2312"/>
          <w:highlight w:val="none"/>
        </w:rPr>
      </w:pPr>
      <w:r>
        <w:rPr>
          <w:rFonts w:hint="eastAsia" w:ascii="仿宋_GB2312"/>
          <w:highlight w:val="none"/>
        </w:rPr>
        <w:t>根据业务应用逻辑分析，基于项目需求所涉及数据的采集、传输、利用等整个流程，描述项目需求的数据管理、数据整合和数据服务等相关内容；描述项目建设是否支持信息共享和业务协同等。</w:t>
      </w:r>
    </w:p>
    <w:p w14:paraId="2D338B77">
      <w:pPr>
        <w:spacing w:beforeLines="0" w:afterLines="0" w:line="600" w:lineRule="exact"/>
        <w:ind w:firstLine="643"/>
        <w:rPr>
          <w:rFonts w:ascii="仿宋_GB2312"/>
          <w:highlight w:val="none"/>
        </w:rPr>
      </w:pPr>
      <w:bookmarkStart w:id="31" w:name="_Toc108882798"/>
      <w:r>
        <w:rPr>
          <w:rFonts w:hint="eastAsia" w:ascii="仿宋_GB2312"/>
          <w:highlight w:val="none"/>
        </w:rPr>
        <w:t>横向部门数据共享</w:t>
      </w:r>
      <w:bookmarkEnd w:id="31"/>
      <w:r>
        <w:rPr>
          <w:rFonts w:hint="eastAsia" w:ascii="仿宋_GB2312"/>
          <w:highlight w:val="none"/>
        </w:rPr>
        <w:t>，按照《国家发展改革委、中央网信办关于印发&lt;政务信息资源目录编制指南（试行）的通知&gt;》（发改高技〔2017〕1272号）要求，以服务接口方式与相关部门进行数据共享服务对接，通过相关业务系统之间的数据交换和共享廊坊市规范入企行政执法系统产生的数据。</w:t>
      </w:r>
    </w:p>
    <w:p w14:paraId="16D5512C">
      <w:pPr>
        <w:spacing w:beforeLines="0" w:afterLines="0" w:line="600" w:lineRule="exact"/>
        <w:ind w:firstLine="643"/>
        <w:rPr>
          <w:rFonts w:ascii="仿宋_GB2312"/>
          <w:highlight w:val="none"/>
        </w:rPr>
      </w:pPr>
      <w:bookmarkStart w:id="32" w:name="_Toc108882800"/>
      <w:r>
        <w:rPr>
          <w:rFonts w:hint="eastAsia" w:ascii="仿宋_GB2312"/>
          <w:highlight w:val="none"/>
        </w:rPr>
        <w:t>信息共享目录</w:t>
      </w:r>
      <w:bookmarkEnd w:id="32"/>
      <w:r>
        <w:rPr>
          <w:rFonts w:hint="eastAsia" w:ascii="仿宋_GB2312"/>
          <w:highlight w:val="none"/>
        </w:rPr>
        <w:t>，按照《国家发展改革委、中央网信办关于印发&lt;政务信息资源目录编制指南（试行）&gt;》的通知要求编制。</w:t>
      </w:r>
    </w:p>
    <w:p w14:paraId="2072D95A">
      <w:pPr>
        <w:spacing w:beforeLines="0" w:afterLines="0" w:line="600" w:lineRule="exact"/>
        <w:ind w:firstLine="643"/>
        <w:rPr>
          <w:rFonts w:hint="eastAsia" w:ascii="仿宋_GB2312"/>
          <w:highlight w:val="none"/>
        </w:rPr>
      </w:pPr>
      <w:r>
        <w:rPr>
          <w:rFonts w:hint="eastAsia" w:ascii="仿宋_GB2312"/>
          <w:highlight w:val="none"/>
        </w:rPr>
        <w:t>依托电子政务外网，本项目基于电子政务外网建设的数据共享接口与上级平台、市级横向各行政执法部门平台实现互联互通和资源共享。</w:t>
      </w:r>
    </w:p>
    <w:p w14:paraId="1DB27E3A">
      <w:pPr>
        <w:spacing w:beforeLines="0" w:afterLines="0" w:line="600" w:lineRule="exact"/>
        <w:ind w:firstLine="643"/>
        <w:rPr>
          <w:rFonts w:ascii="仿宋_GB2312"/>
          <w:highlight w:val="none"/>
        </w:rPr>
      </w:pPr>
      <w:r>
        <w:rPr>
          <w:rFonts w:hint="eastAsia" w:ascii="仿宋_GB2312"/>
          <w:highlight w:val="none"/>
        </w:rPr>
        <w:t>本项目</w:t>
      </w:r>
      <w:r>
        <w:rPr>
          <w:rFonts w:hint="eastAsia" w:ascii="仿宋_GB2312"/>
          <w:highlight w:val="none"/>
          <w:lang w:val="en-US" w:eastAsia="zh-CN"/>
        </w:rPr>
        <w:t>设计需</w:t>
      </w:r>
      <w:r>
        <w:rPr>
          <w:rFonts w:hint="eastAsia" w:ascii="仿宋_GB2312"/>
          <w:highlight w:val="none"/>
        </w:rPr>
        <w:t>将大力推进数据资源共享建设，原则上能共享即实现共享。</w:t>
      </w:r>
    </w:p>
    <w:p w14:paraId="7C263133">
      <w:pPr>
        <w:pStyle w:val="4"/>
        <w:numPr>
          <w:ilvl w:val="2"/>
          <w:numId w:val="0"/>
        </w:numPr>
        <w:rPr>
          <w:rFonts w:hint="eastAsia" w:ascii="仿宋_GB2312" w:hAnsi="仿宋_GB2312" w:cs="仿宋_GB2312"/>
          <w:szCs w:val="32"/>
          <w:highlight w:val="none"/>
        </w:rPr>
      </w:pPr>
      <w:r>
        <w:rPr>
          <w:rFonts w:hint="default" w:ascii="仿宋_GB2312" w:hAnsi="仿宋_GB2312" w:eastAsia="仿宋_GB2312" w:cs="仿宋_GB2312"/>
          <w:b/>
          <w:bCs/>
          <w:kern w:val="2"/>
          <w:sz w:val="32"/>
          <w:szCs w:val="32"/>
          <w:highlight w:val="none"/>
          <w:lang w:val="en-US" w:eastAsia="zh-CN" w:bidi="ar-SA"/>
        </w:rPr>
        <w:t>3.3.4.</w:t>
      </w:r>
      <w:r>
        <w:rPr>
          <w:rFonts w:hint="eastAsia" w:ascii="仿宋_GB2312" w:hAnsi="仿宋_GB2312" w:cs="仿宋_GB2312"/>
          <w:szCs w:val="32"/>
          <w:highlight w:val="none"/>
        </w:rPr>
        <w:t>共性能力平台需求</w:t>
      </w:r>
    </w:p>
    <w:p w14:paraId="256FDB31">
      <w:pPr>
        <w:spacing w:beforeLines="0" w:afterLines="0" w:line="600" w:lineRule="exact"/>
        <w:ind w:firstLine="643"/>
        <w:rPr>
          <w:rFonts w:ascii="仿宋_GB2312"/>
          <w:highlight w:val="none"/>
        </w:rPr>
      </w:pPr>
      <w:r>
        <w:rPr>
          <w:rFonts w:hint="eastAsia" w:ascii="仿宋_GB2312"/>
          <w:highlight w:val="none"/>
        </w:rPr>
        <w:t>考虑到廊坊市规范入企行政执法系统构建和未来使用过程中遇到的技术不确定性和政策变化、政务体制变动带来的政策风险，及需要满足多业务部门使用的配置灵活性。需要搭建一套共性能力平台，并在平台的基础上搭建规范入企行政执法系统平台，实现对执法办案业务流程的全自定义，以适配乡镇、街道及各执法部门的实际业务流程及后期变化的流程。共性能力平台需求如下：</w:t>
      </w:r>
    </w:p>
    <w:p w14:paraId="0B08C3F6">
      <w:pPr>
        <w:numPr>
          <w:ilvl w:val="-1"/>
          <w:numId w:val="0"/>
        </w:numPr>
        <w:spacing w:beforeLines="0" w:afterLines="0" w:line="600" w:lineRule="exact"/>
        <w:ind w:left="0" w:firstLine="643" w:firstLineChars="0"/>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lang w:val="en-US" w:eastAsia="zh-CN"/>
        </w:rPr>
        <w:t>1.</w:t>
      </w:r>
      <w:r>
        <w:rPr>
          <w:rFonts w:hint="eastAsia" w:ascii="方正仿宋_GB2312" w:hAnsi="方正仿宋_GB2312" w:eastAsia="方正仿宋_GB2312" w:cs="方正仿宋_GB2312"/>
          <w:highlight w:val="none"/>
        </w:rPr>
        <w:t>系统需支持用户信息管理、统一鉴权管理、角色管理、权限管理、组织机构管理等通用模块组件功能。构建多租户体系，支持多个租户在同一平台上独立运行，互不干扰。</w:t>
      </w:r>
    </w:p>
    <w:p w14:paraId="494114E4">
      <w:pPr>
        <w:numPr>
          <w:ilvl w:val="-1"/>
          <w:numId w:val="0"/>
        </w:numPr>
        <w:spacing w:beforeLines="0" w:afterLines="0" w:line="600" w:lineRule="exact"/>
        <w:ind w:left="0" w:firstLine="643" w:firstLineChars="0"/>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lang w:val="en-US" w:eastAsia="zh-CN"/>
        </w:rPr>
        <w:t>2.</w:t>
      </w:r>
      <w:r>
        <w:rPr>
          <w:rFonts w:hint="eastAsia" w:ascii="方正仿宋_GB2312" w:hAnsi="方正仿宋_GB2312" w:eastAsia="方正仿宋_GB2312" w:cs="方正仿宋_GB2312"/>
          <w:highlight w:val="none"/>
        </w:rPr>
        <w:t>需要支持用户自定义执法办案业务流程、自定义案件各阶段审批流程、自定义每个案件流程的字段、自定义文书模板等</w:t>
      </w:r>
    </w:p>
    <w:p w14:paraId="7E96FCFE">
      <w:pPr>
        <w:numPr>
          <w:ilvl w:val="-1"/>
          <w:numId w:val="0"/>
        </w:numPr>
        <w:spacing w:beforeLines="0" w:afterLines="0" w:line="600" w:lineRule="exact"/>
        <w:ind w:left="0" w:firstLine="643" w:firstLineChars="0"/>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lang w:val="en-US" w:eastAsia="zh-CN"/>
        </w:rPr>
        <w:t>3.</w:t>
      </w:r>
      <w:r>
        <w:rPr>
          <w:rFonts w:hint="eastAsia" w:ascii="方正仿宋_GB2312" w:hAnsi="方正仿宋_GB2312" w:eastAsia="方正仿宋_GB2312" w:cs="方正仿宋_GB2312"/>
          <w:highlight w:val="none"/>
        </w:rPr>
        <w:t>需支持工作台自定义功能，将根据用户的特点和需求，提供个性化的办公界面和功能。</w:t>
      </w:r>
    </w:p>
    <w:p w14:paraId="21B08E13">
      <w:pPr>
        <w:numPr>
          <w:ilvl w:val="-1"/>
          <w:numId w:val="0"/>
        </w:numPr>
        <w:spacing w:beforeLines="0" w:afterLines="0" w:line="600" w:lineRule="exact"/>
        <w:ind w:left="0" w:firstLine="643" w:firstLineChars="0"/>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lang w:val="en-US" w:eastAsia="zh-CN"/>
        </w:rPr>
        <w:t>4.</w:t>
      </w:r>
      <w:r>
        <w:rPr>
          <w:rFonts w:hint="eastAsia" w:ascii="方正仿宋_GB2312" w:hAnsi="方正仿宋_GB2312" w:eastAsia="方正仿宋_GB2312" w:cs="方正仿宋_GB2312"/>
          <w:highlight w:val="none"/>
        </w:rPr>
        <w:t>系统应支持UI快速开发库的建立，使开发者能够更</w:t>
      </w:r>
      <w:r>
        <w:rPr>
          <w:rFonts w:hint="eastAsia" w:ascii="方正仿宋_GB2312" w:hAnsi="方正仿宋_GB2312" w:eastAsia="方正仿宋_GB2312" w:cs="方正仿宋_GB2312"/>
          <w:highlight w:val="none"/>
        </w:rPr>
        <w:t>快速、更便捷地开发出满足需求的用户界面。</w:t>
      </w:r>
    </w:p>
    <w:p w14:paraId="31CE31F6">
      <w:pPr>
        <w:numPr>
          <w:ilvl w:val="-1"/>
          <w:numId w:val="0"/>
        </w:numPr>
        <w:spacing w:beforeLines="0" w:afterLines="0" w:line="600" w:lineRule="exact"/>
        <w:ind w:left="0" w:firstLine="643" w:firstLineChars="0"/>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lang w:val="en-US" w:eastAsia="zh-CN"/>
        </w:rPr>
        <w:t>5.整体设计需体现数据中台理念，搭建一个灵活快速应对变化的架构，主要功能需设计成可跨系统调用的模块（中间件）。</w:t>
      </w:r>
    </w:p>
    <w:p w14:paraId="453AE06C">
      <w:pPr>
        <w:pStyle w:val="4"/>
        <w:numPr>
          <w:ilvl w:val="2"/>
          <w:numId w:val="0"/>
        </w:numPr>
        <w:spacing w:before="0" w:beforeLines="0" w:after="0" w:afterLines="0" w:line="600" w:lineRule="exact"/>
        <w:ind w:left="0" w:leftChars="0" w:firstLine="643" w:firstLineChars="200"/>
        <w:rPr>
          <w:rFonts w:ascii="仿宋_GB2312"/>
          <w:highlight w:val="none"/>
        </w:rPr>
      </w:pPr>
      <w:bookmarkStart w:id="33" w:name="_Toc7192"/>
      <w:r>
        <w:rPr>
          <w:rFonts w:hint="eastAsia" w:ascii="仿宋_GB2312" w:hAnsi="仿宋_GB2312" w:eastAsia="仿宋_GB2312" w:cs="仿宋_GB2312"/>
          <w:b/>
          <w:bCs/>
          <w:kern w:val="2"/>
          <w:sz w:val="32"/>
          <w:szCs w:val="32"/>
          <w:highlight w:val="none"/>
          <w:lang w:val="en-US" w:eastAsia="zh-CN" w:bidi="ar-SA"/>
        </w:rPr>
        <w:t>3.3.5</w:t>
      </w:r>
      <w:r>
        <w:rPr>
          <w:rFonts w:hint="eastAsia" w:ascii="仿宋_GB2312"/>
          <w:highlight w:val="none"/>
        </w:rPr>
        <w:t>系统性能需求</w:t>
      </w:r>
      <w:bookmarkEnd w:id="28"/>
      <w:bookmarkEnd w:id="33"/>
    </w:p>
    <w:p w14:paraId="42CD0F7B">
      <w:pPr>
        <w:pStyle w:val="7"/>
        <w:numPr>
          <w:ilvl w:val="3"/>
          <w:numId w:val="0"/>
        </w:numPr>
        <w:spacing w:before="0" w:beforeLines="0" w:after="0" w:afterLines="0" w:line="600" w:lineRule="exact"/>
        <w:ind w:left="0" w:leftChars="0" w:firstLine="643" w:firstLineChars="200"/>
        <w:rPr>
          <w:rFonts w:ascii="仿宋_GB2312" w:cs="仿宋_GB2312"/>
          <w:szCs w:val="32"/>
          <w:highlight w:val="none"/>
        </w:rPr>
      </w:pPr>
      <w:bookmarkStart w:id="34" w:name="_Toc66782179"/>
      <w:bookmarkStart w:id="35" w:name="_Toc10494"/>
      <w:r>
        <w:rPr>
          <w:rFonts w:hint="default" w:ascii="仿宋_GB2312" w:hAnsi="仿宋_GB2312" w:eastAsia="仿宋_GB2312" w:cs="仿宋_GB2312"/>
          <w:b/>
          <w:bCs/>
          <w:kern w:val="2"/>
          <w:sz w:val="32"/>
          <w:szCs w:val="32"/>
          <w:highlight w:val="none"/>
          <w:lang w:val="en-US" w:eastAsia="zh-CN" w:bidi="ar-SA"/>
        </w:rPr>
        <w:t>3.3.5.1</w:t>
      </w:r>
      <w:r>
        <w:rPr>
          <w:rFonts w:hint="eastAsia" w:ascii="仿宋_GB2312" w:cs="仿宋_GB2312"/>
          <w:szCs w:val="32"/>
          <w:highlight w:val="none"/>
        </w:rPr>
        <w:t>总体性能指标需求</w:t>
      </w:r>
      <w:bookmarkEnd w:id="34"/>
      <w:bookmarkEnd w:id="35"/>
    </w:p>
    <w:p w14:paraId="7EC7CFFB">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系统寿命≥10年；</w:t>
      </w:r>
    </w:p>
    <w:p w14:paraId="2EF2451B">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支持并发终端数≥200；</w:t>
      </w:r>
    </w:p>
    <w:p w14:paraId="53D90DCE">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系统控制操作响应时间≤2s；</w:t>
      </w:r>
    </w:p>
    <w:p w14:paraId="0AC0F8E0">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数据浏览响应时间≤2s；</w:t>
      </w:r>
    </w:p>
    <w:p w14:paraId="429E4A44">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一般数据查询响应时间≤4s；</w:t>
      </w:r>
    </w:p>
    <w:p w14:paraId="0EA55E35">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大数据分析处理时间≤20s；</w:t>
      </w:r>
    </w:p>
    <w:p w14:paraId="215047F2">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统计输出时间≤5s；</w:t>
      </w:r>
    </w:p>
    <w:p w14:paraId="0AEA9C86">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负载均衡/热备用切换时间≤25s；</w:t>
      </w:r>
    </w:p>
    <w:p w14:paraId="55DA619C">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系统峰值响应速度，并发处理用户≥200人；</w:t>
      </w:r>
    </w:p>
    <w:p w14:paraId="3E93659A">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当系统处理能力不足时，可通过增加相应的节点和处理能力来实现系统处理能力的动态增长。</w:t>
      </w:r>
    </w:p>
    <w:p w14:paraId="3F0CF425">
      <w:pPr>
        <w:pStyle w:val="7"/>
        <w:numPr>
          <w:ilvl w:val="3"/>
          <w:numId w:val="0"/>
        </w:numPr>
        <w:spacing w:before="0" w:beforeLines="0" w:after="0" w:afterLines="0" w:line="600" w:lineRule="exact"/>
        <w:ind w:left="0" w:leftChars="0" w:firstLine="643" w:firstLineChars="200"/>
        <w:rPr>
          <w:rFonts w:ascii="仿宋_GB2312" w:cs="仿宋_GB2312"/>
          <w:szCs w:val="32"/>
          <w:highlight w:val="none"/>
        </w:rPr>
      </w:pPr>
      <w:bookmarkStart w:id="36" w:name="_Toc66782180"/>
      <w:bookmarkStart w:id="37" w:name="_Toc32444"/>
      <w:r>
        <w:rPr>
          <w:rFonts w:hint="default" w:ascii="仿宋_GB2312" w:hAnsi="仿宋_GB2312" w:eastAsia="仿宋_GB2312" w:cs="仿宋_GB2312"/>
          <w:b/>
          <w:bCs/>
          <w:kern w:val="2"/>
          <w:sz w:val="32"/>
          <w:szCs w:val="32"/>
          <w:highlight w:val="none"/>
          <w:lang w:val="en-US" w:eastAsia="zh-CN" w:bidi="ar-SA"/>
        </w:rPr>
        <w:t>3.3.5.2</w:t>
      </w:r>
      <w:r>
        <w:rPr>
          <w:rFonts w:hint="eastAsia" w:ascii="仿宋_GB2312" w:cs="仿宋_GB2312"/>
          <w:szCs w:val="32"/>
          <w:highlight w:val="none"/>
        </w:rPr>
        <w:t>数据质量性能需求</w:t>
      </w:r>
      <w:bookmarkEnd w:id="36"/>
      <w:bookmarkEnd w:id="37"/>
    </w:p>
    <w:p w14:paraId="1D0E0C29">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基础数据标准化是信息化系统建设的重要工作之一，建立集中、规范统一的基础数据标准，是保证信息化系统正常运行的前提条件，所有数据都需要规范化处理，形成标准统一、数据规范；</w:t>
      </w:r>
    </w:p>
    <w:p w14:paraId="69E7E4FA">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大数据分析展示系统应及时、准确、完整的获取实时信息，能满足应用系统大数据处理及分析等要求。</w:t>
      </w:r>
    </w:p>
    <w:p w14:paraId="3352DFC2">
      <w:pPr>
        <w:pStyle w:val="7"/>
        <w:numPr>
          <w:ilvl w:val="3"/>
          <w:numId w:val="0"/>
        </w:numPr>
        <w:spacing w:before="0" w:beforeLines="0" w:after="0" w:afterLines="0" w:line="600" w:lineRule="exact"/>
        <w:ind w:left="0" w:leftChars="0" w:firstLine="643" w:firstLineChars="200"/>
        <w:rPr>
          <w:rFonts w:ascii="仿宋_GB2312" w:cs="仿宋_GB2312"/>
          <w:szCs w:val="32"/>
          <w:highlight w:val="none"/>
        </w:rPr>
      </w:pPr>
      <w:bookmarkStart w:id="38" w:name="_Toc12782"/>
      <w:bookmarkStart w:id="39" w:name="_Toc66782181"/>
      <w:r>
        <w:rPr>
          <w:rFonts w:hint="default" w:ascii="仿宋_GB2312" w:hAnsi="仿宋_GB2312" w:eastAsia="仿宋_GB2312" w:cs="仿宋_GB2312"/>
          <w:b/>
          <w:bCs/>
          <w:kern w:val="2"/>
          <w:sz w:val="32"/>
          <w:szCs w:val="32"/>
          <w:highlight w:val="none"/>
          <w:lang w:val="en-US" w:eastAsia="zh-CN" w:bidi="ar-SA"/>
        </w:rPr>
        <w:t>3.3.5.3</w:t>
      </w:r>
      <w:r>
        <w:rPr>
          <w:rFonts w:hint="eastAsia" w:ascii="仿宋_GB2312" w:cs="仿宋_GB2312"/>
          <w:szCs w:val="32"/>
          <w:highlight w:val="none"/>
        </w:rPr>
        <w:t>应用系统性能需求</w:t>
      </w:r>
      <w:bookmarkEnd w:id="38"/>
      <w:bookmarkEnd w:id="39"/>
    </w:p>
    <w:p w14:paraId="67A50C43">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应用系统性能应满足用户的要求，稳定、可靠、实用。一般要求对于用户的一次普通点击，响应速度不应超2秒；对可能涉及到海量查询的操作，一般要求系统响应速度不应超过3秒；对相对复杂的统计分析操作，一般要求系统响应速度不应超过5秒。允许最大并发用户数不低于300；</w:t>
      </w:r>
    </w:p>
    <w:p w14:paraId="40DF588C">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系统采用便于升级的模块化设计，包括采用软件升级来简化系统扩展和修改，模块组合可以根据需要进行选择。人机界面友好，输出、输入方便，图表生成美观，检索、查询简单快捷。</w:t>
      </w:r>
    </w:p>
    <w:p w14:paraId="2E383338">
      <w:pPr>
        <w:pStyle w:val="7"/>
        <w:numPr>
          <w:ilvl w:val="3"/>
          <w:numId w:val="0"/>
        </w:numPr>
        <w:spacing w:before="0" w:beforeLines="0" w:after="0" w:afterLines="0" w:line="600" w:lineRule="exact"/>
        <w:ind w:left="0" w:leftChars="0" w:firstLine="643" w:firstLineChars="200"/>
        <w:rPr>
          <w:rFonts w:ascii="仿宋_GB2312" w:cs="仿宋_GB2312"/>
          <w:szCs w:val="32"/>
          <w:highlight w:val="none"/>
        </w:rPr>
      </w:pPr>
      <w:bookmarkStart w:id="40" w:name="_Toc66782182"/>
      <w:bookmarkStart w:id="41" w:name="_Toc29763"/>
      <w:r>
        <w:rPr>
          <w:rFonts w:hint="default" w:ascii="仿宋_GB2312" w:hAnsi="仿宋_GB2312" w:eastAsia="仿宋_GB2312" w:cs="仿宋_GB2312"/>
          <w:b/>
          <w:bCs/>
          <w:kern w:val="2"/>
          <w:sz w:val="32"/>
          <w:szCs w:val="32"/>
          <w:highlight w:val="none"/>
          <w:lang w:val="en-US" w:eastAsia="zh-CN" w:bidi="ar-SA"/>
        </w:rPr>
        <w:t>3.3.5.4</w:t>
      </w:r>
      <w:r>
        <w:rPr>
          <w:rFonts w:hint="eastAsia" w:ascii="仿宋_GB2312" w:cs="仿宋_GB2312"/>
          <w:szCs w:val="32"/>
          <w:highlight w:val="none"/>
        </w:rPr>
        <w:t>系统响应时间需求</w:t>
      </w:r>
      <w:bookmarkEnd w:id="40"/>
      <w:bookmarkEnd w:id="41"/>
    </w:p>
    <w:p w14:paraId="35941795">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从一个用户角度讲，一般性操作最长不超过5秒；系统响应时间≤3秒；</w:t>
      </w:r>
    </w:p>
    <w:p w14:paraId="4BC72CD8">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当用户做一些处理时间较长的操作时，能给出提示信息提醒用户。在返回数据量过大导致响应时间过长时，能提供部分响应，例如分页取数据等，减少操作人员等待的时间。</w:t>
      </w:r>
    </w:p>
    <w:p w14:paraId="0B5F3764">
      <w:pPr>
        <w:pStyle w:val="7"/>
        <w:numPr>
          <w:ilvl w:val="3"/>
          <w:numId w:val="0"/>
        </w:numPr>
        <w:spacing w:before="0" w:beforeLines="0" w:after="0" w:afterLines="0" w:line="600" w:lineRule="exact"/>
        <w:ind w:left="0" w:leftChars="0" w:firstLine="643" w:firstLineChars="200"/>
        <w:rPr>
          <w:rFonts w:ascii="仿宋_GB2312" w:cs="仿宋_GB2312"/>
          <w:szCs w:val="32"/>
          <w:highlight w:val="none"/>
        </w:rPr>
      </w:pPr>
      <w:bookmarkStart w:id="42" w:name="_Toc66782183"/>
      <w:bookmarkStart w:id="43" w:name="_Toc28150"/>
      <w:r>
        <w:rPr>
          <w:rFonts w:hint="default" w:ascii="仿宋_GB2312" w:hAnsi="仿宋_GB2312" w:eastAsia="仿宋_GB2312" w:cs="仿宋_GB2312"/>
          <w:b/>
          <w:bCs/>
          <w:kern w:val="2"/>
          <w:sz w:val="32"/>
          <w:szCs w:val="32"/>
          <w:highlight w:val="none"/>
          <w:lang w:val="en-US" w:eastAsia="zh-CN" w:bidi="ar-SA"/>
        </w:rPr>
        <w:t>3.3.5.5</w:t>
      </w:r>
      <w:r>
        <w:rPr>
          <w:rFonts w:hint="eastAsia" w:ascii="仿宋_GB2312" w:cs="仿宋_GB2312"/>
          <w:szCs w:val="32"/>
          <w:highlight w:val="none"/>
        </w:rPr>
        <w:t>系统稳定性需求</w:t>
      </w:r>
      <w:bookmarkEnd w:id="42"/>
      <w:bookmarkEnd w:id="43"/>
    </w:p>
    <w:p w14:paraId="10B7A913">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整个系统能够连续7×24小时不间断工作，不会因系统资源的耗尽而停机；</w:t>
      </w:r>
    </w:p>
    <w:p w14:paraId="1BF81F82">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系统要保证数据的一致性，完整性，准确性要求达到99.99%；</w:t>
      </w:r>
    </w:p>
    <w:p w14:paraId="7BB6FC21">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对人工输入的数据以及来自不同接口的数据进行合法性检查，确保流程的通畅性，并且能够对错误数据进行自动纠错处理；</w:t>
      </w:r>
    </w:p>
    <w:p w14:paraId="164C6140">
      <w:pPr>
        <w:numPr>
          <w:ilvl w:val="0"/>
          <w:numId w:val="3"/>
        </w:numPr>
        <w:spacing w:beforeLines="0" w:afterLines="0" w:line="600" w:lineRule="exact"/>
        <w:ind w:left="0" w:firstLine="640" w:firstLineChars="200"/>
        <w:rPr>
          <w:rFonts w:ascii="仿宋_GB2312" w:cs="仿宋_GB2312"/>
          <w:szCs w:val="32"/>
          <w:highlight w:val="none"/>
        </w:rPr>
      </w:pPr>
      <w:r>
        <w:rPr>
          <w:rFonts w:hint="eastAsia" w:ascii="仿宋_GB2312" w:cs="仿宋_GB2312"/>
          <w:szCs w:val="32"/>
          <w:highlight w:val="none"/>
        </w:rPr>
        <w:t>必须有数据存储备份，在更换平台时保证应用系统的平滑过渡。</w:t>
      </w:r>
    </w:p>
    <w:p w14:paraId="3CCEF2BA">
      <w:pPr>
        <w:pStyle w:val="4"/>
        <w:numPr>
          <w:ilvl w:val="2"/>
          <w:numId w:val="0"/>
        </w:numPr>
        <w:spacing w:before="0" w:beforeLines="0" w:after="0" w:afterLines="0" w:line="600" w:lineRule="exact"/>
        <w:ind w:left="0" w:leftChars="0" w:firstLine="643" w:firstLineChars="200"/>
        <w:rPr>
          <w:rFonts w:ascii="仿宋_GB2312"/>
          <w:highlight w:val="none"/>
        </w:rPr>
      </w:pPr>
      <w:bookmarkStart w:id="44" w:name="_Toc12559"/>
      <w:bookmarkStart w:id="45" w:name="_Toc867"/>
      <w:bookmarkStart w:id="46" w:name="_Toc967"/>
      <w:r>
        <w:rPr>
          <w:rFonts w:hint="eastAsia" w:ascii="仿宋_GB2312" w:hAnsi="仿宋_GB2312" w:eastAsia="仿宋_GB2312" w:cs="仿宋_GB2312"/>
          <w:b/>
          <w:bCs/>
          <w:kern w:val="2"/>
          <w:sz w:val="32"/>
          <w:szCs w:val="32"/>
          <w:highlight w:val="none"/>
          <w:lang w:val="en-US" w:eastAsia="zh-CN" w:bidi="ar-SA"/>
        </w:rPr>
        <w:t>3.3.6</w:t>
      </w:r>
      <w:r>
        <w:rPr>
          <w:rFonts w:hint="eastAsia" w:ascii="仿宋_GB2312"/>
          <w:highlight w:val="none"/>
        </w:rPr>
        <w:t>系统安全性需求</w:t>
      </w:r>
      <w:bookmarkEnd w:id="44"/>
      <w:bookmarkEnd w:id="45"/>
      <w:bookmarkEnd w:id="46"/>
    </w:p>
    <w:p w14:paraId="0F3FD0A2">
      <w:pPr>
        <w:spacing w:beforeLines="0" w:afterLines="0" w:line="600" w:lineRule="exact"/>
        <w:ind w:firstLine="643"/>
        <w:rPr>
          <w:rFonts w:ascii="仿宋_GB2312"/>
          <w:highlight w:val="none"/>
        </w:rPr>
      </w:pPr>
      <w:r>
        <w:rPr>
          <w:rFonts w:hint="eastAsia" w:ascii="仿宋_GB2312"/>
          <w:highlight w:val="none"/>
        </w:rPr>
        <w:t>为保障廊坊市规范入企行政执法系统建设的稳定性和安全性，新建设信息化系统应在物理安全、网络安全、主机安全、应用安全、数据安全、安全管理等方面满足相关建设要求。</w:t>
      </w:r>
    </w:p>
    <w:p w14:paraId="735B289B">
      <w:pPr>
        <w:pStyle w:val="7"/>
        <w:numPr>
          <w:ilvl w:val="3"/>
          <w:numId w:val="0"/>
        </w:numPr>
        <w:spacing w:before="0" w:beforeLines="0" w:after="0" w:afterLines="0" w:line="600" w:lineRule="exact"/>
        <w:ind w:left="0" w:leftChars="0" w:firstLine="643" w:firstLineChars="200"/>
        <w:rPr>
          <w:rFonts w:ascii="仿宋_GB2312" w:cs="仿宋_GB2312"/>
          <w:szCs w:val="32"/>
          <w:highlight w:val="none"/>
        </w:rPr>
      </w:pPr>
      <w:bookmarkStart w:id="47" w:name="_Toc652"/>
      <w:bookmarkStart w:id="48" w:name="_Toc24037"/>
      <w:r>
        <w:rPr>
          <w:rFonts w:hint="default" w:ascii="仿宋_GB2312" w:hAnsi="仿宋_GB2312" w:eastAsia="仿宋_GB2312" w:cs="仿宋_GB2312"/>
          <w:b/>
          <w:bCs/>
          <w:kern w:val="2"/>
          <w:sz w:val="32"/>
          <w:szCs w:val="32"/>
          <w:highlight w:val="none"/>
          <w:lang w:val="en-US" w:eastAsia="zh-CN" w:bidi="ar-SA"/>
        </w:rPr>
        <w:t>3.3.6.1</w:t>
      </w:r>
      <w:r>
        <w:rPr>
          <w:rFonts w:hint="eastAsia" w:ascii="仿宋_GB2312" w:cs="仿宋_GB2312"/>
          <w:szCs w:val="32"/>
          <w:highlight w:val="none"/>
        </w:rPr>
        <w:t>安全保护等级需求</w:t>
      </w:r>
      <w:bookmarkEnd w:id="47"/>
      <w:bookmarkEnd w:id="48"/>
    </w:p>
    <w:p w14:paraId="722C2B77">
      <w:pPr>
        <w:spacing w:beforeLines="0" w:afterLines="0" w:line="600" w:lineRule="exact"/>
        <w:ind w:firstLine="643"/>
        <w:rPr>
          <w:rFonts w:ascii="仿宋_GB2312"/>
          <w:highlight w:val="none"/>
        </w:rPr>
      </w:pPr>
      <w:r>
        <w:rPr>
          <w:rFonts w:hint="eastAsia" w:ascii="仿宋_GB2312"/>
          <w:highlight w:val="none"/>
        </w:rPr>
        <w:t>本项目安全保护等级按《信息安全技术网络安全等级保护基本要求》GB/T22239中的第三级，所提供的云平台需满足等保三级要求，同时还需通过等保三级测评及商用密码安全性评估。</w:t>
      </w:r>
    </w:p>
    <w:p w14:paraId="3BE963E7">
      <w:pPr>
        <w:pStyle w:val="7"/>
        <w:numPr>
          <w:ilvl w:val="3"/>
          <w:numId w:val="0"/>
        </w:numPr>
        <w:spacing w:before="0" w:beforeLines="0" w:after="0" w:afterLines="0" w:line="600" w:lineRule="exact"/>
        <w:ind w:left="0" w:leftChars="0" w:firstLine="643" w:firstLineChars="200"/>
        <w:rPr>
          <w:rFonts w:ascii="仿宋_GB2312" w:cs="仿宋_GB2312"/>
          <w:szCs w:val="32"/>
          <w:highlight w:val="none"/>
        </w:rPr>
      </w:pPr>
      <w:bookmarkStart w:id="49" w:name="_Toc22014"/>
      <w:bookmarkStart w:id="50" w:name="_Toc15107"/>
      <w:r>
        <w:rPr>
          <w:rFonts w:hint="default" w:ascii="仿宋_GB2312" w:hAnsi="仿宋_GB2312" w:eastAsia="仿宋_GB2312" w:cs="仿宋_GB2312"/>
          <w:b/>
          <w:bCs/>
          <w:kern w:val="2"/>
          <w:sz w:val="32"/>
          <w:szCs w:val="32"/>
          <w:highlight w:val="none"/>
          <w:lang w:val="en-US" w:eastAsia="zh-CN" w:bidi="ar-SA"/>
        </w:rPr>
        <w:t>3.3.6.2</w:t>
      </w:r>
      <w:r>
        <w:rPr>
          <w:rFonts w:hint="eastAsia" w:ascii="仿宋_GB2312" w:cs="仿宋_GB2312"/>
          <w:szCs w:val="32"/>
          <w:highlight w:val="none"/>
        </w:rPr>
        <w:t>系统安全风险需求</w:t>
      </w:r>
      <w:bookmarkEnd w:id="49"/>
      <w:bookmarkEnd w:id="50"/>
    </w:p>
    <w:p w14:paraId="0DA8282C">
      <w:pPr>
        <w:spacing w:beforeLines="0" w:afterLines="0" w:line="600" w:lineRule="exact"/>
        <w:ind w:firstLine="643"/>
        <w:rPr>
          <w:rFonts w:ascii="仿宋_GB2312"/>
          <w:highlight w:val="none"/>
        </w:rPr>
      </w:pPr>
      <w:r>
        <w:rPr>
          <w:rFonts w:hint="eastAsia" w:ascii="仿宋_GB2312"/>
          <w:highlight w:val="none"/>
        </w:rPr>
        <w:t>按照《网络安全等级保护基本要求》GB/T22239-2019、《网络安全等级保护安全设计技术要求》GB/T25070-2019和《网络安全等级保护测评要求》GB/T28448-2019等信息系统安全保护等级保护和涉及国家秘密的信息系统分级保护相关技术要求，系统在安全方面存在的脆弱性和面临的威胁，如非法入侵、数据丢失、病毒传播、信息泄密等。</w:t>
      </w:r>
    </w:p>
    <w:p w14:paraId="0499957F">
      <w:pPr>
        <w:pStyle w:val="4"/>
        <w:numPr>
          <w:ilvl w:val="2"/>
          <w:numId w:val="0"/>
        </w:numPr>
        <w:spacing w:before="0" w:beforeLines="0" w:after="0" w:afterLines="0" w:line="600" w:lineRule="exact"/>
        <w:ind w:left="0" w:leftChars="0" w:firstLine="643" w:firstLineChars="200"/>
        <w:rPr>
          <w:rFonts w:ascii="仿宋_GB2312"/>
          <w:highlight w:val="none"/>
        </w:rPr>
      </w:pPr>
      <w:bookmarkStart w:id="51" w:name="_Toc17053"/>
      <w:r>
        <w:rPr>
          <w:rFonts w:hint="eastAsia" w:ascii="仿宋_GB2312" w:hAnsi="仿宋_GB2312" w:eastAsia="仿宋_GB2312" w:cs="仿宋_GB2312"/>
          <w:b/>
          <w:bCs/>
          <w:kern w:val="2"/>
          <w:sz w:val="32"/>
          <w:szCs w:val="32"/>
          <w:highlight w:val="none"/>
          <w:lang w:val="en-US" w:eastAsia="zh-CN" w:bidi="ar-SA"/>
        </w:rPr>
        <w:t>3.3.7</w:t>
      </w:r>
      <w:r>
        <w:rPr>
          <w:rFonts w:hint="eastAsia" w:ascii="仿宋_GB2312"/>
          <w:highlight w:val="none"/>
        </w:rPr>
        <w:t>系统维护需求</w:t>
      </w:r>
    </w:p>
    <w:p w14:paraId="01078FD4">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为保障廊坊市规范入企行政执法系统平台的稳定运行与使用，需提供完整的持续服务内容。服务内容应包括驻场服务、本地服务、在线服务和培训服务。</w:t>
      </w:r>
    </w:p>
    <w:p w14:paraId="032DBB90">
      <w:pPr>
        <w:pStyle w:val="7"/>
        <w:numPr>
          <w:ilvl w:val="3"/>
          <w:numId w:val="0"/>
        </w:numPr>
        <w:spacing w:before="0" w:beforeLines="0" w:after="0" w:afterLines="0" w:line="600" w:lineRule="exact"/>
        <w:ind w:left="0" w:leftChars="0" w:firstLine="643" w:firstLineChars="200"/>
        <w:rPr>
          <w:rFonts w:ascii="仿宋_GB2312"/>
          <w:highlight w:val="none"/>
        </w:rPr>
      </w:pPr>
      <w:r>
        <w:rPr>
          <w:rFonts w:hint="default" w:ascii="仿宋_GB2312" w:hAnsi="仿宋_GB2312" w:eastAsia="仿宋_GB2312" w:cs="仿宋_GB2312"/>
          <w:b/>
          <w:bCs/>
          <w:kern w:val="2"/>
          <w:sz w:val="32"/>
          <w:szCs w:val="32"/>
          <w:highlight w:val="none"/>
          <w:lang w:val="en-US" w:eastAsia="zh-CN" w:bidi="ar-SA"/>
        </w:rPr>
        <w:t>3.3.7.1</w:t>
      </w:r>
      <w:r>
        <w:rPr>
          <w:rFonts w:hint="eastAsia" w:ascii="仿宋_GB2312"/>
          <w:highlight w:val="none"/>
        </w:rPr>
        <w:t>驻场服务</w:t>
      </w:r>
    </w:p>
    <w:p w14:paraId="3F02060A">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提供不少于2名驻场人员服务，负责系统的日常运营、维护和技术支持。</w:t>
      </w:r>
    </w:p>
    <w:p w14:paraId="179DBFA5">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系统监控：提供系统监控服务，确保及时发现并处理任何潜在问题。</w:t>
      </w:r>
    </w:p>
    <w:p w14:paraId="7422EF4A">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即时响应：对于系统突发故障或紧急需求，能够迅速响应并解决问题。</w:t>
      </w:r>
    </w:p>
    <w:p w14:paraId="3E763990">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深度维护：定期进行系统巡检、性能优化、安全加固等深度维护工作。</w:t>
      </w:r>
    </w:p>
    <w:p w14:paraId="351AB087">
      <w:pPr>
        <w:spacing w:beforeLines="0" w:afterLines="0" w:line="600" w:lineRule="exact"/>
        <w:ind w:firstLine="640" w:firstLineChars="200"/>
        <w:rPr>
          <w:rFonts w:hint="eastAsia" w:ascii="仿宋_GB2312" w:cs="仿宋_GB2312"/>
          <w:szCs w:val="32"/>
          <w:highlight w:val="none"/>
        </w:rPr>
      </w:pPr>
      <w:r>
        <w:rPr>
          <w:rFonts w:hint="eastAsia" w:ascii="仿宋_GB2312" w:cs="仿宋_GB2312"/>
          <w:szCs w:val="32"/>
          <w:highlight w:val="none"/>
        </w:rPr>
        <w:t>现场协调：与内部团队紧密合作，协调解决跨部门的系统问题。</w:t>
      </w:r>
    </w:p>
    <w:p w14:paraId="6664ACFA">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法律法规库更新：定期更新法律法规库，保障平台引用数据有效性。</w:t>
      </w:r>
    </w:p>
    <w:p w14:paraId="2B24C05B">
      <w:pPr>
        <w:pStyle w:val="7"/>
        <w:numPr>
          <w:ilvl w:val="3"/>
          <w:numId w:val="0"/>
        </w:numPr>
        <w:spacing w:before="0" w:beforeLines="0" w:after="0" w:afterLines="0" w:line="600" w:lineRule="exact"/>
        <w:ind w:left="0" w:leftChars="0" w:firstLine="643" w:firstLineChars="200"/>
        <w:rPr>
          <w:rFonts w:ascii="仿宋_GB2312"/>
          <w:highlight w:val="none"/>
        </w:rPr>
      </w:pPr>
      <w:r>
        <w:rPr>
          <w:rFonts w:hint="default" w:ascii="仿宋_GB2312" w:hAnsi="仿宋_GB2312" w:eastAsia="仿宋_GB2312" w:cs="仿宋_GB2312"/>
          <w:b/>
          <w:bCs/>
          <w:kern w:val="2"/>
          <w:sz w:val="32"/>
          <w:szCs w:val="32"/>
          <w:highlight w:val="none"/>
          <w:lang w:val="en-US" w:eastAsia="zh-CN" w:bidi="ar-SA"/>
        </w:rPr>
        <w:t>3.3.7.2</w:t>
      </w:r>
      <w:r>
        <w:rPr>
          <w:rFonts w:hint="eastAsia" w:ascii="仿宋_GB2312"/>
          <w:highlight w:val="none"/>
        </w:rPr>
        <w:t>本地服务</w:t>
      </w:r>
    </w:p>
    <w:p w14:paraId="6CAAB906">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提供不少于5名的本地服务团队，团队人员应具有丰富经验和专业技能的技术，便于快速响应服务需求和现场支持。</w:t>
      </w:r>
    </w:p>
    <w:p w14:paraId="013D10AD">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快速响应：由于地理位置接近，能够快速到达现场处理紧急情况。</w:t>
      </w:r>
    </w:p>
    <w:p w14:paraId="2C4A8654">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定期巡检：定期安排技术人员到客户现场进行巡检，预防潜在问题。</w:t>
      </w:r>
    </w:p>
    <w:p w14:paraId="1AD9DF30">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定制化服务：根据具体需求，提供定制化的运维解决方案。</w:t>
      </w:r>
    </w:p>
    <w:p w14:paraId="4A5AFD7F">
      <w:pPr>
        <w:pStyle w:val="7"/>
        <w:numPr>
          <w:ilvl w:val="3"/>
          <w:numId w:val="0"/>
        </w:numPr>
        <w:spacing w:before="0" w:beforeLines="0" w:after="0" w:afterLines="0" w:line="600" w:lineRule="exact"/>
        <w:ind w:left="0" w:leftChars="0" w:firstLine="643" w:firstLineChars="200"/>
        <w:rPr>
          <w:rFonts w:ascii="仿宋_GB2312"/>
          <w:highlight w:val="none"/>
        </w:rPr>
      </w:pPr>
      <w:r>
        <w:rPr>
          <w:rFonts w:hint="default" w:ascii="仿宋_GB2312" w:hAnsi="仿宋_GB2312" w:eastAsia="仿宋_GB2312" w:cs="仿宋_GB2312"/>
          <w:b/>
          <w:bCs/>
          <w:kern w:val="2"/>
          <w:sz w:val="32"/>
          <w:szCs w:val="32"/>
          <w:highlight w:val="none"/>
          <w:lang w:val="en-US" w:eastAsia="zh-CN" w:bidi="ar-SA"/>
        </w:rPr>
        <w:t>3.3.7.3</w:t>
      </w:r>
      <w:r>
        <w:rPr>
          <w:rFonts w:hint="eastAsia" w:ascii="仿宋_GB2312"/>
          <w:highlight w:val="none"/>
        </w:rPr>
        <w:t>在线服务</w:t>
      </w:r>
    </w:p>
    <w:p w14:paraId="637583DA">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提供7 x 24小时在线服务，包括不限于远程连接、电话、电子邮件或即时通讯等方式，保障系统的稳定运行。</w:t>
      </w:r>
    </w:p>
    <w:p w14:paraId="4BB0F223">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远程监控：利用远程监控工具实时监控系统状态，及时发现并处理问题。</w:t>
      </w:r>
    </w:p>
    <w:p w14:paraId="4E2D4583">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远程修复：通过远程连接，对系统进行故障诊断和修复。</w:t>
      </w:r>
    </w:p>
    <w:p w14:paraId="1BC92295">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在线支持：提供7 x 24小时的在线技术支持，解答系统相关疑问。</w:t>
      </w:r>
    </w:p>
    <w:p w14:paraId="442A5959">
      <w:pPr>
        <w:pStyle w:val="7"/>
        <w:numPr>
          <w:ilvl w:val="3"/>
          <w:numId w:val="0"/>
        </w:numPr>
        <w:spacing w:before="0" w:beforeLines="0" w:after="0" w:afterLines="0" w:line="600" w:lineRule="exact"/>
        <w:ind w:left="0" w:leftChars="0" w:firstLine="643" w:firstLineChars="200"/>
        <w:rPr>
          <w:rFonts w:ascii="仿宋_GB2312"/>
          <w:highlight w:val="none"/>
        </w:rPr>
      </w:pPr>
      <w:r>
        <w:rPr>
          <w:rFonts w:hint="default" w:ascii="仿宋_GB2312" w:hAnsi="仿宋_GB2312" w:eastAsia="仿宋_GB2312" w:cs="仿宋_GB2312"/>
          <w:b/>
          <w:bCs/>
          <w:kern w:val="2"/>
          <w:sz w:val="32"/>
          <w:szCs w:val="32"/>
          <w:highlight w:val="none"/>
          <w:lang w:val="en-US" w:eastAsia="zh-CN" w:bidi="ar-SA"/>
        </w:rPr>
        <w:t>3.3.7.4</w:t>
      </w:r>
      <w:r>
        <w:rPr>
          <w:rFonts w:hint="eastAsia" w:ascii="仿宋_GB2312"/>
          <w:highlight w:val="none"/>
        </w:rPr>
        <w:t>培训服务</w:t>
      </w:r>
    </w:p>
    <w:p w14:paraId="5F9F96B2">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提供定期的系统培训服务，包括系统说明、使用及运维相关的培训课程，提升使用者的技术能力和运维水平。</w:t>
      </w:r>
    </w:p>
    <w:p w14:paraId="79FAA213">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定制化课程：根据实际需求，设计并提供定制化的培训课程。</w:t>
      </w:r>
    </w:p>
    <w:p w14:paraId="4F71395C">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实战演练：通过模拟真实场景，让学员在实践中掌握运维技能。</w:t>
      </w:r>
    </w:p>
    <w:p w14:paraId="7F6DC54F">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持续支持：培训结束后，提供持续的技术支持和答疑服务。</w:t>
      </w:r>
    </w:p>
    <w:p w14:paraId="7F8BB8B8">
      <w:pPr>
        <w:pStyle w:val="4"/>
        <w:numPr>
          <w:ilvl w:val="2"/>
          <w:numId w:val="0"/>
        </w:numPr>
        <w:spacing w:before="0" w:beforeLines="0" w:after="0" w:afterLines="0" w:line="600" w:lineRule="exact"/>
        <w:ind w:left="0" w:leftChars="0" w:firstLine="643" w:firstLineChars="200"/>
        <w:rPr>
          <w:rFonts w:ascii="仿宋_GB2312"/>
          <w:highlight w:val="none"/>
        </w:rPr>
      </w:pPr>
      <w:r>
        <w:rPr>
          <w:rFonts w:hint="eastAsia" w:ascii="仿宋_GB2312" w:hAnsi="仿宋_GB2312" w:eastAsia="仿宋_GB2312" w:cs="仿宋_GB2312"/>
          <w:b/>
          <w:bCs/>
          <w:kern w:val="2"/>
          <w:sz w:val="32"/>
          <w:szCs w:val="32"/>
          <w:highlight w:val="none"/>
          <w:lang w:val="en-US" w:eastAsia="zh-CN" w:bidi="ar-SA"/>
        </w:rPr>
        <w:t>3.3.8</w:t>
      </w:r>
      <w:r>
        <w:rPr>
          <w:rFonts w:hint="eastAsia" w:ascii="仿宋_GB2312"/>
          <w:highlight w:val="none"/>
        </w:rPr>
        <w:t>网络安全建设需求</w:t>
      </w:r>
      <w:bookmarkEnd w:id="51"/>
    </w:p>
    <w:p w14:paraId="38C7BDDA">
      <w:pPr>
        <w:keepNext w:val="0"/>
        <w:keepLines w:val="0"/>
        <w:widowControl/>
        <w:numPr>
          <w:ilvl w:val="-1"/>
          <w:numId w:val="0"/>
        </w:numPr>
        <w:suppressLineNumbers w:val="0"/>
        <w:spacing w:before="0" w:beforeAutospacing="1" w:after="0" w:afterAutospacing="1"/>
        <w:ind w:left="0" w:leftChars="0" w:firstLine="0" w:firstLineChars="0"/>
        <w:rPr>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highlight w:val="none"/>
        </w:rPr>
        <w:t>本项目部署在政务网按照三级等保要求，需要部署防火墙、入侵检测系统、上网行为管理、WAF、堡垒机、日志审计、网管、数据库审计等网络安全防护系统，以提高软件本身的安全性。</w:t>
      </w:r>
    </w:p>
    <w:bookmarkEnd w:id="29"/>
    <w:p w14:paraId="009CAAFA">
      <w:pPr>
        <w:pStyle w:val="4"/>
        <w:numPr>
          <w:ilvl w:val="2"/>
          <w:numId w:val="0"/>
        </w:numPr>
        <w:spacing w:before="0" w:beforeLines="0" w:after="0" w:afterLines="0" w:line="600" w:lineRule="exact"/>
        <w:ind w:left="0" w:leftChars="0" w:firstLine="643" w:firstLineChars="200"/>
        <w:rPr>
          <w:rFonts w:ascii="仿宋_GB2312"/>
          <w:highlight w:val="none"/>
        </w:rPr>
      </w:pPr>
      <w:bookmarkStart w:id="52" w:name="_Toc23398"/>
      <w:bookmarkStart w:id="53" w:name="_Toc15565"/>
      <w:r>
        <w:rPr>
          <w:rFonts w:hint="eastAsia" w:ascii="仿宋_GB2312" w:hAnsi="仿宋_GB2312" w:eastAsia="仿宋_GB2312" w:cs="仿宋_GB2312"/>
          <w:b/>
          <w:bCs/>
          <w:kern w:val="2"/>
          <w:sz w:val="32"/>
          <w:szCs w:val="32"/>
          <w:highlight w:val="none"/>
          <w:lang w:val="en-US" w:eastAsia="zh-CN" w:bidi="ar-SA"/>
        </w:rPr>
        <w:t>3.3.9</w:t>
      </w:r>
      <w:r>
        <w:rPr>
          <w:rFonts w:hint="eastAsia" w:ascii="仿宋_GB2312"/>
          <w:highlight w:val="none"/>
        </w:rPr>
        <w:t>业务量</w:t>
      </w:r>
      <w:bookmarkEnd w:id="52"/>
      <w:r>
        <w:rPr>
          <w:rFonts w:hint="eastAsia" w:ascii="仿宋_GB2312"/>
          <w:highlight w:val="none"/>
        </w:rPr>
        <w:t>预估</w:t>
      </w:r>
      <w:bookmarkEnd w:id="53"/>
    </w:p>
    <w:p w14:paraId="76AC4C88">
      <w:pPr>
        <w:pStyle w:val="7"/>
        <w:numPr>
          <w:ilvl w:val="3"/>
          <w:numId w:val="0"/>
        </w:numPr>
        <w:tabs>
          <w:tab w:val="left" w:pos="420"/>
        </w:tabs>
        <w:spacing w:before="0" w:beforeLines="0" w:after="0" w:afterLines="0" w:line="600" w:lineRule="exact"/>
        <w:ind w:left="0" w:leftChars="0" w:firstLine="643" w:firstLineChars="200"/>
        <w:rPr>
          <w:rFonts w:ascii="仿宋_GB2312" w:cs="仿宋_GB2312"/>
          <w:szCs w:val="32"/>
          <w:highlight w:val="none"/>
        </w:rPr>
      </w:pPr>
      <w:r>
        <w:rPr>
          <w:rFonts w:hint="default" w:ascii="仿宋_GB2312" w:hAnsi="仿宋_GB2312" w:eastAsia="仿宋_GB2312" w:cs="仿宋_GB2312"/>
          <w:b/>
          <w:bCs/>
          <w:kern w:val="2"/>
          <w:sz w:val="32"/>
          <w:szCs w:val="32"/>
          <w:highlight w:val="none"/>
          <w:lang w:val="en-US" w:eastAsia="zh-CN" w:bidi="ar-SA"/>
        </w:rPr>
        <w:t>3.3.9.1</w:t>
      </w:r>
      <w:r>
        <w:rPr>
          <w:rFonts w:hint="eastAsia" w:ascii="仿宋_GB2312" w:cs="仿宋_GB2312"/>
          <w:szCs w:val="32"/>
          <w:highlight w:val="none"/>
        </w:rPr>
        <w:t>结构化业务数据预估</w:t>
      </w:r>
    </w:p>
    <w:p w14:paraId="1496C877">
      <w:pPr>
        <w:spacing w:beforeLines="0" w:afterLines="0" w:line="600" w:lineRule="exact"/>
        <w:ind w:firstLine="643"/>
        <w:rPr>
          <w:rFonts w:ascii="仿宋_GB2312"/>
          <w:highlight w:val="none"/>
        </w:rPr>
      </w:pPr>
      <w:r>
        <w:rPr>
          <w:rFonts w:hint="eastAsia" w:ascii="仿宋_GB2312"/>
          <w:highlight w:val="none"/>
        </w:rPr>
        <w:t>廊坊市规范入企行政执法系统主要包括工单数据、日常办公、监管数据采集以及信息查看业务信息，数据包括检查、处置过程收集的特殊人口、企业、系统日志。其中，对于日常办公以及信息查看业务，以1000人使用该系统进行预估，平均每人产生10条数据，每条数据大小平均为10K，每年产生数据量1000*10*10KB*365/1024/1024/1024约为0.034TB。对于检查任务、工单管理业务，假设1000人使用该系统，以每天平均受理工单数量为10条，每项事项工单产生结构化数据</w:t>
      </w:r>
      <w:r>
        <w:rPr>
          <w:rFonts w:hint="eastAsia" w:ascii="仿宋_GB2312"/>
          <w:highlight w:val="none"/>
          <w:lang w:val="en-US" w:eastAsia="zh-CN"/>
        </w:rPr>
        <w:t>1</w:t>
      </w:r>
      <w:r>
        <w:rPr>
          <w:rFonts w:hint="eastAsia" w:ascii="仿宋_GB2312"/>
          <w:highlight w:val="none"/>
        </w:rPr>
        <w:t>MB，一年总数据量约为1000*10*</w:t>
      </w:r>
      <w:r>
        <w:rPr>
          <w:rFonts w:hint="eastAsia" w:ascii="仿宋_GB2312"/>
          <w:highlight w:val="none"/>
          <w:lang w:val="en-US" w:eastAsia="zh-CN"/>
        </w:rPr>
        <w:t>1</w:t>
      </w:r>
      <w:r>
        <w:rPr>
          <w:rFonts w:hint="eastAsia" w:ascii="仿宋_GB2312"/>
          <w:highlight w:val="none"/>
        </w:rPr>
        <w:t>MB*365/1024 /1024约</w:t>
      </w:r>
      <w:r>
        <w:rPr>
          <w:rFonts w:hint="eastAsia" w:ascii="仿宋_GB2312"/>
          <w:highlight w:val="none"/>
          <w:lang w:val="en-US" w:eastAsia="zh-CN"/>
        </w:rPr>
        <w:t>3.48</w:t>
      </w:r>
      <w:r>
        <w:rPr>
          <w:rFonts w:hint="eastAsia" w:ascii="仿宋_GB2312"/>
          <w:highlight w:val="none"/>
        </w:rPr>
        <w:t>TB。</w:t>
      </w:r>
    </w:p>
    <w:p w14:paraId="2A602E6C">
      <w:pPr>
        <w:pStyle w:val="7"/>
        <w:numPr>
          <w:ilvl w:val="3"/>
          <w:numId w:val="0"/>
        </w:numPr>
        <w:tabs>
          <w:tab w:val="left" w:pos="420"/>
        </w:tabs>
        <w:spacing w:before="0" w:beforeLines="0" w:after="0" w:afterLines="0" w:line="600" w:lineRule="exact"/>
        <w:ind w:left="0" w:leftChars="0" w:firstLine="643" w:firstLineChars="200"/>
        <w:rPr>
          <w:rFonts w:ascii="仿宋_GB2312" w:cs="仿宋_GB2312"/>
          <w:szCs w:val="32"/>
          <w:highlight w:val="none"/>
        </w:rPr>
      </w:pPr>
      <w:r>
        <w:rPr>
          <w:rFonts w:hint="default" w:ascii="仿宋_GB2312" w:hAnsi="仿宋_GB2312" w:eastAsia="仿宋_GB2312" w:cs="仿宋_GB2312"/>
          <w:b/>
          <w:bCs/>
          <w:kern w:val="2"/>
          <w:sz w:val="32"/>
          <w:szCs w:val="32"/>
          <w:highlight w:val="none"/>
          <w:lang w:val="en-US" w:eastAsia="zh-CN" w:bidi="ar-SA"/>
        </w:rPr>
        <w:t>3.3.9.2</w:t>
      </w:r>
      <w:r>
        <w:rPr>
          <w:rFonts w:hint="eastAsia" w:ascii="仿宋_GB2312" w:cs="仿宋_GB2312"/>
          <w:szCs w:val="32"/>
          <w:highlight w:val="none"/>
        </w:rPr>
        <w:t>非结构化业务数据</w:t>
      </w:r>
    </w:p>
    <w:p w14:paraId="3AB3B542">
      <w:pPr>
        <w:spacing w:beforeLines="0" w:afterLines="0" w:line="600" w:lineRule="exact"/>
        <w:ind w:firstLine="643"/>
        <w:rPr>
          <w:rFonts w:ascii="仿宋_GB2312"/>
          <w:highlight w:val="none"/>
        </w:rPr>
      </w:pPr>
      <w:r>
        <w:rPr>
          <w:rFonts w:hint="eastAsia" w:ascii="仿宋_GB2312"/>
          <w:highlight w:val="none"/>
        </w:rPr>
        <w:t>对于日常办公以及信息查看业务，1000</w:t>
      </w:r>
      <w:r>
        <w:rPr>
          <w:rFonts w:hint="eastAsia" w:ascii="仿宋_GB2312"/>
          <w:highlight w:val="none"/>
          <w:lang w:val="en-US" w:eastAsia="zh-CN"/>
        </w:rPr>
        <w:t>个</w:t>
      </w:r>
      <w:r>
        <w:rPr>
          <w:rFonts w:hint="eastAsia" w:ascii="仿宋_GB2312"/>
          <w:highlight w:val="none"/>
        </w:rPr>
        <w:t>办公</w:t>
      </w:r>
      <w:r>
        <w:rPr>
          <w:rFonts w:hint="eastAsia" w:ascii="仿宋_GB2312"/>
          <w:highlight w:val="none"/>
          <w:lang w:val="en-US" w:eastAsia="zh-CN"/>
        </w:rPr>
        <w:t>人员</w:t>
      </w:r>
      <w:r>
        <w:rPr>
          <w:rFonts w:hint="eastAsia" w:ascii="仿宋_GB2312"/>
          <w:highlight w:val="none"/>
        </w:rPr>
        <w:t>，</w:t>
      </w:r>
      <w:r>
        <w:rPr>
          <w:rFonts w:hint="eastAsia" w:ascii="仿宋_GB2312"/>
          <w:highlight w:val="none"/>
          <w:lang w:eastAsia="zh-CN"/>
        </w:rPr>
        <w:t>（</w:t>
      </w:r>
      <w:r>
        <w:rPr>
          <w:rFonts w:hint="eastAsia" w:ascii="仿宋_GB2312"/>
          <w:highlight w:val="none"/>
          <w:lang w:val="en-US" w:eastAsia="zh-CN"/>
        </w:rPr>
        <w:t>此处文字有错误</w:t>
      </w:r>
      <w:r>
        <w:rPr>
          <w:rFonts w:hint="eastAsia" w:ascii="仿宋_GB2312"/>
          <w:highlight w:val="none"/>
          <w:lang w:eastAsia="zh-CN"/>
        </w:rPr>
        <w:t>）</w:t>
      </w:r>
      <w:r>
        <w:rPr>
          <w:rFonts w:hint="eastAsia" w:ascii="仿宋_GB2312"/>
          <w:highlight w:val="none"/>
        </w:rPr>
        <w:t>平</w:t>
      </w:r>
      <w:r>
        <w:rPr>
          <w:rFonts w:hint="eastAsia" w:ascii="仿宋_GB2312"/>
          <w:highlight w:val="none"/>
        </w:rPr>
        <w:t>均每人产生6条非结构化数据，每条数据大小平均为3M，所以每年产生数据量1000*6*3MB*365/1024/1024约为6.27TB。</w:t>
      </w:r>
    </w:p>
    <w:p w14:paraId="00E70B56">
      <w:pPr>
        <w:spacing w:beforeLines="0" w:afterLines="0" w:line="600" w:lineRule="exact"/>
        <w:ind w:firstLine="643"/>
        <w:rPr>
          <w:rFonts w:ascii="仿宋_GB2312"/>
          <w:highlight w:val="none"/>
        </w:rPr>
      </w:pPr>
      <w:r>
        <w:rPr>
          <w:rFonts w:hint="eastAsia" w:ascii="仿宋_GB2312"/>
          <w:highlight w:val="none"/>
        </w:rPr>
        <w:t>对于执法</w:t>
      </w:r>
      <w:r>
        <w:rPr>
          <w:rFonts w:hint="eastAsia" w:ascii="仿宋_GB2312"/>
          <w:highlight w:val="none"/>
          <w:lang w:val="en-US" w:eastAsia="zh-CN"/>
        </w:rPr>
        <w:t>办案</w:t>
      </w:r>
      <w:r>
        <w:rPr>
          <w:rFonts w:hint="eastAsia" w:ascii="仿宋_GB2312"/>
          <w:highlight w:val="none"/>
        </w:rPr>
        <w:t>中收集的图片、音视频，每次受理工单生成1条非结构化数据，每天案件数1000条，单条受理工单数据的图片及音视频为20M，每年产生非结构化数据量1000*20MB*365/1024/1024约为6</w:t>
      </w:r>
      <w:r>
        <w:rPr>
          <w:rFonts w:hint="eastAsia" w:ascii="仿宋_GB2312"/>
          <w:highlight w:val="none"/>
          <w:lang w:val="en-US" w:eastAsia="zh-CN"/>
        </w:rPr>
        <w:t>.</w:t>
      </w:r>
      <w:r>
        <w:rPr>
          <w:rFonts w:hint="eastAsia" w:ascii="仿宋_GB2312"/>
          <w:highlight w:val="none"/>
        </w:rPr>
        <w:t>96TB。</w:t>
      </w:r>
    </w:p>
    <w:p w14:paraId="587F5358">
      <w:pPr>
        <w:spacing w:beforeLines="0" w:afterLines="0" w:line="600" w:lineRule="exact"/>
        <w:ind w:firstLine="643"/>
        <w:rPr>
          <w:rFonts w:ascii="仿宋_GB2312"/>
          <w:highlight w:val="none"/>
        </w:rPr>
      </w:pPr>
      <w:r>
        <w:rPr>
          <w:rFonts w:hint="eastAsia" w:ascii="仿宋_GB2312"/>
          <w:highlight w:val="none"/>
        </w:rPr>
        <w:t>对于数据采集业务，按每年系统采集企业数据400000条，单条数据的图片及文件为5M，法人证照图片及文件5M，共约（5M +5M）*400000/1024/1024约为4TB。</w:t>
      </w:r>
    </w:p>
    <w:p w14:paraId="53FA2947">
      <w:pPr>
        <w:spacing w:beforeLines="0" w:afterLines="0" w:line="600" w:lineRule="exact"/>
        <w:ind w:firstLine="643"/>
        <w:rPr>
          <w:rFonts w:ascii="仿宋_GB2312"/>
          <w:highlight w:val="none"/>
        </w:rPr>
      </w:pPr>
      <w:r>
        <w:rPr>
          <w:rFonts w:hint="eastAsia" w:ascii="仿宋_GB2312"/>
          <w:highlight w:val="none"/>
        </w:rPr>
        <w:t>其他非结构化数据包括考虑每天有1000业务会有附件上传，每次附件最大</w:t>
      </w:r>
      <w:r>
        <w:rPr>
          <w:rFonts w:hint="eastAsia" w:ascii="仿宋_GB2312"/>
          <w:highlight w:val="none"/>
          <w:lang w:val="en-US" w:eastAsia="zh-CN"/>
        </w:rPr>
        <w:t>1</w:t>
      </w:r>
      <w:r>
        <w:rPr>
          <w:rFonts w:hint="eastAsia" w:ascii="仿宋_GB2312"/>
          <w:highlight w:val="none"/>
        </w:rPr>
        <w:t>M，第一年业务非结构化数据量为</w:t>
      </w:r>
      <w:r>
        <w:rPr>
          <w:rFonts w:hint="eastAsia" w:ascii="仿宋_GB2312"/>
          <w:highlight w:val="none"/>
          <w:lang w:val="en-US" w:eastAsia="zh-CN"/>
        </w:rPr>
        <w:t>1</w:t>
      </w:r>
      <w:r>
        <w:rPr>
          <w:rFonts w:hint="eastAsia" w:ascii="仿宋_GB2312"/>
          <w:highlight w:val="none"/>
        </w:rPr>
        <w:t>M*1000*365/1024/1024≈</w:t>
      </w:r>
      <w:r>
        <w:rPr>
          <w:rFonts w:hint="eastAsia" w:ascii="仿宋_GB2312"/>
          <w:highlight w:val="none"/>
          <w:lang w:val="en-US" w:eastAsia="zh-CN"/>
        </w:rPr>
        <w:t>0.34</w:t>
      </w:r>
      <w:r>
        <w:rPr>
          <w:rFonts w:hint="eastAsia" w:ascii="仿宋_GB2312"/>
          <w:highlight w:val="none"/>
        </w:rPr>
        <w:t>TB。</w:t>
      </w:r>
    </w:p>
    <w:p w14:paraId="7B996BB7">
      <w:pPr>
        <w:spacing w:beforeLines="0" w:afterLines="0" w:line="600" w:lineRule="exact"/>
        <w:ind w:firstLine="643"/>
        <w:rPr>
          <w:rFonts w:ascii="仿宋_GB2312"/>
          <w:highlight w:val="none"/>
        </w:rPr>
      </w:pPr>
      <w:r>
        <w:rPr>
          <w:rFonts w:hint="eastAsia" w:ascii="仿宋_GB2312"/>
          <w:highlight w:val="none"/>
        </w:rPr>
        <w:t>综上所述廊坊市规范入企行政执法系统一年的结构化业务数据和非结构化数据总量预估为</w:t>
      </w:r>
      <w:r>
        <w:rPr>
          <w:rFonts w:hint="eastAsia" w:ascii="仿宋_GB2312"/>
          <w:highlight w:val="none"/>
          <w:lang w:val="en-US" w:eastAsia="zh-CN"/>
        </w:rPr>
        <w:t>21.08</w:t>
      </w:r>
      <w:r>
        <w:rPr>
          <w:rFonts w:hint="eastAsia" w:ascii="仿宋_GB2312"/>
          <w:highlight w:val="none"/>
        </w:rPr>
        <w:t>TB。</w:t>
      </w:r>
    </w:p>
    <w:p w14:paraId="3C075C35">
      <w:pPr>
        <w:pStyle w:val="7"/>
        <w:numPr>
          <w:ilvl w:val="3"/>
          <w:numId w:val="0"/>
        </w:numPr>
        <w:spacing w:before="0" w:beforeLines="0" w:after="0" w:afterLines="0" w:line="600" w:lineRule="exact"/>
        <w:ind w:left="0" w:leftChars="0" w:firstLine="643" w:firstLineChars="200"/>
        <w:rPr>
          <w:rFonts w:ascii="仿宋_GB2312" w:cs="仿宋_GB2312"/>
          <w:szCs w:val="32"/>
          <w:highlight w:val="none"/>
        </w:rPr>
      </w:pPr>
      <w:r>
        <w:rPr>
          <w:rFonts w:hint="default" w:ascii="仿宋_GB2312" w:hAnsi="仿宋_GB2312" w:eastAsia="仿宋_GB2312" w:cs="仿宋_GB2312"/>
          <w:b/>
          <w:bCs/>
          <w:kern w:val="2"/>
          <w:sz w:val="32"/>
          <w:szCs w:val="32"/>
          <w:highlight w:val="none"/>
          <w:lang w:val="en-US" w:eastAsia="zh-CN" w:bidi="ar-SA"/>
        </w:rPr>
        <w:t>3.3.9.3</w:t>
      </w:r>
      <w:r>
        <w:rPr>
          <w:rFonts w:hint="eastAsia" w:ascii="仿宋_GB2312" w:cs="仿宋_GB2312"/>
          <w:szCs w:val="32"/>
          <w:highlight w:val="none"/>
        </w:rPr>
        <w:t>历史数据迁移</w:t>
      </w:r>
    </w:p>
    <w:p w14:paraId="285D8325">
      <w:pPr>
        <w:spacing w:beforeLines="0" w:afterLines="0" w:line="600" w:lineRule="exact"/>
        <w:ind w:firstLine="643"/>
        <w:rPr>
          <w:rFonts w:ascii="仿宋_GB2312"/>
          <w:highlight w:val="none"/>
        </w:rPr>
      </w:pPr>
      <w:r>
        <w:rPr>
          <w:rFonts w:hint="eastAsia" w:ascii="仿宋_GB2312"/>
          <w:highlight w:val="none"/>
        </w:rPr>
        <w:t>本期项目建设需将原廊坊市执法案电子档案相关历史数据迁移至新平台，历史数据量约为3TB。</w:t>
      </w:r>
    </w:p>
    <w:p w14:paraId="1EEB79B1">
      <w:pPr>
        <w:pStyle w:val="3"/>
        <w:numPr>
          <w:ilvl w:val="1"/>
          <w:numId w:val="0"/>
        </w:numPr>
        <w:spacing w:before="0" w:beforeLines="0" w:after="0" w:afterLines="0" w:line="600" w:lineRule="exact"/>
        <w:ind w:left="0" w:leftChars="0" w:firstLine="643" w:firstLineChars="200"/>
        <w:rPr>
          <w:rFonts w:ascii="仿宋_GB2312" w:cs="仿宋_GB2312"/>
          <w:sz w:val="32"/>
          <w:highlight w:val="none"/>
          <w:lang w:val="zh-CN"/>
        </w:rPr>
      </w:pPr>
      <w:bookmarkStart w:id="54" w:name="_Toc8472"/>
      <w:r>
        <w:rPr>
          <w:rFonts w:hint="eastAsia" w:ascii="仿宋_GB2312" w:hAnsi="Times New Roman" w:eastAsia="仿宋_GB2312" w:cs="仿宋_GB2312"/>
          <w:b/>
          <w:bCs/>
          <w:kern w:val="2"/>
          <w:sz w:val="32"/>
          <w:szCs w:val="32"/>
          <w:highlight w:val="none"/>
          <w:lang w:val="zh-CN" w:eastAsia="zh-CN" w:bidi="ar-SA"/>
        </w:rPr>
        <w:t>3.4</w:t>
      </w:r>
      <w:r>
        <w:rPr>
          <w:rFonts w:hint="eastAsia" w:ascii="仿宋_GB2312" w:cs="仿宋_GB2312"/>
          <w:sz w:val="32"/>
          <w:highlight w:val="none"/>
        </w:rPr>
        <w:t>部署方式与共性资源使用计划</w:t>
      </w:r>
      <w:bookmarkEnd w:id="54"/>
    </w:p>
    <w:p w14:paraId="069CCF26">
      <w:pPr>
        <w:spacing w:beforeLines="0" w:afterLines="0" w:line="600" w:lineRule="exact"/>
        <w:ind w:firstLine="640" w:firstLineChars="200"/>
        <w:rPr>
          <w:rFonts w:ascii="仿宋_GB2312" w:cs="仿宋_GB2312"/>
          <w:szCs w:val="32"/>
          <w:highlight w:val="none"/>
          <w:lang w:val="zh-CN"/>
        </w:rPr>
      </w:pPr>
      <w:r>
        <w:rPr>
          <w:rFonts w:hint="eastAsia" w:ascii="仿宋_GB2312" w:cs="仿宋_GB2312"/>
          <w:szCs w:val="32"/>
          <w:highlight w:val="none"/>
        </w:rPr>
        <w:t>利用市政务云平台支撑资源集中部署。</w:t>
      </w:r>
    </w:p>
    <w:p w14:paraId="246713FF">
      <w:pPr>
        <w:pStyle w:val="3"/>
        <w:numPr>
          <w:ilvl w:val="1"/>
          <w:numId w:val="0"/>
        </w:numPr>
        <w:spacing w:before="0" w:beforeLines="0" w:after="0" w:afterLines="0" w:line="600" w:lineRule="exact"/>
        <w:ind w:left="0" w:leftChars="0" w:firstLine="643" w:firstLineChars="200"/>
        <w:rPr>
          <w:rFonts w:ascii="仿宋_GB2312" w:cs="仿宋_GB2312"/>
          <w:sz w:val="32"/>
          <w:highlight w:val="none"/>
        </w:rPr>
      </w:pPr>
      <w:bookmarkStart w:id="55" w:name="_Toc19537"/>
      <w:r>
        <w:rPr>
          <w:rFonts w:hint="eastAsia" w:ascii="仿宋_GB2312" w:hAnsi="Times New Roman" w:eastAsia="仿宋_GB2312" w:cs="仿宋_GB2312"/>
          <w:b/>
          <w:bCs/>
          <w:kern w:val="2"/>
          <w:sz w:val="32"/>
          <w:szCs w:val="32"/>
          <w:highlight w:val="none"/>
          <w:lang w:val="en-US" w:eastAsia="zh-CN" w:bidi="ar-SA"/>
        </w:rPr>
        <w:t>3.5</w:t>
      </w:r>
      <w:r>
        <w:rPr>
          <w:rFonts w:hint="eastAsia" w:ascii="仿宋_GB2312" w:cs="仿宋_GB2312"/>
          <w:sz w:val="32"/>
          <w:highlight w:val="none"/>
        </w:rPr>
        <w:t>系统现状说明</w:t>
      </w:r>
      <w:bookmarkEnd w:id="55"/>
    </w:p>
    <w:p w14:paraId="5283F594">
      <w:pPr>
        <w:spacing w:beforeLines="0" w:afterLines="0" w:line="600" w:lineRule="exact"/>
        <w:ind w:firstLine="643"/>
        <w:rPr>
          <w:rFonts w:ascii="仿宋_GB2312"/>
          <w:highlight w:val="none"/>
        </w:rPr>
      </w:pPr>
      <w:r>
        <w:rPr>
          <w:rFonts w:hint="eastAsia" w:ascii="仿宋_GB2312"/>
          <w:highlight w:val="none"/>
        </w:rPr>
        <w:t>目前我市未部署行政执法信息系统平台，行政执法案件与执法监督工作均为线下操作。</w:t>
      </w:r>
    </w:p>
    <w:p w14:paraId="4CC6546C">
      <w:pPr>
        <w:spacing w:beforeLines="0" w:afterLines="0" w:line="600" w:lineRule="exact"/>
        <w:ind w:firstLine="643"/>
        <w:rPr>
          <w:rFonts w:ascii="仿宋_GB2312" w:cs="仿宋_GB2312"/>
          <w:szCs w:val="32"/>
          <w:highlight w:val="none"/>
        </w:rPr>
      </w:pPr>
      <w:r>
        <w:rPr>
          <w:rFonts w:hint="eastAsia" w:ascii="仿宋_GB2312"/>
          <w:highlight w:val="none"/>
        </w:rPr>
        <w:t>廊坊市12345政务服务便民热线</w:t>
      </w:r>
      <w:r>
        <w:rPr>
          <w:rFonts w:hint="eastAsia" w:ascii="仿宋_GB2312" w:cs="仿宋_GB2312"/>
          <w:szCs w:val="32"/>
          <w:highlight w:val="none"/>
        </w:rPr>
        <w:t>主要受理企业和群众各类非紧急诉求，包括经济调节、市场监管、社会管理、公共服务、生态环境保护等领域的咨询、求助、投诉、举报和意见建议等。执法平台需与之对接，实现相关案件的流转反馈。</w:t>
      </w:r>
    </w:p>
    <w:p w14:paraId="24F7F879">
      <w:pPr>
        <w:pStyle w:val="23"/>
        <w:spacing w:before="0" w:beforeLines="0" w:after="0" w:afterLines="0" w:line="600" w:lineRule="exact"/>
        <w:ind w:firstLine="643"/>
        <w:rPr>
          <w:rFonts w:ascii="仿宋_GB2312" w:eastAsia="仿宋_GB2312"/>
          <w:sz w:val="32"/>
          <w:szCs w:val="32"/>
          <w:highlight w:val="none"/>
        </w:rPr>
      </w:pPr>
      <w:r>
        <w:rPr>
          <w:rFonts w:hint="eastAsia" w:ascii="仿宋_GB2312" w:eastAsia="仿宋_GB2312"/>
          <w:sz w:val="32"/>
          <w:szCs w:val="32"/>
          <w:highlight w:val="none"/>
        </w:rPr>
        <w:t>廊坊市“</w:t>
      </w:r>
      <w:r>
        <w:rPr>
          <w:rFonts w:hint="eastAsia" w:ascii="仿宋_GB2312" w:eastAsia="仿宋_GB2312"/>
          <w:sz w:val="32"/>
          <w:szCs w:val="32"/>
          <w:highlight w:val="none"/>
          <w:lang w:val="en-US" w:eastAsia="zh-CN"/>
        </w:rPr>
        <w:t>一码通城</w:t>
      </w:r>
      <w:r>
        <w:rPr>
          <w:rFonts w:hint="eastAsia" w:ascii="仿宋_GB2312" w:eastAsia="仿宋_GB2312"/>
          <w:sz w:val="32"/>
          <w:szCs w:val="32"/>
          <w:highlight w:val="none"/>
        </w:rPr>
        <w:t>”平台，可为企业生成唯一“企业码”。执法平台需通过接口对接实现“赋码”，通过将“企业码”向执法系统和小程序双向推送，融通到同一平台，实现行政执法数字化、全覆盖的闭环模式，为“阳光执法”的“扫码入企”做支撑。</w:t>
      </w:r>
    </w:p>
    <w:p w14:paraId="7084A853">
      <w:pPr>
        <w:pStyle w:val="3"/>
        <w:numPr>
          <w:ilvl w:val="1"/>
          <w:numId w:val="0"/>
        </w:numPr>
        <w:spacing w:before="0" w:beforeLines="0" w:after="0" w:afterLines="0" w:line="600" w:lineRule="exact"/>
        <w:ind w:left="0" w:leftChars="0" w:firstLine="643" w:firstLineChars="200"/>
        <w:rPr>
          <w:rFonts w:ascii="仿宋_GB2312" w:cs="仿宋_GB2312"/>
          <w:sz w:val="32"/>
          <w:highlight w:val="none"/>
        </w:rPr>
      </w:pPr>
      <w:bookmarkStart w:id="56" w:name="_Toc4167"/>
      <w:r>
        <w:rPr>
          <w:rFonts w:hint="eastAsia" w:ascii="仿宋_GB2312" w:hAnsi="Times New Roman" w:eastAsia="仿宋_GB2312" w:cs="仿宋_GB2312"/>
          <w:b/>
          <w:bCs/>
          <w:kern w:val="2"/>
          <w:sz w:val="32"/>
          <w:szCs w:val="32"/>
          <w:highlight w:val="none"/>
          <w:lang w:val="en-US" w:eastAsia="zh-CN" w:bidi="ar-SA"/>
        </w:rPr>
        <w:t>3.6</w:t>
      </w:r>
      <w:r>
        <w:rPr>
          <w:rFonts w:hint="eastAsia" w:ascii="仿宋_GB2312" w:cs="仿宋_GB2312"/>
          <w:sz w:val="32"/>
          <w:highlight w:val="none"/>
        </w:rPr>
        <w:t>与其他信息系统的交换</w:t>
      </w:r>
      <w:bookmarkEnd w:id="56"/>
    </w:p>
    <w:p w14:paraId="0CFAE791">
      <w:pPr>
        <w:pStyle w:val="23"/>
        <w:spacing w:before="0" w:beforeLines="0" w:after="0" w:afterLines="0" w:line="600" w:lineRule="exact"/>
        <w:ind w:firstLine="643"/>
        <w:rPr>
          <w:rFonts w:ascii="仿宋_GB2312" w:eastAsia="仿宋_GB2312" w:cs="仿宋_GB2312"/>
          <w:spacing w:val="0"/>
          <w:sz w:val="32"/>
          <w:szCs w:val="32"/>
          <w:highlight w:val="none"/>
        </w:rPr>
      </w:pPr>
      <w:r>
        <w:rPr>
          <w:rFonts w:hint="eastAsia" w:ascii="仿宋_GB2312" w:eastAsia="仿宋_GB2312" w:cs="仿宋_GB2312"/>
          <w:spacing w:val="0"/>
          <w:sz w:val="32"/>
          <w:szCs w:val="32"/>
          <w:highlight w:val="none"/>
        </w:rPr>
        <w:t>廊坊市规范入企执法系统对接“一码通城”企业法人库信息，“廊坊市信用平台”企业信用信息，提升行政执法的效率和准确度，推动社会信用体系的建设和完善；</w:t>
      </w:r>
    </w:p>
    <w:p w14:paraId="27F11BBB">
      <w:pPr>
        <w:pStyle w:val="23"/>
        <w:spacing w:before="0" w:beforeLines="0" w:after="0" w:afterLines="0" w:line="600" w:lineRule="exact"/>
        <w:ind w:firstLine="643"/>
        <w:rPr>
          <w:rFonts w:ascii="仿宋_GB2312" w:eastAsia="仿宋_GB2312" w:cs="仿宋_GB2312"/>
          <w:spacing w:val="0"/>
          <w:sz w:val="32"/>
          <w:szCs w:val="32"/>
          <w:highlight w:val="none"/>
        </w:rPr>
      </w:pPr>
      <w:r>
        <w:rPr>
          <w:rFonts w:hint="eastAsia" w:ascii="仿宋_GB2312" w:eastAsia="仿宋_GB2312" w:cs="仿宋_GB2312"/>
          <w:spacing w:val="0"/>
          <w:sz w:val="32"/>
          <w:szCs w:val="32"/>
          <w:highlight w:val="none"/>
        </w:rPr>
        <w:t>对接“廊坊市12345政务服务便民热线”、走访解促司法类问题，由执法通统一接收问题，并进行反馈，打造廊坊市执法问题处理的闭环流程，提升行政执法的效率；</w:t>
      </w:r>
    </w:p>
    <w:p w14:paraId="5DC2A1CE">
      <w:pPr>
        <w:pStyle w:val="23"/>
        <w:spacing w:before="0" w:beforeLines="0" w:after="0" w:afterLines="0" w:line="600" w:lineRule="exact"/>
        <w:ind w:firstLine="643"/>
        <w:rPr>
          <w:rFonts w:hint="eastAsia" w:ascii="仿宋_GB2312" w:eastAsia="仿宋_GB2312" w:cs="仿宋_GB2312"/>
          <w:spacing w:val="0"/>
          <w:sz w:val="32"/>
          <w:szCs w:val="32"/>
          <w:highlight w:val="none"/>
        </w:rPr>
      </w:pPr>
      <w:r>
        <w:rPr>
          <w:rFonts w:hint="eastAsia" w:ascii="仿宋_GB2312" w:eastAsia="仿宋_GB2312" w:cs="仿宋_GB2312"/>
          <w:spacing w:val="0"/>
          <w:sz w:val="32"/>
          <w:szCs w:val="32"/>
          <w:highlight w:val="none"/>
        </w:rPr>
        <w:t>对接“河北省行政执法公示平台”提升行政执法的透明度和公信力、提高行政执法规范性、有助于加强社会监督和公众参与，推动法治政府建设。</w:t>
      </w:r>
    </w:p>
    <w:p w14:paraId="57C4477A">
      <w:pPr>
        <w:pStyle w:val="23"/>
        <w:spacing w:before="0" w:beforeLines="0" w:after="0" w:afterLines="0" w:line="600" w:lineRule="exact"/>
        <w:ind w:firstLine="643"/>
        <w:rPr>
          <w:rFonts w:hint="default" w:ascii="仿宋_GB2312" w:eastAsia="仿宋_GB2312" w:cs="仿宋_GB2312"/>
          <w:spacing w:val="0"/>
          <w:sz w:val="32"/>
          <w:szCs w:val="32"/>
          <w:highlight w:val="none"/>
          <w:lang w:val="en-US" w:eastAsia="zh-CN"/>
        </w:rPr>
      </w:pPr>
      <w:r>
        <w:rPr>
          <w:rFonts w:hint="eastAsia" w:ascii="仿宋_GB2312" w:eastAsia="仿宋_GB2312" w:cs="仿宋_GB2312"/>
          <w:spacing w:val="0"/>
          <w:sz w:val="32"/>
          <w:szCs w:val="32"/>
          <w:highlight w:val="none"/>
          <w:lang w:val="en-US" w:eastAsia="zh-CN"/>
        </w:rPr>
        <w:t>智慧城市统一身份认证平台。</w:t>
      </w:r>
    </w:p>
    <w:p w14:paraId="6A28C9EA">
      <w:pPr>
        <w:pStyle w:val="3"/>
        <w:numPr>
          <w:ilvl w:val="1"/>
          <w:numId w:val="0"/>
        </w:numPr>
        <w:spacing w:before="0" w:beforeLines="0" w:after="0" w:afterLines="0" w:line="600" w:lineRule="exact"/>
        <w:ind w:left="0" w:leftChars="0" w:firstLine="643" w:firstLineChars="200"/>
        <w:rPr>
          <w:rFonts w:ascii="仿宋_GB2312" w:cs="仿宋_GB2312"/>
          <w:sz w:val="32"/>
          <w:highlight w:val="none"/>
        </w:rPr>
      </w:pPr>
      <w:bookmarkStart w:id="57" w:name="_Toc18868"/>
      <w:r>
        <w:rPr>
          <w:rFonts w:hint="eastAsia" w:ascii="仿宋_GB2312" w:hAnsi="Times New Roman" w:eastAsia="仿宋_GB2312" w:cs="仿宋_GB2312"/>
          <w:b/>
          <w:bCs/>
          <w:kern w:val="2"/>
          <w:sz w:val="32"/>
          <w:szCs w:val="32"/>
          <w:highlight w:val="none"/>
          <w:lang w:val="en-US" w:eastAsia="zh-CN" w:bidi="ar-SA"/>
        </w:rPr>
        <w:t>3.7</w:t>
      </w:r>
      <w:r>
        <w:rPr>
          <w:rFonts w:hint="eastAsia" w:ascii="仿宋_GB2312" w:cs="仿宋_GB2312"/>
          <w:sz w:val="32"/>
          <w:highlight w:val="none"/>
        </w:rPr>
        <w:t>数据共享交换计划</w:t>
      </w:r>
      <w:bookmarkEnd w:id="57"/>
    </w:p>
    <w:p w14:paraId="7F8B312F">
      <w:pPr>
        <w:spacing w:beforeLines="0" w:afterLines="0" w:line="600" w:lineRule="exact"/>
        <w:ind w:firstLine="640" w:firstLineChars="200"/>
        <w:rPr>
          <w:rFonts w:ascii="仿宋_GB2312" w:cs="仿宋_GB2312"/>
          <w:szCs w:val="32"/>
          <w:highlight w:val="none"/>
        </w:rPr>
      </w:pPr>
      <w:r>
        <w:rPr>
          <w:rFonts w:hint="eastAsia" w:ascii="仿宋_GB2312" w:cs="仿宋_GB2312"/>
          <w:szCs w:val="32"/>
          <w:highlight w:val="none"/>
        </w:rPr>
        <w:t>本项目建成后，可提供以下数据资源基于电子政务外网共享，数据目录清单如下：</w:t>
      </w:r>
    </w:p>
    <w:tbl>
      <w:tblPr>
        <w:tblStyle w:val="19"/>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2938"/>
        <w:gridCol w:w="2496"/>
        <w:gridCol w:w="2172"/>
        <w:gridCol w:w="732"/>
      </w:tblGrid>
      <w:tr w14:paraId="5FBC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14:paraId="7832E0BC">
            <w:pPr>
              <w:autoSpaceDE w:val="0"/>
              <w:autoSpaceDN w:val="0"/>
              <w:adjustRightInd w:val="0"/>
              <w:spacing w:beforeLines="0" w:afterLines="0" w:line="600" w:lineRule="exact"/>
              <w:ind w:firstLine="0" w:firstLineChars="0"/>
              <w:jc w:val="center"/>
              <w:rPr>
                <w:rFonts w:ascii="仿宋_GB2312" w:cs="仿宋_GB2312"/>
                <w:b/>
                <w:kern w:val="0"/>
                <w:szCs w:val="32"/>
                <w:highlight w:val="none"/>
                <w:lang w:val="zh-CN"/>
              </w:rPr>
            </w:pPr>
            <w:r>
              <w:rPr>
                <w:rFonts w:hint="eastAsia" w:ascii="仿宋_GB2312" w:cs="仿宋_GB2312"/>
                <w:b/>
                <w:kern w:val="0"/>
                <w:szCs w:val="32"/>
                <w:highlight w:val="none"/>
                <w:lang w:val="zh-CN"/>
              </w:rPr>
              <w:t>序号</w:t>
            </w:r>
          </w:p>
        </w:tc>
        <w:tc>
          <w:tcPr>
            <w:tcW w:w="2938" w:type="dxa"/>
            <w:shd w:val="clear" w:color="auto" w:fill="auto"/>
            <w:vAlign w:val="center"/>
          </w:tcPr>
          <w:p w14:paraId="092F80DD">
            <w:pPr>
              <w:autoSpaceDE w:val="0"/>
              <w:autoSpaceDN w:val="0"/>
              <w:adjustRightInd w:val="0"/>
              <w:spacing w:beforeLines="0" w:afterLines="0" w:line="600" w:lineRule="exact"/>
              <w:ind w:firstLine="0" w:firstLineChars="0"/>
              <w:jc w:val="center"/>
              <w:rPr>
                <w:rFonts w:ascii="仿宋_GB2312" w:cs="仿宋_GB2312"/>
                <w:b/>
                <w:kern w:val="0"/>
                <w:szCs w:val="32"/>
                <w:highlight w:val="none"/>
                <w:lang w:val="zh-CN"/>
              </w:rPr>
            </w:pPr>
            <w:r>
              <w:rPr>
                <w:rFonts w:hint="eastAsia" w:ascii="仿宋_GB2312" w:cs="仿宋_GB2312"/>
                <w:b/>
                <w:kern w:val="0"/>
                <w:szCs w:val="32"/>
                <w:highlight w:val="none"/>
                <w:lang w:val="zh-CN"/>
              </w:rPr>
              <w:t>拟共享资源名称</w:t>
            </w:r>
          </w:p>
        </w:tc>
        <w:tc>
          <w:tcPr>
            <w:tcW w:w="2496" w:type="dxa"/>
            <w:shd w:val="clear" w:color="auto" w:fill="auto"/>
            <w:vAlign w:val="center"/>
          </w:tcPr>
          <w:p w14:paraId="2C3D95C9">
            <w:pPr>
              <w:autoSpaceDE w:val="0"/>
              <w:autoSpaceDN w:val="0"/>
              <w:adjustRightInd w:val="0"/>
              <w:spacing w:beforeLines="0" w:afterLines="0" w:line="600" w:lineRule="exact"/>
              <w:ind w:firstLine="0" w:firstLineChars="0"/>
              <w:jc w:val="center"/>
              <w:rPr>
                <w:rFonts w:ascii="仿宋_GB2312" w:cs="仿宋_GB2312"/>
                <w:b/>
                <w:kern w:val="0"/>
                <w:szCs w:val="32"/>
                <w:highlight w:val="none"/>
                <w:lang w:val="zh-CN"/>
              </w:rPr>
            </w:pPr>
            <w:r>
              <w:rPr>
                <w:rFonts w:hint="eastAsia" w:ascii="仿宋_GB2312" w:cs="仿宋_GB2312"/>
                <w:b/>
                <w:kern w:val="0"/>
                <w:szCs w:val="32"/>
                <w:highlight w:val="none"/>
                <w:lang w:val="zh-CN"/>
              </w:rPr>
              <w:t>信息资源提供方</w:t>
            </w:r>
          </w:p>
        </w:tc>
        <w:tc>
          <w:tcPr>
            <w:tcW w:w="2172" w:type="dxa"/>
            <w:shd w:val="clear" w:color="auto" w:fill="auto"/>
            <w:vAlign w:val="center"/>
          </w:tcPr>
          <w:p w14:paraId="179ED10A">
            <w:pPr>
              <w:autoSpaceDE w:val="0"/>
              <w:autoSpaceDN w:val="0"/>
              <w:adjustRightInd w:val="0"/>
              <w:spacing w:beforeLines="0" w:afterLines="0" w:line="600" w:lineRule="exact"/>
              <w:ind w:firstLine="0" w:firstLineChars="0"/>
              <w:jc w:val="center"/>
              <w:rPr>
                <w:rFonts w:ascii="仿宋_GB2312" w:cs="仿宋_GB2312"/>
                <w:b/>
                <w:kern w:val="0"/>
                <w:szCs w:val="32"/>
                <w:highlight w:val="none"/>
                <w:lang w:val="zh-CN"/>
              </w:rPr>
            </w:pPr>
            <w:r>
              <w:rPr>
                <w:rFonts w:hint="eastAsia" w:ascii="仿宋_GB2312" w:cs="仿宋_GB2312"/>
                <w:b/>
                <w:kern w:val="0"/>
                <w:szCs w:val="32"/>
                <w:highlight w:val="none"/>
                <w:lang w:val="zh-CN"/>
              </w:rPr>
              <w:t>数据使用频率</w:t>
            </w:r>
          </w:p>
        </w:tc>
        <w:tc>
          <w:tcPr>
            <w:tcW w:w="732" w:type="dxa"/>
            <w:shd w:val="clear" w:color="auto" w:fill="auto"/>
            <w:vAlign w:val="center"/>
          </w:tcPr>
          <w:p w14:paraId="1ED3F713">
            <w:pPr>
              <w:autoSpaceDE w:val="0"/>
              <w:autoSpaceDN w:val="0"/>
              <w:adjustRightInd w:val="0"/>
              <w:spacing w:beforeLines="0" w:afterLines="0" w:line="600" w:lineRule="exact"/>
              <w:ind w:firstLine="0" w:firstLineChars="0"/>
              <w:jc w:val="center"/>
              <w:rPr>
                <w:rFonts w:ascii="仿宋_GB2312" w:cs="仿宋_GB2312"/>
                <w:b/>
                <w:kern w:val="0"/>
                <w:szCs w:val="32"/>
                <w:highlight w:val="none"/>
                <w:lang w:val="zh-CN"/>
              </w:rPr>
            </w:pPr>
            <w:r>
              <w:rPr>
                <w:rFonts w:hint="eastAsia" w:ascii="仿宋_GB2312" w:cs="仿宋_GB2312"/>
                <w:b/>
                <w:kern w:val="0"/>
                <w:szCs w:val="32"/>
                <w:highlight w:val="none"/>
                <w:lang w:val="zh-CN"/>
              </w:rPr>
              <w:t>备注</w:t>
            </w:r>
          </w:p>
        </w:tc>
      </w:tr>
      <w:tr w14:paraId="481B1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14:paraId="7A927422">
            <w:pPr>
              <w:spacing w:beforeLines="0" w:afterLines="0" w:line="600" w:lineRule="exact"/>
              <w:ind w:firstLine="0" w:firstLineChars="0"/>
              <w:jc w:val="center"/>
              <w:rPr>
                <w:rFonts w:hint="eastAsia" w:ascii="仿宋_GB2312" w:eastAsia="仿宋_GB2312" w:cs="仿宋_GB2312"/>
                <w:szCs w:val="32"/>
                <w:highlight w:val="none"/>
                <w:lang w:val="en-US" w:eastAsia="zh-CN"/>
              </w:rPr>
            </w:pPr>
            <w:r>
              <w:rPr>
                <w:rFonts w:hint="eastAsia" w:ascii="仿宋_GB2312" w:cs="仿宋_GB2312"/>
                <w:szCs w:val="32"/>
                <w:highlight w:val="none"/>
                <w:lang w:val="en-US" w:eastAsia="zh-CN"/>
              </w:rPr>
              <w:t>1</w:t>
            </w:r>
          </w:p>
        </w:tc>
        <w:tc>
          <w:tcPr>
            <w:tcW w:w="2938" w:type="dxa"/>
            <w:shd w:val="clear" w:color="auto" w:fill="auto"/>
            <w:vAlign w:val="center"/>
          </w:tcPr>
          <w:p w14:paraId="5E602E64">
            <w:pPr>
              <w:spacing w:beforeLines="0" w:afterLines="0" w:line="600" w:lineRule="exact"/>
              <w:ind w:firstLine="0" w:firstLineChars="0"/>
              <w:jc w:val="center"/>
              <w:rPr>
                <w:rFonts w:hint="default" w:ascii="仿宋_GB2312" w:eastAsia="仿宋_GB2312" w:cs="仿宋_GB2312"/>
                <w:szCs w:val="32"/>
                <w:highlight w:val="none"/>
                <w:lang w:val="en-US" w:eastAsia="zh-CN"/>
              </w:rPr>
            </w:pPr>
            <w:r>
              <w:rPr>
                <w:rFonts w:hint="eastAsia" w:ascii="仿宋_GB2312" w:cs="仿宋_GB2312"/>
                <w:szCs w:val="32"/>
                <w:highlight w:val="none"/>
                <w:lang w:val="en-US" w:eastAsia="zh-CN"/>
              </w:rPr>
              <w:t>企业码</w:t>
            </w:r>
          </w:p>
        </w:tc>
        <w:tc>
          <w:tcPr>
            <w:tcW w:w="2496" w:type="dxa"/>
            <w:shd w:val="clear" w:color="auto" w:fill="auto"/>
            <w:vAlign w:val="center"/>
          </w:tcPr>
          <w:p w14:paraId="2C7B7557">
            <w:pPr>
              <w:spacing w:beforeLines="0" w:afterLines="0" w:line="600" w:lineRule="exact"/>
              <w:ind w:firstLine="0" w:firstLineChars="0"/>
              <w:jc w:val="center"/>
              <w:rPr>
                <w:rFonts w:hint="default" w:ascii="仿宋_GB2312" w:eastAsia="仿宋_GB2312" w:cs="仿宋_GB2312"/>
                <w:szCs w:val="32"/>
                <w:highlight w:val="none"/>
                <w:lang w:val="en-US" w:eastAsia="zh-CN"/>
              </w:rPr>
            </w:pPr>
            <w:r>
              <w:rPr>
                <w:rFonts w:hint="eastAsia" w:ascii="仿宋_GB2312" w:cs="仿宋_GB2312"/>
                <w:szCs w:val="32"/>
                <w:highlight w:val="none"/>
                <w:lang w:val="en-US" w:eastAsia="zh-CN"/>
              </w:rPr>
              <w:t>执法部门</w:t>
            </w:r>
          </w:p>
        </w:tc>
        <w:tc>
          <w:tcPr>
            <w:tcW w:w="2172" w:type="dxa"/>
            <w:shd w:val="clear" w:color="auto" w:fill="auto"/>
            <w:vAlign w:val="center"/>
          </w:tcPr>
          <w:p w14:paraId="75BF9A8F">
            <w:pPr>
              <w:spacing w:beforeLines="0" w:afterLines="0" w:line="600" w:lineRule="exact"/>
              <w:ind w:firstLine="640" w:firstLineChars="200"/>
              <w:jc w:val="both"/>
              <w:rPr>
                <w:rFonts w:hint="eastAsia" w:ascii="仿宋_GB2312" w:eastAsia="仿宋_GB2312" w:cs="仿宋_GB2312"/>
                <w:szCs w:val="32"/>
                <w:highlight w:val="none"/>
                <w:lang w:val="en-US" w:eastAsia="zh-CN"/>
              </w:rPr>
            </w:pPr>
            <w:r>
              <w:rPr>
                <w:rFonts w:hint="eastAsia" w:ascii="仿宋_GB2312" w:cs="仿宋_GB2312"/>
                <w:szCs w:val="32"/>
                <w:highlight w:val="none"/>
                <w:lang w:val="en-US" w:eastAsia="zh-CN"/>
              </w:rPr>
              <w:t>每天</w:t>
            </w:r>
          </w:p>
        </w:tc>
        <w:tc>
          <w:tcPr>
            <w:tcW w:w="732" w:type="dxa"/>
            <w:shd w:val="clear" w:color="auto" w:fill="auto"/>
            <w:vAlign w:val="center"/>
          </w:tcPr>
          <w:p w14:paraId="1C92FEE9">
            <w:pPr>
              <w:spacing w:beforeLines="0" w:afterLines="0" w:line="600" w:lineRule="exact"/>
              <w:ind w:firstLine="640" w:firstLineChars="200"/>
              <w:jc w:val="center"/>
              <w:rPr>
                <w:rFonts w:ascii="仿宋_GB2312" w:cs="仿宋_GB2312"/>
                <w:szCs w:val="32"/>
                <w:highlight w:val="none"/>
                <w:lang w:val="zh-CN"/>
              </w:rPr>
            </w:pPr>
          </w:p>
        </w:tc>
      </w:tr>
      <w:tr w14:paraId="72B2D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14:paraId="4AAF718D">
            <w:pPr>
              <w:spacing w:beforeLines="0" w:afterLines="0" w:line="600" w:lineRule="exact"/>
              <w:ind w:firstLine="0" w:firstLineChars="0"/>
              <w:jc w:val="center"/>
              <w:rPr>
                <w:rFonts w:hint="eastAsia" w:ascii="仿宋_GB2312" w:eastAsia="仿宋_GB2312" w:cs="仿宋_GB2312"/>
                <w:szCs w:val="32"/>
                <w:highlight w:val="none"/>
                <w:lang w:val="zh-CN" w:eastAsia="zh-CN"/>
              </w:rPr>
            </w:pPr>
            <w:r>
              <w:rPr>
                <w:rFonts w:hint="eastAsia" w:ascii="仿宋_GB2312" w:cs="仿宋_GB2312"/>
                <w:szCs w:val="32"/>
                <w:highlight w:val="none"/>
                <w:lang w:val="en-US" w:eastAsia="zh-CN"/>
              </w:rPr>
              <w:t>2</w:t>
            </w:r>
          </w:p>
        </w:tc>
        <w:tc>
          <w:tcPr>
            <w:tcW w:w="2938" w:type="dxa"/>
            <w:shd w:val="clear" w:color="auto" w:fill="auto"/>
            <w:vAlign w:val="center"/>
          </w:tcPr>
          <w:p w14:paraId="53FE013D">
            <w:pPr>
              <w:spacing w:beforeLines="0" w:afterLines="0" w:line="600" w:lineRule="exact"/>
              <w:ind w:firstLine="0" w:firstLineChars="0"/>
              <w:jc w:val="center"/>
              <w:rPr>
                <w:rFonts w:hint="default" w:ascii="仿宋_GB2312" w:eastAsia="仿宋_GB2312" w:cs="仿宋_GB2312"/>
                <w:szCs w:val="32"/>
                <w:highlight w:val="none"/>
                <w:lang w:val="en-US" w:eastAsia="zh-CN"/>
              </w:rPr>
            </w:pPr>
            <w:r>
              <w:rPr>
                <w:rFonts w:hint="eastAsia" w:ascii="仿宋_GB2312" w:cs="仿宋_GB2312"/>
                <w:szCs w:val="32"/>
                <w:highlight w:val="none"/>
                <w:lang w:val="en-US" w:eastAsia="zh-CN"/>
              </w:rPr>
              <w:t>行政检查记录</w:t>
            </w:r>
          </w:p>
        </w:tc>
        <w:tc>
          <w:tcPr>
            <w:tcW w:w="2496" w:type="dxa"/>
            <w:shd w:val="clear" w:color="auto" w:fill="auto"/>
            <w:vAlign w:val="center"/>
          </w:tcPr>
          <w:p w14:paraId="49525C62">
            <w:pPr>
              <w:spacing w:beforeLines="0" w:afterLines="0" w:line="600" w:lineRule="exact"/>
              <w:ind w:firstLine="0" w:firstLineChars="0"/>
              <w:jc w:val="center"/>
              <w:rPr>
                <w:rFonts w:ascii="仿宋_GB2312" w:cs="仿宋_GB2312"/>
                <w:szCs w:val="32"/>
                <w:highlight w:val="none"/>
              </w:rPr>
            </w:pPr>
            <w:r>
              <w:rPr>
                <w:rFonts w:hint="eastAsia" w:ascii="仿宋_GB2312" w:cs="仿宋_GB2312"/>
                <w:szCs w:val="32"/>
                <w:highlight w:val="none"/>
                <w:lang w:val="en-US" w:eastAsia="zh-CN"/>
              </w:rPr>
              <w:t>执法部门</w:t>
            </w:r>
          </w:p>
        </w:tc>
        <w:tc>
          <w:tcPr>
            <w:tcW w:w="2172" w:type="dxa"/>
            <w:shd w:val="clear" w:color="auto" w:fill="auto"/>
            <w:vAlign w:val="center"/>
          </w:tcPr>
          <w:p w14:paraId="628F5A0F">
            <w:pPr>
              <w:spacing w:beforeLines="0" w:afterLines="0" w:line="600" w:lineRule="exact"/>
              <w:ind w:firstLine="640" w:firstLineChars="200"/>
              <w:jc w:val="both"/>
              <w:rPr>
                <w:rFonts w:ascii="仿宋_GB2312" w:cs="仿宋_GB2312"/>
                <w:szCs w:val="32"/>
                <w:highlight w:val="none"/>
              </w:rPr>
            </w:pPr>
            <w:r>
              <w:rPr>
                <w:rFonts w:hint="eastAsia" w:ascii="仿宋_GB2312" w:cs="仿宋_GB2312"/>
                <w:szCs w:val="32"/>
                <w:highlight w:val="none"/>
              </w:rPr>
              <w:t>每天</w:t>
            </w:r>
          </w:p>
        </w:tc>
        <w:tc>
          <w:tcPr>
            <w:tcW w:w="732" w:type="dxa"/>
            <w:shd w:val="clear" w:color="auto" w:fill="auto"/>
            <w:vAlign w:val="center"/>
          </w:tcPr>
          <w:p w14:paraId="4761D688">
            <w:pPr>
              <w:spacing w:beforeLines="0" w:afterLines="0" w:line="600" w:lineRule="exact"/>
              <w:ind w:firstLine="640" w:firstLineChars="200"/>
              <w:jc w:val="center"/>
              <w:rPr>
                <w:rFonts w:ascii="仿宋_GB2312" w:cs="仿宋_GB2312"/>
                <w:szCs w:val="32"/>
                <w:highlight w:val="none"/>
                <w:lang w:val="zh-CN"/>
              </w:rPr>
            </w:pPr>
          </w:p>
        </w:tc>
      </w:tr>
      <w:tr w14:paraId="4189C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14:paraId="78683139">
            <w:pPr>
              <w:spacing w:beforeLines="0" w:afterLines="0" w:line="600" w:lineRule="exact"/>
              <w:ind w:firstLine="0" w:firstLineChars="0"/>
              <w:jc w:val="center"/>
              <w:rPr>
                <w:rFonts w:hint="eastAsia" w:ascii="仿宋_GB2312" w:eastAsia="仿宋_GB2312" w:cs="仿宋_GB2312"/>
                <w:szCs w:val="32"/>
                <w:highlight w:val="none"/>
                <w:lang w:val="zh-CN" w:eastAsia="zh-CN"/>
              </w:rPr>
            </w:pPr>
            <w:r>
              <w:rPr>
                <w:rFonts w:hint="eastAsia" w:ascii="仿宋_GB2312" w:cs="仿宋_GB2312"/>
                <w:szCs w:val="32"/>
                <w:highlight w:val="none"/>
                <w:lang w:val="en-US" w:eastAsia="zh-CN"/>
              </w:rPr>
              <w:t>3</w:t>
            </w:r>
          </w:p>
        </w:tc>
        <w:tc>
          <w:tcPr>
            <w:tcW w:w="2938" w:type="dxa"/>
            <w:shd w:val="clear" w:color="auto" w:fill="auto"/>
            <w:vAlign w:val="center"/>
          </w:tcPr>
          <w:p w14:paraId="74951ACB">
            <w:pPr>
              <w:spacing w:beforeLines="0" w:afterLines="0" w:line="600" w:lineRule="exact"/>
              <w:ind w:firstLine="0" w:firstLineChars="0"/>
              <w:jc w:val="center"/>
              <w:rPr>
                <w:rFonts w:ascii="仿宋_GB2312" w:cs="仿宋_GB2312"/>
                <w:szCs w:val="32"/>
                <w:highlight w:val="none"/>
              </w:rPr>
            </w:pPr>
            <w:r>
              <w:rPr>
                <w:rFonts w:hint="eastAsia" w:ascii="仿宋_GB2312" w:cs="仿宋_GB2312"/>
                <w:szCs w:val="32"/>
                <w:highlight w:val="none"/>
              </w:rPr>
              <w:t>行政执法</w:t>
            </w:r>
            <w:r>
              <w:rPr>
                <w:rFonts w:hint="eastAsia" w:ascii="仿宋_GB2312" w:cs="仿宋_GB2312"/>
                <w:szCs w:val="32"/>
                <w:highlight w:val="none"/>
                <w:lang w:val="en-US" w:eastAsia="zh-CN"/>
              </w:rPr>
              <w:t>办案案卷</w:t>
            </w:r>
          </w:p>
        </w:tc>
        <w:tc>
          <w:tcPr>
            <w:tcW w:w="2496" w:type="dxa"/>
            <w:shd w:val="clear" w:color="auto" w:fill="auto"/>
            <w:vAlign w:val="center"/>
          </w:tcPr>
          <w:p w14:paraId="419462B0">
            <w:pPr>
              <w:spacing w:beforeLines="0" w:afterLines="0" w:line="600" w:lineRule="exact"/>
              <w:ind w:firstLine="0" w:firstLineChars="0"/>
              <w:jc w:val="center"/>
              <w:rPr>
                <w:rFonts w:ascii="仿宋_GB2312"/>
                <w:highlight w:val="none"/>
              </w:rPr>
            </w:pPr>
            <w:r>
              <w:rPr>
                <w:rFonts w:hint="eastAsia" w:ascii="仿宋_GB2312" w:cs="仿宋_GB2312"/>
                <w:szCs w:val="32"/>
                <w:highlight w:val="none"/>
                <w:lang w:val="en-US" w:eastAsia="zh-CN"/>
              </w:rPr>
              <w:t>执法部门</w:t>
            </w:r>
          </w:p>
        </w:tc>
        <w:tc>
          <w:tcPr>
            <w:tcW w:w="2172" w:type="dxa"/>
            <w:shd w:val="clear" w:color="auto" w:fill="auto"/>
            <w:vAlign w:val="center"/>
          </w:tcPr>
          <w:p w14:paraId="5E367FB8">
            <w:pPr>
              <w:spacing w:beforeLines="0" w:afterLines="0" w:line="600" w:lineRule="exact"/>
              <w:ind w:firstLine="640" w:firstLineChars="200"/>
              <w:jc w:val="both"/>
              <w:rPr>
                <w:rFonts w:ascii="仿宋_GB2312" w:cs="仿宋_GB2312"/>
                <w:szCs w:val="32"/>
                <w:highlight w:val="none"/>
                <w:lang w:val="zh-CN"/>
              </w:rPr>
            </w:pPr>
            <w:r>
              <w:rPr>
                <w:rFonts w:hint="eastAsia" w:ascii="仿宋_GB2312" w:cs="仿宋_GB2312"/>
                <w:szCs w:val="32"/>
                <w:highlight w:val="none"/>
              </w:rPr>
              <w:t>每天</w:t>
            </w:r>
          </w:p>
        </w:tc>
        <w:tc>
          <w:tcPr>
            <w:tcW w:w="732" w:type="dxa"/>
            <w:shd w:val="clear" w:color="auto" w:fill="auto"/>
            <w:vAlign w:val="center"/>
          </w:tcPr>
          <w:p w14:paraId="6DC92DAF">
            <w:pPr>
              <w:spacing w:beforeLines="0" w:afterLines="0" w:line="600" w:lineRule="exact"/>
              <w:ind w:firstLine="640" w:firstLineChars="200"/>
              <w:jc w:val="center"/>
              <w:rPr>
                <w:rFonts w:ascii="仿宋_GB2312" w:cs="仿宋_GB2312"/>
                <w:szCs w:val="32"/>
                <w:highlight w:val="none"/>
                <w:lang w:val="zh-CN"/>
              </w:rPr>
            </w:pPr>
          </w:p>
        </w:tc>
      </w:tr>
      <w:tr w14:paraId="64269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14:paraId="64E80185">
            <w:pPr>
              <w:spacing w:beforeLines="0" w:afterLines="0" w:line="600" w:lineRule="exact"/>
              <w:ind w:firstLine="0" w:firstLineChars="0"/>
              <w:jc w:val="center"/>
              <w:rPr>
                <w:rFonts w:hint="eastAsia" w:ascii="仿宋_GB2312" w:eastAsia="仿宋_GB2312" w:cs="仿宋_GB2312"/>
                <w:szCs w:val="32"/>
                <w:highlight w:val="none"/>
                <w:lang w:val="en-US" w:eastAsia="zh-CN"/>
              </w:rPr>
            </w:pPr>
            <w:r>
              <w:rPr>
                <w:rFonts w:hint="eastAsia" w:ascii="仿宋_GB2312" w:cs="仿宋_GB2312"/>
                <w:szCs w:val="32"/>
                <w:highlight w:val="none"/>
                <w:lang w:val="en-US" w:eastAsia="zh-CN"/>
              </w:rPr>
              <w:t>4</w:t>
            </w:r>
          </w:p>
        </w:tc>
        <w:tc>
          <w:tcPr>
            <w:tcW w:w="2938" w:type="dxa"/>
            <w:shd w:val="clear" w:color="auto" w:fill="auto"/>
            <w:vAlign w:val="center"/>
          </w:tcPr>
          <w:p w14:paraId="0C3600EA">
            <w:pPr>
              <w:ind w:firstLine="0" w:firstLineChars="0"/>
              <w:jc w:val="center"/>
              <w:rPr>
                <w:highlight w:val="none"/>
              </w:rPr>
            </w:pPr>
            <w:r>
              <w:rPr>
                <w:rFonts w:hint="eastAsia" w:ascii="仿宋_GB2312" w:cs="仿宋_GB2312"/>
                <w:szCs w:val="32"/>
                <w:highlight w:val="none"/>
                <w:lang w:val="en-US" w:eastAsia="zh-CN"/>
              </w:rPr>
              <w:t>案卷评查结果</w:t>
            </w:r>
          </w:p>
        </w:tc>
        <w:tc>
          <w:tcPr>
            <w:tcW w:w="2496" w:type="dxa"/>
            <w:shd w:val="clear" w:color="auto" w:fill="auto"/>
            <w:vAlign w:val="center"/>
          </w:tcPr>
          <w:p w14:paraId="02E89AB9">
            <w:pPr>
              <w:spacing w:beforeLines="0" w:afterLines="0" w:line="600" w:lineRule="exact"/>
              <w:ind w:firstLine="0" w:firstLineChars="0"/>
              <w:jc w:val="center"/>
              <w:rPr>
                <w:highlight w:val="none"/>
              </w:rPr>
            </w:pPr>
            <w:r>
              <w:rPr>
                <w:rFonts w:hint="eastAsia" w:ascii="仿宋_GB2312" w:cs="仿宋_GB2312"/>
                <w:szCs w:val="32"/>
                <w:highlight w:val="none"/>
              </w:rPr>
              <w:t>司法局</w:t>
            </w:r>
          </w:p>
        </w:tc>
        <w:tc>
          <w:tcPr>
            <w:tcW w:w="2172" w:type="dxa"/>
            <w:shd w:val="clear" w:color="auto" w:fill="auto"/>
            <w:vAlign w:val="center"/>
          </w:tcPr>
          <w:p w14:paraId="0F785CFE">
            <w:pPr>
              <w:spacing w:beforeLines="0" w:afterLines="0" w:line="600" w:lineRule="exact"/>
              <w:ind w:firstLine="640" w:firstLineChars="200"/>
              <w:jc w:val="both"/>
              <w:rPr>
                <w:rFonts w:ascii="仿宋_GB2312" w:cs="仿宋_GB2312"/>
                <w:szCs w:val="32"/>
                <w:highlight w:val="none"/>
                <w:lang w:val="zh-CN"/>
              </w:rPr>
            </w:pPr>
            <w:r>
              <w:rPr>
                <w:rFonts w:hint="eastAsia" w:ascii="仿宋_GB2312" w:cs="仿宋_GB2312"/>
                <w:szCs w:val="32"/>
                <w:highlight w:val="none"/>
              </w:rPr>
              <w:t>每天</w:t>
            </w:r>
          </w:p>
        </w:tc>
        <w:tc>
          <w:tcPr>
            <w:tcW w:w="732" w:type="dxa"/>
            <w:shd w:val="clear" w:color="auto" w:fill="auto"/>
            <w:vAlign w:val="center"/>
          </w:tcPr>
          <w:p w14:paraId="19E3C101">
            <w:pPr>
              <w:spacing w:beforeLines="0" w:afterLines="0" w:line="600" w:lineRule="exact"/>
              <w:ind w:firstLine="640" w:firstLineChars="200"/>
              <w:jc w:val="center"/>
              <w:rPr>
                <w:rFonts w:ascii="仿宋_GB2312" w:cs="仿宋_GB2312"/>
                <w:szCs w:val="32"/>
                <w:highlight w:val="none"/>
                <w:lang w:val="zh-CN"/>
              </w:rPr>
            </w:pPr>
          </w:p>
        </w:tc>
      </w:tr>
    </w:tbl>
    <w:p w14:paraId="135A8556">
      <w:pPr>
        <w:pStyle w:val="2"/>
        <w:numPr>
          <w:ilvl w:val="0"/>
          <w:numId w:val="0"/>
        </w:numPr>
        <w:spacing w:before="0" w:beforeLines="0" w:after="0" w:afterLines="0" w:line="600" w:lineRule="exact"/>
        <w:ind w:left="0" w:leftChars="0" w:firstLine="643" w:firstLineChars="200"/>
        <w:rPr>
          <w:rFonts w:ascii="仿宋_GB2312" w:eastAsia="仿宋_GB2312" w:cs="仿宋_GB2312"/>
          <w:szCs w:val="32"/>
          <w:highlight w:val="none"/>
        </w:rPr>
      </w:pPr>
      <w:bookmarkStart w:id="58" w:name="_Toc19179"/>
      <w:r>
        <w:rPr>
          <w:rFonts w:hint="eastAsia" w:ascii="仿宋_GB2312" w:hAnsi="Times New Roman" w:eastAsia="仿宋_GB2312" w:cs="仿宋_GB2312"/>
          <w:b/>
          <w:bCs/>
          <w:kern w:val="44"/>
          <w:sz w:val="32"/>
          <w:szCs w:val="32"/>
          <w:highlight w:val="none"/>
          <w:lang w:val="en-US" w:eastAsia="zh-CN" w:bidi="ar-SA"/>
        </w:rPr>
        <w:t>第4章、</w:t>
      </w:r>
      <w:r>
        <w:rPr>
          <w:rFonts w:hint="eastAsia" w:ascii="仿宋_GB2312" w:eastAsia="仿宋_GB2312" w:cs="仿宋_GB2312"/>
          <w:szCs w:val="32"/>
          <w:highlight w:val="none"/>
        </w:rPr>
        <w:t>项目需求预期成效</w:t>
      </w:r>
      <w:bookmarkEnd w:id="58"/>
    </w:p>
    <w:p w14:paraId="3E30FB69">
      <w:pPr>
        <w:pStyle w:val="3"/>
        <w:numPr>
          <w:ilvl w:val="1"/>
          <w:numId w:val="0"/>
        </w:numPr>
        <w:spacing w:before="0" w:beforeLines="0" w:after="0" w:afterLines="0" w:line="600" w:lineRule="exact"/>
        <w:ind w:left="0" w:leftChars="0" w:firstLine="643" w:firstLineChars="200"/>
        <w:rPr>
          <w:rFonts w:ascii="仿宋_GB2312" w:cs="仿宋_GB2312"/>
          <w:sz w:val="32"/>
          <w:highlight w:val="none"/>
        </w:rPr>
      </w:pPr>
      <w:r>
        <w:rPr>
          <w:rFonts w:hint="eastAsia" w:ascii="仿宋_GB2312" w:hAnsi="Times New Roman" w:eastAsia="仿宋_GB2312" w:cs="仿宋_GB2312"/>
          <w:b/>
          <w:bCs/>
          <w:kern w:val="2"/>
          <w:sz w:val="32"/>
          <w:szCs w:val="32"/>
          <w:highlight w:val="none"/>
          <w:lang w:val="en-US" w:eastAsia="zh-CN" w:bidi="ar-SA"/>
        </w:rPr>
        <w:t>4.1</w:t>
      </w:r>
      <w:r>
        <w:rPr>
          <w:rFonts w:hint="eastAsia" w:ascii="仿宋_GB2312" w:cs="仿宋_GB2312"/>
          <w:sz w:val="32"/>
          <w:highlight w:val="none"/>
        </w:rPr>
        <w:t>经济效益分析</w:t>
      </w:r>
    </w:p>
    <w:p w14:paraId="594007A6">
      <w:pPr>
        <w:pStyle w:val="4"/>
        <w:numPr>
          <w:ilvl w:val="2"/>
          <w:numId w:val="0"/>
        </w:numPr>
        <w:spacing w:before="0" w:beforeLines="0" w:after="0" w:afterLines="0" w:line="600" w:lineRule="exact"/>
        <w:ind w:left="0" w:leftChars="0" w:firstLine="643" w:firstLineChars="200"/>
        <w:rPr>
          <w:rFonts w:ascii="仿宋_GB2312"/>
          <w:highlight w:val="none"/>
        </w:rPr>
      </w:pPr>
      <w:r>
        <w:rPr>
          <w:rFonts w:hint="eastAsia" w:ascii="仿宋_GB2312" w:hAnsi="仿宋_GB2312" w:eastAsia="仿宋_GB2312" w:cs="仿宋_GB2312"/>
          <w:b/>
          <w:bCs/>
          <w:kern w:val="2"/>
          <w:sz w:val="32"/>
          <w:szCs w:val="32"/>
          <w:highlight w:val="none"/>
          <w:lang w:val="en-US" w:eastAsia="zh-CN" w:bidi="ar-SA"/>
        </w:rPr>
        <w:t>4.1.1</w:t>
      </w:r>
      <w:r>
        <w:rPr>
          <w:rFonts w:hint="eastAsia" w:ascii="仿宋_GB2312"/>
          <w:highlight w:val="none"/>
        </w:rPr>
        <w:t>资源优化配置</w:t>
      </w:r>
    </w:p>
    <w:p w14:paraId="02B8EF57">
      <w:pPr>
        <w:spacing w:beforeLines="0" w:afterLines="0" w:line="600" w:lineRule="exact"/>
        <w:ind w:firstLine="643"/>
        <w:rPr>
          <w:rFonts w:ascii="仿宋_GB2312"/>
          <w:highlight w:val="none"/>
        </w:rPr>
      </w:pPr>
      <w:r>
        <w:rPr>
          <w:rFonts w:hint="eastAsia" w:ascii="仿宋_GB2312"/>
          <w:highlight w:val="none"/>
        </w:rPr>
        <w:t>廊坊市规范入企行政执法系统通过整合多个部门的执法资源和力量，实现了执法资源的优化配置。这避免了重复建设和资源浪费，提高了执法效率,实现了执法力量的集中和统一调配，从而减少了执法成本。</w:t>
      </w:r>
    </w:p>
    <w:p w14:paraId="22A9280C">
      <w:pPr>
        <w:pStyle w:val="4"/>
        <w:numPr>
          <w:ilvl w:val="2"/>
          <w:numId w:val="0"/>
        </w:numPr>
        <w:spacing w:before="0" w:beforeLines="0" w:after="0" w:afterLines="0" w:line="600" w:lineRule="exact"/>
        <w:ind w:left="0" w:leftChars="0" w:firstLine="643" w:firstLineChars="200"/>
        <w:rPr>
          <w:rFonts w:ascii="仿宋_GB2312"/>
          <w:highlight w:val="none"/>
        </w:rPr>
      </w:pPr>
      <w:r>
        <w:rPr>
          <w:rFonts w:hint="eastAsia" w:ascii="仿宋_GB2312" w:hAnsi="仿宋_GB2312" w:eastAsia="仿宋_GB2312" w:cs="仿宋_GB2312"/>
          <w:b/>
          <w:bCs/>
          <w:kern w:val="2"/>
          <w:sz w:val="32"/>
          <w:szCs w:val="32"/>
          <w:highlight w:val="none"/>
          <w:lang w:val="en-US" w:eastAsia="zh-CN" w:bidi="ar-SA"/>
        </w:rPr>
        <w:t>4.1.2</w:t>
      </w:r>
      <w:r>
        <w:rPr>
          <w:rFonts w:hint="eastAsia" w:ascii="仿宋_GB2312"/>
          <w:highlight w:val="none"/>
        </w:rPr>
        <w:t>执法效能提升</w:t>
      </w:r>
    </w:p>
    <w:p w14:paraId="4638AB47">
      <w:pPr>
        <w:spacing w:beforeLines="0" w:afterLines="0" w:line="600" w:lineRule="exact"/>
        <w:ind w:firstLine="643"/>
        <w:rPr>
          <w:rFonts w:ascii="仿宋_GB2312"/>
          <w:highlight w:val="none"/>
        </w:rPr>
      </w:pPr>
      <w:r>
        <w:rPr>
          <w:rFonts w:hint="eastAsia" w:ascii="仿宋_GB2312"/>
          <w:highlight w:val="none"/>
        </w:rPr>
        <w:t>信息化执法模式依托先进的网上办案平台，实现了案件从立案到结案的全流程线上闭环流转，构建起违法行为的高效处置机制。这一变革不仅极大地减少了执法人员重复取证与繁琐的手写录入工作，还显著降低了执法过程中的人力成本消耗。同时，非现场执法模式的引入，更是进一步解放了执法力量，大幅度节约了执法人员的时间成本，促使行政执法效率迈上了新台阶。</w:t>
      </w:r>
    </w:p>
    <w:p w14:paraId="1ACEA7EA">
      <w:pPr>
        <w:pStyle w:val="4"/>
        <w:numPr>
          <w:ilvl w:val="2"/>
          <w:numId w:val="0"/>
        </w:numPr>
        <w:spacing w:before="0" w:beforeLines="0" w:after="0" w:afterLines="0" w:line="600" w:lineRule="exact"/>
        <w:ind w:left="0" w:leftChars="0" w:firstLine="643" w:firstLineChars="200"/>
        <w:rPr>
          <w:rFonts w:ascii="仿宋_GB2312"/>
          <w:highlight w:val="none"/>
        </w:rPr>
      </w:pPr>
      <w:r>
        <w:rPr>
          <w:rFonts w:hint="eastAsia" w:ascii="仿宋_GB2312" w:hAnsi="仿宋_GB2312" w:eastAsia="仿宋_GB2312" w:cs="仿宋_GB2312"/>
          <w:b/>
          <w:bCs/>
          <w:kern w:val="2"/>
          <w:sz w:val="32"/>
          <w:szCs w:val="32"/>
          <w:highlight w:val="none"/>
          <w:lang w:val="en-US" w:eastAsia="zh-CN" w:bidi="ar-SA"/>
        </w:rPr>
        <w:t>4.1.3</w:t>
      </w:r>
      <w:r>
        <w:rPr>
          <w:rFonts w:hint="eastAsia" w:ascii="仿宋_GB2312"/>
          <w:highlight w:val="none"/>
        </w:rPr>
        <w:t>优化营商环境</w:t>
      </w:r>
    </w:p>
    <w:p w14:paraId="6E473506">
      <w:pPr>
        <w:spacing w:beforeLines="0" w:afterLines="0" w:line="600" w:lineRule="exact"/>
        <w:ind w:firstLine="643"/>
        <w:rPr>
          <w:rFonts w:ascii="仿宋_GB2312"/>
          <w:highlight w:val="none"/>
        </w:rPr>
      </w:pPr>
      <w:r>
        <w:rPr>
          <w:rFonts w:hint="eastAsia" w:ascii="仿宋_GB2312"/>
          <w:highlight w:val="none"/>
        </w:rPr>
        <w:t>廊坊市规范入企行政执法系统通过推行包容审慎监管执法，着力创新行政执法方式，全面提升依法行政水平，呵护市场主体有序生产经营，严惩损害人民群众切身利益违法行为；依法加强对小微、新创办企业的扶持，支持新技术、新产业、新业态、新模式等重点经济领域发展，倡导依法诚信经营；对轻微违法建立“容错”“纠错”机制，打造稳定公平透明、可预期的营商环境，推动廊坊经济社会高质量发展。</w:t>
      </w:r>
    </w:p>
    <w:p w14:paraId="168EE46C">
      <w:pPr>
        <w:pStyle w:val="3"/>
        <w:numPr>
          <w:ilvl w:val="1"/>
          <w:numId w:val="0"/>
        </w:numPr>
        <w:spacing w:before="0" w:beforeLines="0" w:after="0" w:afterLines="0" w:line="600" w:lineRule="exact"/>
        <w:ind w:left="0" w:leftChars="0" w:firstLine="643" w:firstLineChars="200"/>
        <w:rPr>
          <w:rFonts w:ascii="仿宋_GB2312" w:cs="仿宋_GB2312"/>
          <w:sz w:val="32"/>
          <w:highlight w:val="none"/>
        </w:rPr>
      </w:pPr>
      <w:r>
        <w:rPr>
          <w:rFonts w:hint="eastAsia" w:ascii="仿宋_GB2312" w:hAnsi="Times New Roman" w:eastAsia="仿宋_GB2312" w:cs="仿宋_GB2312"/>
          <w:b/>
          <w:bCs/>
          <w:kern w:val="2"/>
          <w:sz w:val="32"/>
          <w:szCs w:val="32"/>
          <w:highlight w:val="none"/>
          <w:lang w:val="en-US" w:eastAsia="zh-CN" w:bidi="ar-SA"/>
        </w:rPr>
        <w:t>4.2</w:t>
      </w:r>
      <w:r>
        <w:rPr>
          <w:rFonts w:hint="eastAsia" w:ascii="仿宋_GB2312" w:cs="仿宋_GB2312"/>
          <w:sz w:val="32"/>
          <w:highlight w:val="none"/>
        </w:rPr>
        <w:t>社会效益分析</w:t>
      </w:r>
    </w:p>
    <w:p w14:paraId="1C2936BA">
      <w:pPr>
        <w:pStyle w:val="4"/>
        <w:numPr>
          <w:ilvl w:val="2"/>
          <w:numId w:val="0"/>
        </w:numPr>
        <w:spacing w:before="0" w:beforeLines="0" w:after="0" w:afterLines="0" w:line="600" w:lineRule="exact"/>
        <w:ind w:left="0" w:leftChars="0" w:firstLine="643" w:firstLineChars="200"/>
        <w:rPr>
          <w:rFonts w:ascii="仿宋_GB2312"/>
          <w:highlight w:val="none"/>
        </w:rPr>
      </w:pPr>
      <w:r>
        <w:rPr>
          <w:rFonts w:hint="eastAsia" w:ascii="仿宋_GB2312" w:hAnsi="仿宋_GB2312" w:eastAsia="仿宋_GB2312" w:cs="仿宋_GB2312"/>
          <w:b/>
          <w:bCs/>
          <w:kern w:val="2"/>
          <w:sz w:val="32"/>
          <w:szCs w:val="32"/>
          <w:highlight w:val="none"/>
          <w:lang w:val="en-US" w:eastAsia="zh-CN" w:bidi="ar-SA"/>
        </w:rPr>
        <w:t>4.2.1</w:t>
      </w:r>
      <w:r>
        <w:rPr>
          <w:rFonts w:hint="eastAsia" w:ascii="仿宋_GB2312"/>
          <w:highlight w:val="none"/>
        </w:rPr>
        <w:t>提升政府形象和公信力</w:t>
      </w:r>
    </w:p>
    <w:p w14:paraId="295206FB">
      <w:pPr>
        <w:spacing w:beforeLines="0" w:afterLines="0" w:line="600" w:lineRule="exact"/>
        <w:ind w:firstLine="643"/>
        <w:rPr>
          <w:rFonts w:ascii="仿宋_GB2312"/>
          <w:highlight w:val="none"/>
        </w:rPr>
      </w:pPr>
      <w:r>
        <w:rPr>
          <w:rFonts w:hint="eastAsia" w:ascii="仿宋_GB2312"/>
          <w:highlight w:val="none"/>
        </w:rPr>
        <w:t>廊坊市规范入企行政执法系统通过提高执法效率和透明度，增强了公众对政府的信任和支持，减少了重复执法和多头执法的问题，提升了政府形象和公信力。</w:t>
      </w:r>
    </w:p>
    <w:p w14:paraId="074BDF24">
      <w:pPr>
        <w:pStyle w:val="4"/>
        <w:numPr>
          <w:ilvl w:val="2"/>
          <w:numId w:val="0"/>
        </w:numPr>
        <w:spacing w:before="0" w:beforeLines="0" w:after="0" w:afterLines="0" w:line="600" w:lineRule="exact"/>
        <w:ind w:left="0" w:leftChars="0" w:firstLine="643" w:firstLineChars="200"/>
        <w:rPr>
          <w:rFonts w:ascii="仿宋_GB2312"/>
          <w:highlight w:val="none"/>
        </w:rPr>
      </w:pPr>
      <w:r>
        <w:rPr>
          <w:rFonts w:hint="eastAsia" w:ascii="仿宋_GB2312" w:hAnsi="仿宋_GB2312" w:eastAsia="仿宋_GB2312" w:cs="仿宋_GB2312"/>
          <w:b/>
          <w:bCs/>
          <w:kern w:val="2"/>
          <w:sz w:val="32"/>
          <w:szCs w:val="32"/>
          <w:highlight w:val="none"/>
          <w:lang w:val="en-US" w:eastAsia="zh-CN" w:bidi="ar-SA"/>
        </w:rPr>
        <w:t>4.2.2</w:t>
      </w:r>
      <w:r>
        <w:rPr>
          <w:rFonts w:hint="eastAsia" w:ascii="仿宋_GB2312"/>
          <w:highlight w:val="none"/>
        </w:rPr>
        <w:t>增强社会治理能力</w:t>
      </w:r>
    </w:p>
    <w:p w14:paraId="136BD0E3">
      <w:pPr>
        <w:spacing w:beforeLines="0" w:afterLines="0" w:line="600" w:lineRule="exact"/>
        <w:ind w:firstLine="643"/>
        <w:rPr>
          <w:rFonts w:ascii="仿宋_GB2312"/>
          <w:highlight w:val="none"/>
        </w:rPr>
      </w:pPr>
      <w:r>
        <w:rPr>
          <w:rFonts w:hint="eastAsia" w:ascii="仿宋_GB2312"/>
          <w:highlight w:val="none"/>
        </w:rPr>
        <w:t>廊坊市规范入企行政执法系统通过构建覆盖全市的执法网络和信息平台，实现了对违法行为的快速响应和有效处置，增强了社会治理能力。</w:t>
      </w:r>
    </w:p>
    <w:p w14:paraId="3DD11424">
      <w:pPr>
        <w:pStyle w:val="4"/>
        <w:numPr>
          <w:ilvl w:val="2"/>
          <w:numId w:val="0"/>
        </w:numPr>
        <w:spacing w:before="0" w:beforeLines="0" w:after="0" w:afterLines="0" w:line="600" w:lineRule="exact"/>
        <w:ind w:left="0" w:leftChars="0" w:firstLine="643" w:firstLineChars="200"/>
        <w:rPr>
          <w:rFonts w:ascii="仿宋_GB2312"/>
          <w:highlight w:val="none"/>
        </w:rPr>
      </w:pPr>
      <w:r>
        <w:rPr>
          <w:rFonts w:hint="eastAsia" w:ascii="仿宋_GB2312" w:hAnsi="仿宋_GB2312" w:eastAsia="仿宋_GB2312" w:cs="仿宋_GB2312"/>
          <w:b/>
          <w:bCs/>
          <w:kern w:val="2"/>
          <w:sz w:val="32"/>
          <w:szCs w:val="32"/>
          <w:highlight w:val="none"/>
          <w:lang w:val="en-US" w:eastAsia="zh-CN" w:bidi="ar-SA"/>
        </w:rPr>
        <w:t>4.2.3</w:t>
      </w:r>
      <w:r>
        <w:rPr>
          <w:rFonts w:hint="eastAsia" w:ascii="仿宋_GB2312"/>
          <w:highlight w:val="none"/>
        </w:rPr>
        <w:t>提高群众满意度和幸福感</w:t>
      </w:r>
    </w:p>
    <w:p w14:paraId="557ABFF3">
      <w:pPr>
        <w:spacing w:beforeLines="0" w:afterLines="0" w:line="600" w:lineRule="exact"/>
        <w:ind w:firstLine="643"/>
        <w:rPr>
          <w:rFonts w:ascii="仿宋_GB2312"/>
          <w:highlight w:val="none"/>
        </w:rPr>
      </w:pPr>
      <w:r>
        <w:rPr>
          <w:rFonts w:hint="eastAsia" w:ascii="仿宋_GB2312"/>
          <w:highlight w:val="none"/>
        </w:rPr>
        <w:t>廊坊市规范入企行政执法系统通过解决群众反映强烈的执法问题，提高了群众的满意度和幸福感，实现了从“看得见、管不着”向“看得见、管得着、治得好”的转变，群众的获得感、幸福感和满意度日益提升。</w:t>
      </w:r>
    </w:p>
    <w:p w14:paraId="70C5AEA6">
      <w:pPr>
        <w:pStyle w:val="4"/>
        <w:numPr>
          <w:ilvl w:val="2"/>
          <w:numId w:val="0"/>
        </w:numPr>
        <w:spacing w:before="0" w:beforeLines="0" w:after="0" w:afterLines="0" w:line="600" w:lineRule="exact"/>
        <w:ind w:left="0" w:leftChars="0" w:firstLine="643" w:firstLineChars="200"/>
        <w:rPr>
          <w:rFonts w:ascii="仿宋_GB2312"/>
          <w:highlight w:val="none"/>
        </w:rPr>
      </w:pPr>
      <w:r>
        <w:rPr>
          <w:rFonts w:hint="eastAsia" w:ascii="仿宋_GB2312" w:hAnsi="仿宋_GB2312" w:eastAsia="仿宋_GB2312" w:cs="仿宋_GB2312"/>
          <w:b/>
          <w:bCs/>
          <w:kern w:val="2"/>
          <w:sz w:val="32"/>
          <w:szCs w:val="32"/>
          <w:highlight w:val="none"/>
          <w:lang w:val="en-US" w:eastAsia="zh-CN" w:bidi="ar-SA"/>
        </w:rPr>
        <w:t>4.2.4</w:t>
      </w:r>
      <w:r>
        <w:rPr>
          <w:rFonts w:hint="eastAsia" w:ascii="仿宋_GB2312"/>
          <w:highlight w:val="none"/>
        </w:rPr>
        <w:t>促进法治社会建设</w:t>
      </w:r>
    </w:p>
    <w:p w14:paraId="3224BFB7">
      <w:pPr>
        <w:spacing w:beforeLines="0" w:afterLines="0" w:line="600" w:lineRule="exact"/>
        <w:ind w:firstLine="643"/>
        <w:rPr>
          <w:rFonts w:ascii="仿宋_GB2312"/>
          <w:highlight w:val="none"/>
        </w:rPr>
      </w:pPr>
      <w:r>
        <w:rPr>
          <w:rFonts w:hint="eastAsia" w:ascii="仿宋_GB2312"/>
          <w:highlight w:val="none"/>
        </w:rPr>
        <w:t>廊坊市规范入企行政执法系统通过加强执法规范化建设，提升行政执法现代化水平，推进执法更公平、流程更透明、监督更高效，努力满足人民群众对执法的新需求新期待。有效纠正各类违法行为，教育公民、法人或者其他组织自觉守法，保障法律的贯彻实施，促进全社会形成尊法学法守法用法的共识和氛围，推动法治社会建设。</w:t>
      </w:r>
    </w:p>
    <w:sectPr>
      <w:headerReference r:id="rId7" w:type="first"/>
      <w:footerReference r:id="rId10" w:type="first"/>
      <w:headerReference r:id="rId5" w:type="default"/>
      <w:footerReference r:id="rId8" w:type="default"/>
      <w:headerReference r:id="rId6" w:type="even"/>
      <w:footerReference r:id="rId9" w:type="even"/>
      <w:pgSz w:w="11906" w:h="16838"/>
      <w:pgMar w:top="1701" w:right="1417" w:bottom="1701" w:left="1417" w:header="624" w:footer="340" w:gutter="0"/>
      <w:cols w:space="720" w:num="1"/>
      <w:titlePg/>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399EE9-A73C-4F89-B821-82AD754B95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C56B580-B0D3-40E7-B7AE-A83B3FCEF54D}"/>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F3C9AB06-558B-4C44-9862-0877F3B2E8CC}"/>
  </w:font>
  <w:font w:name="方正仿宋_GB2312">
    <w:panose1 w:val="02000000000000000000"/>
    <w:charset w:val="86"/>
    <w:family w:val="auto"/>
    <w:pitch w:val="default"/>
    <w:sig w:usb0="A00002BF" w:usb1="184F6CFA" w:usb2="00000012" w:usb3="00000000" w:csb0="00040001" w:csb1="00000000"/>
    <w:embedRegular r:id="rId4" w:fontKey="{AEE52E4D-5E7E-4E38-BC65-E11330F3791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59A40">
    <w:pPr>
      <w:ind w:firstLine="0" w:firstLineChars="0"/>
      <w:jc w:val="center"/>
      <w:rPr>
        <w:i/>
        <w:iCs/>
        <w:color w:val="8C8C8C"/>
      </w:rPr>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285750" cy="197485"/>
              <wp:effectExtent l="0" t="0" r="0" b="0"/>
              <wp:wrapNone/>
              <wp:docPr id="1" name="文本框 1"/>
              <wp:cNvGraphicFramePr/>
              <a:graphic xmlns:a="http://schemas.openxmlformats.org/drawingml/2006/main">
                <a:graphicData uri="http://schemas.microsoft.com/office/word/2010/wordprocessingShape">
                  <wps:wsp>
                    <wps:cNvSpPr/>
                    <wps:spPr>
                      <a:xfrm>
                        <a:off x="0" y="0"/>
                        <a:ext cx="285749" cy="197336"/>
                      </a:xfrm>
                      <a:prstGeom prst="rect">
                        <a:avLst/>
                      </a:prstGeom>
                      <a:noFill/>
                      <a:ln w="6350" cap="flat" cmpd="sng">
                        <a:noFill/>
                        <a:prstDash val="solid"/>
                        <a:round/>
                      </a:ln>
                    </wps:spPr>
                    <wps:txbx>
                      <w:txbxContent>
                        <w:p w14:paraId="44FC62DC">
                          <w:pPr>
                            <w:pStyle w:val="14"/>
                            <w:ind w:firstLine="360"/>
                          </w:pPr>
                          <w:r>
                            <w:fldChar w:fldCharType="begin"/>
                          </w:r>
                          <w:r>
                            <w:instrText xml:space="preserve"> PAGE  \* MERGEFORMAT </w:instrText>
                          </w:r>
                          <w:r>
                            <w:fldChar w:fldCharType="separate"/>
                          </w:r>
                          <w:r>
                            <w:t>33</w:t>
                          </w:r>
                          <w:r>
                            <w:fldChar w:fldCharType="end"/>
                          </w:r>
                        </w:p>
                      </w:txbxContent>
                    </wps:txbx>
                    <wps:bodyPr vert="horz" wrap="none" lIns="0" tIns="0" rIns="0" bIns="0" anchor="t" anchorCtr="0" upright="1">
                      <a:spAutoFit/>
                    </wps:bodyPr>
                  </wps:wsp>
                </a:graphicData>
              </a:graphic>
            </wp:anchor>
          </w:drawing>
        </mc:Choice>
        <mc:Fallback>
          <w:pict>
            <v:rect id="文本框 1" o:spid="_x0000_s1026" o:spt="1" style="position:absolute;left:0pt;margin-top:0pt;height:15.55pt;width:22.5pt;mso-position-horizontal:center;mso-position-horizontal-relative:margin;mso-wrap-style:none;z-index:251659264;mso-width-relative:page;mso-height-relative:page;" filled="f" stroked="f" coordsize="21600,21600" o:gfxdata="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is4JDWAAAAAwEAAA8AAAAAAAAAAQAgAAAAIgAAAGRycy9k&#10;b3ducmV2LnhtbFBLAQIUABQAAAAIAIdO4kC3SEgGBAIAAPQDAAAOAAAAAAAAAAEAIAAAACUBAABk&#10;cnMvZTJvRG9jLnhtbFBLBQYAAAAABgAGAFkBAACbBQAAAAA=&#10;">
              <v:fill on="f" focussize="0,0"/>
              <v:stroke on="f" weight="0.5pt" joinstyle="round"/>
              <v:imagedata o:title=""/>
              <o:lock v:ext="edit" aspectratio="f"/>
              <v:textbox inset="0mm,0mm,0mm,0mm" style="mso-fit-shape-to-text:t;">
                <w:txbxContent>
                  <w:p w14:paraId="44FC62DC">
                    <w:pPr>
                      <w:pStyle w:val="14"/>
                      <w:ind w:firstLine="360"/>
                    </w:pPr>
                    <w:r>
                      <w:fldChar w:fldCharType="begin"/>
                    </w:r>
                    <w:r>
                      <w:instrText xml:space="preserve"> PAGE  \* MERGEFORMAT </w:instrText>
                    </w:r>
                    <w:r>
                      <w:fldChar w:fldCharType="separate"/>
                    </w:r>
                    <w:r>
                      <w:t>33</w:t>
                    </w:r>
                    <w:r>
                      <w:fldChar w:fldCharType="end"/>
                    </w:r>
                  </w:p>
                </w:txbxContent>
              </v:textbox>
            </v:rect>
          </w:pict>
        </mc:Fallback>
      </mc:AlternateContent>
    </w:r>
  </w:p>
  <w:p w14:paraId="558CAEAA">
    <w:pPr>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B67C3">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7421D">
    <w:pPr>
      <w:ind w:firstLine="640"/>
    </w:pPr>
    <w:r>
      <mc:AlternateContent>
        <mc:Choice Requires="wps">
          <w:drawing>
            <wp:anchor distT="0" distB="0" distL="113665" distR="113665" simplePos="0" relativeHeight="251660288" behindDoc="0" locked="0" layoutInCell="1" allowOverlap="1">
              <wp:simplePos x="0" y="0"/>
              <wp:positionH relativeFrom="margin">
                <wp:align>center</wp:align>
              </wp:positionH>
              <wp:positionV relativeFrom="paragraph">
                <wp:posOffset>0</wp:posOffset>
              </wp:positionV>
              <wp:extent cx="333375" cy="230505"/>
              <wp:effectExtent l="0" t="0" r="0" b="0"/>
              <wp:wrapNone/>
              <wp:docPr id="4" name="文本框 4"/>
              <wp:cNvGraphicFramePr/>
              <a:graphic xmlns:a="http://schemas.openxmlformats.org/drawingml/2006/main">
                <a:graphicData uri="http://schemas.microsoft.com/office/word/2010/wordprocessingShape">
                  <wps:wsp>
                    <wps:cNvSpPr/>
                    <wps:spPr>
                      <a:xfrm>
                        <a:off x="0" y="0"/>
                        <a:ext cx="333375" cy="230228"/>
                      </a:xfrm>
                      <a:prstGeom prst="rect">
                        <a:avLst/>
                      </a:prstGeom>
                      <a:noFill/>
                      <a:ln w="6350" cap="flat" cmpd="sng">
                        <a:noFill/>
                        <a:prstDash val="solid"/>
                        <a:round/>
                      </a:ln>
                    </wps:spPr>
                    <wps:txbx>
                      <w:txbxContent>
                        <w:p w14:paraId="486CB025">
                          <w:pPr>
                            <w:pStyle w:val="14"/>
                            <w:ind w:firstLine="420"/>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vert="horz" wrap="none" lIns="0" tIns="0" rIns="0" bIns="0" anchor="t" anchorCtr="0" upright="1">
                      <a:spAutoFit/>
                    </wps:bodyPr>
                  </wps:wsp>
                </a:graphicData>
              </a:graphic>
            </wp:anchor>
          </w:drawing>
        </mc:Choice>
        <mc:Fallback>
          <w:pict>
            <v:rect id="文本框 4" o:spid="_x0000_s1026" o:spt="1" style="position:absolute;left:0pt;margin-top:0pt;height:18.15pt;width:26.25pt;mso-position-horizontal:center;mso-position-horizontal-relative:margin;mso-wrap-style:none;z-index:251660288;mso-width-relative:page;mso-height-relative:page;" filled="f" stroked="f" coordsize="21600,21600" o:gfxdata="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uVbTbdgAAAADAQAADwAAAAAAAAABACAAAAAiAAAAZHJz&#10;L2Rvd25yZXYueG1sUEsBAhQAFAAAAAgAh07iQGldVKMEAgAA9AMAAA4AAAAAAAAAAQAgAAAAJwEA&#10;AGRycy9lMm9Eb2MueG1sUEsFBgAAAAAGAAYAWQEAAJ0FAAAAAA==&#10;">
              <v:fill on="f" focussize="0,0"/>
              <v:stroke on="f" weight="0.5pt" joinstyle="round"/>
              <v:imagedata o:title=""/>
              <o:lock v:ext="edit" aspectratio="f"/>
              <v:textbox inset="0mm,0mm,0mm,0mm" style="mso-fit-shape-to-text:t;">
                <w:txbxContent>
                  <w:p w14:paraId="486CB025">
                    <w:pPr>
                      <w:pStyle w:val="14"/>
                      <w:ind w:firstLine="420"/>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7C826">
    <w:pPr>
      <w:ind w:firstLine="480" w:firstLineChars="0"/>
      <w:jc w:val="right"/>
      <w:rPr>
        <w:rFonts w:ascii="宋体"/>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5C8AD">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5679F">
    <w:pPr>
      <w:ind w:left="42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C091FA"/>
    <w:multiLevelType w:val="multilevel"/>
    <w:tmpl w:val="EDC091FA"/>
    <w:lvl w:ilvl="0" w:tentative="0">
      <w:start w:val="1"/>
      <w:numFmt w:val="decimal"/>
      <w:pStyle w:val="2"/>
      <w:isLgl/>
      <w:suff w:val="nothing"/>
      <w:lvlText w:val="第%1章、"/>
      <w:lvlJc w:val="left"/>
      <w:pPr>
        <w:ind w:left="0" w:firstLine="0"/>
      </w:pPr>
      <w:rPr>
        <w:rFonts w:hint="eastAsia" w:ascii="仿宋_GB2312" w:eastAsia="仿宋_GB2312" w:cs="仿宋_GB2312"/>
        <w:sz w:val="32"/>
        <w:szCs w:val="32"/>
      </w:rPr>
    </w:lvl>
    <w:lvl w:ilvl="1" w:tentative="0">
      <w:start w:val="1"/>
      <w:numFmt w:val="decimal"/>
      <w:pStyle w:val="3"/>
      <w:isLgl/>
      <w:suff w:val="nothing"/>
      <w:lvlText w:val="%1.%2、"/>
      <w:lvlJc w:val="left"/>
      <w:pPr>
        <w:ind w:left="0" w:firstLine="0"/>
      </w:pPr>
      <w:rPr>
        <w:rFonts w:hint="eastAsia" w:ascii="仿宋_GB2312" w:eastAsia="仿宋_GB2312" w:cs="仿宋_GB2312"/>
        <w:sz w:val="32"/>
        <w:szCs w:val="32"/>
      </w:rPr>
    </w:lvl>
    <w:lvl w:ilvl="2" w:tentative="0">
      <w:start w:val="1"/>
      <w:numFmt w:val="decimal"/>
      <w:pStyle w:val="4"/>
      <w:isLgl/>
      <w:suff w:val="nothing"/>
      <w:lvlText w:val="%1.%2.%3、"/>
      <w:lvlJc w:val="left"/>
      <w:pPr>
        <w:ind w:left="0" w:firstLine="0"/>
      </w:pPr>
      <w:rPr>
        <w:rFonts w:hint="eastAsia" w:ascii="仿宋_GB2312" w:hAnsi="仿宋_GB2312" w:eastAsia="仿宋_GB2312" w:cs="仿宋_GB2312"/>
        <w:sz w:val="32"/>
        <w:szCs w:val="32"/>
      </w:rPr>
    </w:lvl>
    <w:lvl w:ilvl="3" w:tentative="0">
      <w:start w:val="1"/>
      <w:numFmt w:val="decimal"/>
      <w:pStyle w:val="7"/>
      <w:isLgl/>
      <w:suff w:val="nothing"/>
      <w:lvlText w:val="%1.%2.%3.%4、"/>
      <w:lvlJc w:val="left"/>
      <w:pPr>
        <w:ind w:left="0" w:firstLine="0"/>
      </w:pPr>
      <w:rPr>
        <w:rFonts w:hint="default" w:ascii="仿宋_GB2312" w:hAnsi="仿宋_GB2312" w:eastAsia="仿宋_GB2312" w:cs="仿宋_GB2312"/>
        <w:sz w:val="32"/>
        <w:szCs w:val="32"/>
      </w:rPr>
    </w:lvl>
    <w:lvl w:ilvl="4" w:tentative="0">
      <w:start w:val="1"/>
      <w:numFmt w:val="decimal"/>
      <w:pStyle w:val="8"/>
      <w:isLgl/>
      <w:suff w:val="nothing"/>
      <w:lvlText w:val="%1.%2.%3.%4.%5、"/>
      <w:lvlJc w:val="left"/>
      <w:pPr>
        <w:tabs>
          <w:tab w:val="left" w:pos="0"/>
        </w:tabs>
        <w:ind w:left="0" w:firstLine="0"/>
      </w:pPr>
      <w:rPr>
        <w:rFonts w:hint="default" w:ascii="宋体" w:hAnsi="宋体" w:eastAsia="宋体" w:cs="宋体"/>
      </w:rPr>
    </w:lvl>
    <w:lvl w:ilvl="5" w:tentative="0">
      <w:start w:val="1"/>
      <w:numFmt w:val="decimal"/>
      <w:pStyle w:val="9"/>
      <w:isLgl/>
      <w:suff w:val="nothing"/>
      <w:lvlText w:val="%1.%2.%3.%4.%5.%6、"/>
      <w:lvlJc w:val="left"/>
      <w:pPr>
        <w:ind w:left="0" w:firstLine="0"/>
      </w:pPr>
      <w:rPr>
        <w:rFonts w:hint="default" w:ascii="宋体" w:hAnsi="宋体" w:eastAsia="宋体" w:cs="宋体"/>
      </w:rPr>
    </w:lvl>
    <w:lvl w:ilvl="6" w:tentative="0">
      <w:start w:val="1"/>
      <w:numFmt w:val="decimal"/>
      <w:pStyle w:val="10"/>
      <w:isLgl/>
      <w:suff w:val="nothing"/>
      <w:lvlText w:val="%1.%2.%3.%4.%5.%6.%7、"/>
      <w:lvlJc w:val="left"/>
      <w:pPr>
        <w:ind w:left="0" w:firstLine="0"/>
      </w:pPr>
      <w:rPr>
        <w:rFonts w:hint="default" w:ascii="宋体" w:hAnsi="宋体" w:eastAsia="宋体" w:cs="宋体"/>
      </w:rPr>
    </w:lvl>
    <w:lvl w:ilvl="7" w:tentative="0">
      <w:start w:val="1"/>
      <w:numFmt w:val="decimal"/>
      <w:isLgl/>
      <w:suff w:val="nothing"/>
      <w:lvlText w:val="%1.%2.%3.%4.%5.%6.%7.%8、"/>
      <w:lvlJc w:val="left"/>
      <w:pPr>
        <w:ind w:left="0" w:firstLine="0"/>
      </w:pPr>
      <w:rPr>
        <w:rFonts w:hint="default" w:ascii="宋体" w:hAnsi="宋体" w:eastAsia="宋体" w:cs="宋体"/>
      </w:rPr>
    </w:lvl>
    <w:lvl w:ilvl="8" w:tentative="0">
      <w:start w:val="1"/>
      <w:numFmt w:val="decimal"/>
      <w:isLgl/>
      <w:suff w:val="nothing"/>
      <w:lvlText w:val="%1.%2.%3.%4.%5.%6.%7.%8.%9、"/>
      <w:lvlJc w:val="left"/>
      <w:pPr>
        <w:ind w:left="0" w:firstLine="0"/>
      </w:pPr>
      <w:rPr>
        <w:rFonts w:hint="default" w:ascii="宋体" w:hAnsi="宋体" w:eastAsia="宋体" w:cs="宋体"/>
      </w:rPr>
    </w:lvl>
  </w:abstractNum>
  <w:abstractNum w:abstractNumId="1">
    <w:nsid w:val="5007718F"/>
    <w:multiLevelType w:val="multilevel"/>
    <w:tmpl w:val="5007718F"/>
    <w:lvl w:ilvl="0" w:tentative="0">
      <w:start w:val="1"/>
      <w:numFmt w:val="bullet"/>
      <w:lvlText w:val=""/>
      <w:lvlJc w:val="left"/>
      <w:pPr>
        <w:tabs>
          <w:tab w:val="left" w:pos="0"/>
        </w:tabs>
        <w:ind w:left="900" w:hanging="420"/>
      </w:pPr>
      <w:rPr>
        <w:rFonts w:hint="default" w:ascii="Wingdings" w:hAnsi="Wingdings"/>
      </w:rPr>
    </w:lvl>
    <w:lvl w:ilvl="1" w:tentative="0">
      <w:start w:val="1"/>
      <w:numFmt w:val="bullet"/>
      <w:lvlText w:val=""/>
      <w:lvlJc w:val="left"/>
      <w:pPr>
        <w:tabs>
          <w:tab w:val="left" w:pos="0"/>
        </w:tabs>
        <w:ind w:left="1320" w:hanging="420"/>
      </w:pPr>
      <w:rPr>
        <w:rFonts w:hint="default" w:ascii="Wingdings" w:hAnsi="Wingdings"/>
      </w:rPr>
    </w:lvl>
    <w:lvl w:ilvl="2" w:tentative="0">
      <w:start w:val="1"/>
      <w:numFmt w:val="bullet"/>
      <w:lvlText w:val=""/>
      <w:lvlJc w:val="left"/>
      <w:pPr>
        <w:tabs>
          <w:tab w:val="left" w:pos="0"/>
        </w:tabs>
        <w:ind w:left="1740" w:hanging="420"/>
      </w:pPr>
      <w:rPr>
        <w:rFonts w:hint="default" w:ascii="Wingdings" w:hAnsi="Wingdings"/>
      </w:rPr>
    </w:lvl>
    <w:lvl w:ilvl="3" w:tentative="0">
      <w:start w:val="1"/>
      <w:numFmt w:val="bullet"/>
      <w:lvlText w:val=""/>
      <w:lvlJc w:val="left"/>
      <w:pPr>
        <w:tabs>
          <w:tab w:val="left" w:pos="0"/>
        </w:tabs>
        <w:ind w:left="2160" w:hanging="420"/>
      </w:pPr>
      <w:rPr>
        <w:rFonts w:hint="default" w:ascii="Wingdings" w:hAnsi="Wingdings"/>
      </w:rPr>
    </w:lvl>
    <w:lvl w:ilvl="4" w:tentative="0">
      <w:start w:val="1"/>
      <w:numFmt w:val="bullet"/>
      <w:lvlText w:val=""/>
      <w:lvlJc w:val="left"/>
      <w:pPr>
        <w:tabs>
          <w:tab w:val="left" w:pos="0"/>
        </w:tabs>
        <w:ind w:left="2580" w:hanging="420"/>
      </w:pPr>
      <w:rPr>
        <w:rFonts w:hint="default" w:ascii="Wingdings" w:hAnsi="Wingdings"/>
      </w:rPr>
    </w:lvl>
    <w:lvl w:ilvl="5" w:tentative="0">
      <w:start w:val="1"/>
      <w:numFmt w:val="bullet"/>
      <w:lvlText w:val=""/>
      <w:lvlJc w:val="left"/>
      <w:pPr>
        <w:tabs>
          <w:tab w:val="left" w:pos="0"/>
        </w:tabs>
        <w:ind w:left="3000" w:hanging="420"/>
      </w:pPr>
      <w:rPr>
        <w:rFonts w:hint="default" w:ascii="Wingdings" w:hAnsi="Wingdings"/>
      </w:rPr>
    </w:lvl>
    <w:lvl w:ilvl="6" w:tentative="0">
      <w:start w:val="1"/>
      <w:numFmt w:val="bullet"/>
      <w:lvlText w:val=""/>
      <w:lvlJc w:val="left"/>
      <w:pPr>
        <w:tabs>
          <w:tab w:val="left" w:pos="0"/>
        </w:tabs>
        <w:ind w:left="3420" w:hanging="420"/>
      </w:pPr>
      <w:rPr>
        <w:rFonts w:hint="default" w:ascii="Wingdings" w:hAnsi="Wingdings"/>
      </w:rPr>
    </w:lvl>
    <w:lvl w:ilvl="7" w:tentative="0">
      <w:start w:val="1"/>
      <w:numFmt w:val="bullet"/>
      <w:lvlText w:val=""/>
      <w:lvlJc w:val="left"/>
      <w:pPr>
        <w:tabs>
          <w:tab w:val="left" w:pos="0"/>
        </w:tabs>
        <w:ind w:left="3840" w:hanging="420"/>
      </w:pPr>
      <w:rPr>
        <w:rFonts w:hint="default" w:ascii="Wingdings" w:hAnsi="Wingdings"/>
      </w:rPr>
    </w:lvl>
    <w:lvl w:ilvl="8" w:tentative="0">
      <w:start w:val="1"/>
      <w:numFmt w:val="bullet"/>
      <w:lvlText w:val=""/>
      <w:lvlJc w:val="left"/>
      <w:pPr>
        <w:tabs>
          <w:tab w:val="left" w:pos="0"/>
        </w:tabs>
        <w:ind w:left="4260" w:hanging="420"/>
      </w:pPr>
      <w:rPr>
        <w:rFonts w:hint="default" w:ascii="Wingdings" w:hAnsi="Wingdings"/>
      </w:rPr>
    </w:lvl>
  </w:abstractNum>
  <w:abstractNum w:abstractNumId="2">
    <w:nsid w:val="6BC2F439"/>
    <w:multiLevelType w:val="singleLevel"/>
    <w:tmpl w:val="6BC2F439"/>
    <w:lvl w:ilvl="0" w:tentative="0">
      <w:start w:val="8"/>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燕鹏">
    <w15:presenceInfo w15:providerId="WPS Office" w15:userId="3296422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bordersDoNotSurroundHeader w:val="0"/>
  <w:bordersDoNotSurroundFooter w:val="0"/>
  <w:documentProtection w:enforcement="0"/>
  <w:defaultTabStop w:val="420"/>
  <w:drawingGridHorizontalSpacing w:val="1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ulTrailSpace/>
    <w:doNotExpandShiftReturn/>
    <w:adjustLineHeightInTable/>
    <w:doNotWrapTextWithPunct/>
    <w:doNotUseEastAsianBreakRules/>
    <w:useFELayout/>
    <w:doNotUseIndentAsNumberingTabStop/>
    <w:useAltKinsokuLineBreakRules/>
    <w:splitPgBreakAndParaMark/>
    <w:compatSetting w:name="compatibilityMode" w:uri="http://schemas.microsoft.com/office/word" w:val="14"/>
  </w:compat>
  <w:docVars>
    <w:docVar w:name="commondata" w:val="eyJoZGlkIjoiZDBhNTFiOWJlYzdlY2YxZWI3M2E5NGI2ZGU3YWUwYzcifQ=="/>
  </w:docVars>
  <w:rsids>
    <w:rsidRoot w:val="00DE14B2"/>
    <w:rsid w:val="000001D8"/>
    <w:rsid w:val="00006B26"/>
    <w:rsid w:val="00040611"/>
    <w:rsid w:val="00044BE8"/>
    <w:rsid w:val="00055815"/>
    <w:rsid w:val="00071551"/>
    <w:rsid w:val="0007260F"/>
    <w:rsid w:val="000E57AA"/>
    <w:rsid w:val="001113BD"/>
    <w:rsid w:val="00142385"/>
    <w:rsid w:val="00184C46"/>
    <w:rsid w:val="00197488"/>
    <w:rsid w:val="001B0862"/>
    <w:rsid w:val="001C28EC"/>
    <w:rsid w:val="00207B32"/>
    <w:rsid w:val="00220F31"/>
    <w:rsid w:val="00222AF2"/>
    <w:rsid w:val="002547F6"/>
    <w:rsid w:val="00293106"/>
    <w:rsid w:val="002B54E6"/>
    <w:rsid w:val="002C0E77"/>
    <w:rsid w:val="002D6A1C"/>
    <w:rsid w:val="003721E6"/>
    <w:rsid w:val="003728A8"/>
    <w:rsid w:val="003B1B69"/>
    <w:rsid w:val="003D7E5F"/>
    <w:rsid w:val="00405994"/>
    <w:rsid w:val="00431B57"/>
    <w:rsid w:val="00441D2F"/>
    <w:rsid w:val="004B395A"/>
    <w:rsid w:val="005008CE"/>
    <w:rsid w:val="0050754B"/>
    <w:rsid w:val="00511E67"/>
    <w:rsid w:val="005258D2"/>
    <w:rsid w:val="00573AB7"/>
    <w:rsid w:val="00580DE4"/>
    <w:rsid w:val="005917E8"/>
    <w:rsid w:val="005D3EBD"/>
    <w:rsid w:val="005D7754"/>
    <w:rsid w:val="005E020F"/>
    <w:rsid w:val="006142A6"/>
    <w:rsid w:val="006450D4"/>
    <w:rsid w:val="00665AA6"/>
    <w:rsid w:val="00680B71"/>
    <w:rsid w:val="00684E27"/>
    <w:rsid w:val="00734D9C"/>
    <w:rsid w:val="00761116"/>
    <w:rsid w:val="007B4529"/>
    <w:rsid w:val="007C5EF3"/>
    <w:rsid w:val="007F3134"/>
    <w:rsid w:val="008132FF"/>
    <w:rsid w:val="008A160B"/>
    <w:rsid w:val="008C09C2"/>
    <w:rsid w:val="008D299B"/>
    <w:rsid w:val="008D7804"/>
    <w:rsid w:val="00907753"/>
    <w:rsid w:val="009503AD"/>
    <w:rsid w:val="00995418"/>
    <w:rsid w:val="009A0B62"/>
    <w:rsid w:val="009A76E6"/>
    <w:rsid w:val="00A13C8A"/>
    <w:rsid w:val="00A25CC4"/>
    <w:rsid w:val="00A276B4"/>
    <w:rsid w:val="00A31135"/>
    <w:rsid w:val="00A54586"/>
    <w:rsid w:val="00A66873"/>
    <w:rsid w:val="00A83689"/>
    <w:rsid w:val="00AA03CE"/>
    <w:rsid w:val="00AA426F"/>
    <w:rsid w:val="00AA45DD"/>
    <w:rsid w:val="00AA7BCC"/>
    <w:rsid w:val="00AE0734"/>
    <w:rsid w:val="00AE57E0"/>
    <w:rsid w:val="00B13241"/>
    <w:rsid w:val="00B609D0"/>
    <w:rsid w:val="00B655A9"/>
    <w:rsid w:val="00B82A0A"/>
    <w:rsid w:val="00BB63F5"/>
    <w:rsid w:val="00BC0375"/>
    <w:rsid w:val="00BE2F69"/>
    <w:rsid w:val="00C23F76"/>
    <w:rsid w:val="00C23FF2"/>
    <w:rsid w:val="00C37528"/>
    <w:rsid w:val="00C5028B"/>
    <w:rsid w:val="00C75280"/>
    <w:rsid w:val="00C868C6"/>
    <w:rsid w:val="00CC1E2C"/>
    <w:rsid w:val="00D0637D"/>
    <w:rsid w:val="00D33162"/>
    <w:rsid w:val="00D36D47"/>
    <w:rsid w:val="00D83728"/>
    <w:rsid w:val="00D97399"/>
    <w:rsid w:val="00DA4DA7"/>
    <w:rsid w:val="00DA750B"/>
    <w:rsid w:val="00DE14B2"/>
    <w:rsid w:val="00E84B92"/>
    <w:rsid w:val="00EF70E6"/>
    <w:rsid w:val="00EF75AD"/>
    <w:rsid w:val="00F05268"/>
    <w:rsid w:val="00F07553"/>
    <w:rsid w:val="00F114C3"/>
    <w:rsid w:val="00F13C6D"/>
    <w:rsid w:val="00F50412"/>
    <w:rsid w:val="00F540DA"/>
    <w:rsid w:val="00F97078"/>
    <w:rsid w:val="00FA4B3F"/>
    <w:rsid w:val="00FA74F5"/>
    <w:rsid w:val="01473F4A"/>
    <w:rsid w:val="025C1016"/>
    <w:rsid w:val="02C95F7F"/>
    <w:rsid w:val="03B86720"/>
    <w:rsid w:val="04E43544"/>
    <w:rsid w:val="05550990"/>
    <w:rsid w:val="05A06CA9"/>
    <w:rsid w:val="095F3199"/>
    <w:rsid w:val="099D4D63"/>
    <w:rsid w:val="0A314B36"/>
    <w:rsid w:val="0C154162"/>
    <w:rsid w:val="0C1579B9"/>
    <w:rsid w:val="1081433D"/>
    <w:rsid w:val="11A021F8"/>
    <w:rsid w:val="12072620"/>
    <w:rsid w:val="121126C3"/>
    <w:rsid w:val="14A35D1B"/>
    <w:rsid w:val="15AF6C3E"/>
    <w:rsid w:val="16500A3A"/>
    <w:rsid w:val="1699418F"/>
    <w:rsid w:val="16A3500D"/>
    <w:rsid w:val="176A1687"/>
    <w:rsid w:val="17D704C5"/>
    <w:rsid w:val="1AFE1878"/>
    <w:rsid w:val="1B650AE3"/>
    <w:rsid w:val="1C054410"/>
    <w:rsid w:val="1D5C4168"/>
    <w:rsid w:val="1DED6B6E"/>
    <w:rsid w:val="1E71478C"/>
    <w:rsid w:val="1E727CBC"/>
    <w:rsid w:val="1EEA071F"/>
    <w:rsid w:val="20017736"/>
    <w:rsid w:val="205A4AEA"/>
    <w:rsid w:val="205F328E"/>
    <w:rsid w:val="21A743D0"/>
    <w:rsid w:val="21FB50AD"/>
    <w:rsid w:val="23906B21"/>
    <w:rsid w:val="245B503A"/>
    <w:rsid w:val="24D765E5"/>
    <w:rsid w:val="25BE2125"/>
    <w:rsid w:val="26BC6CB3"/>
    <w:rsid w:val="279F47FB"/>
    <w:rsid w:val="29982084"/>
    <w:rsid w:val="2AB54EB7"/>
    <w:rsid w:val="2ADF6481"/>
    <w:rsid w:val="2BA12E45"/>
    <w:rsid w:val="2BFD118A"/>
    <w:rsid w:val="2CE341B5"/>
    <w:rsid w:val="2D044655"/>
    <w:rsid w:val="33354DE7"/>
    <w:rsid w:val="33D2608F"/>
    <w:rsid w:val="34152116"/>
    <w:rsid w:val="342509B8"/>
    <w:rsid w:val="35284C04"/>
    <w:rsid w:val="3551759A"/>
    <w:rsid w:val="374970B3"/>
    <w:rsid w:val="38E066E2"/>
    <w:rsid w:val="3AF31810"/>
    <w:rsid w:val="3C117F76"/>
    <w:rsid w:val="3D09356D"/>
    <w:rsid w:val="3D7372E2"/>
    <w:rsid w:val="3DF1910B"/>
    <w:rsid w:val="3E040B1B"/>
    <w:rsid w:val="3E18267B"/>
    <w:rsid w:val="3E235B37"/>
    <w:rsid w:val="3E3A59A8"/>
    <w:rsid w:val="3EA13331"/>
    <w:rsid w:val="3FAA11AB"/>
    <w:rsid w:val="3FAC4683"/>
    <w:rsid w:val="401A339B"/>
    <w:rsid w:val="40203ED2"/>
    <w:rsid w:val="41065329"/>
    <w:rsid w:val="42580C1A"/>
    <w:rsid w:val="42655450"/>
    <w:rsid w:val="43544E16"/>
    <w:rsid w:val="43633A7C"/>
    <w:rsid w:val="43C27941"/>
    <w:rsid w:val="444035EC"/>
    <w:rsid w:val="44EF6789"/>
    <w:rsid w:val="47EF335F"/>
    <w:rsid w:val="48746EA5"/>
    <w:rsid w:val="495A6EFE"/>
    <w:rsid w:val="4B2C65CB"/>
    <w:rsid w:val="4B8C6669"/>
    <w:rsid w:val="4BA6467C"/>
    <w:rsid w:val="4BB91B5C"/>
    <w:rsid w:val="4BE3142D"/>
    <w:rsid w:val="4FFFDF74"/>
    <w:rsid w:val="50DB2588"/>
    <w:rsid w:val="50E17E85"/>
    <w:rsid w:val="510E519D"/>
    <w:rsid w:val="51991768"/>
    <w:rsid w:val="519B00B4"/>
    <w:rsid w:val="51FE6777"/>
    <w:rsid w:val="545E1AF3"/>
    <w:rsid w:val="547C3BEB"/>
    <w:rsid w:val="54C363D2"/>
    <w:rsid w:val="55E262B1"/>
    <w:rsid w:val="56DD50D8"/>
    <w:rsid w:val="5850031A"/>
    <w:rsid w:val="59200EBE"/>
    <w:rsid w:val="592A3E44"/>
    <w:rsid w:val="5A8A2006"/>
    <w:rsid w:val="5AED1980"/>
    <w:rsid w:val="5CFA4828"/>
    <w:rsid w:val="5DD50E01"/>
    <w:rsid w:val="61952D71"/>
    <w:rsid w:val="6196125C"/>
    <w:rsid w:val="62624078"/>
    <w:rsid w:val="62E04775"/>
    <w:rsid w:val="640F0BB9"/>
    <w:rsid w:val="643061AF"/>
    <w:rsid w:val="64941A0B"/>
    <w:rsid w:val="66062811"/>
    <w:rsid w:val="6727621A"/>
    <w:rsid w:val="6905258B"/>
    <w:rsid w:val="690802CD"/>
    <w:rsid w:val="696639DE"/>
    <w:rsid w:val="697D6A70"/>
    <w:rsid w:val="6A6C729D"/>
    <w:rsid w:val="6A89377A"/>
    <w:rsid w:val="6A9F1E10"/>
    <w:rsid w:val="6C9119BB"/>
    <w:rsid w:val="6CEE3336"/>
    <w:rsid w:val="6CEF076B"/>
    <w:rsid w:val="6DA1020B"/>
    <w:rsid w:val="6EAB1F1A"/>
    <w:rsid w:val="6F9A7C6C"/>
    <w:rsid w:val="70D95B40"/>
    <w:rsid w:val="710D46D2"/>
    <w:rsid w:val="718A0F92"/>
    <w:rsid w:val="71A62431"/>
    <w:rsid w:val="72FC3550"/>
    <w:rsid w:val="73395984"/>
    <w:rsid w:val="74221D42"/>
    <w:rsid w:val="74862DDB"/>
    <w:rsid w:val="75A82C1C"/>
    <w:rsid w:val="75BF1D13"/>
    <w:rsid w:val="75FE6CDF"/>
    <w:rsid w:val="76CD2FBD"/>
    <w:rsid w:val="7777004C"/>
    <w:rsid w:val="78371D92"/>
    <w:rsid w:val="784F3822"/>
    <w:rsid w:val="78625300"/>
    <w:rsid w:val="795409C4"/>
    <w:rsid w:val="79915775"/>
    <w:rsid w:val="7A354DCF"/>
    <w:rsid w:val="7A4E3666"/>
    <w:rsid w:val="7BCB7041"/>
    <w:rsid w:val="7C435362"/>
    <w:rsid w:val="7C64670A"/>
    <w:rsid w:val="7E2C3CBE"/>
    <w:rsid w:val="7E4C53AD"/>
    <w:rsid w:val="9BBBB58B"/>
    <w:rsid w:val="EBFDBE9B"/>
    <w:rsid w:val="FEBFDE94"/>
    <w:rsid w:val="FFDF5965"/>
    <w:rsid w:val="FFFF4D9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_GB2312" w:cs="Times New Roman"/>
      <w:kern w:val="2"/>
      <w:sz w:val="32"/>
      <w:szCs w:val="22"/>
      <w:lang w:val="en-US" w:eastAsia="zh-CN" w:bidi="ar-SA"/>
    </w:rPr>
  </w:style>
  <w:style w:type="paragraph" w:styleId="2">
    <w:name w:val="heading 1"/>
    <w:next w:val="1"/>
    <w:qFormat/>
    <w:uiPriority w:val="0"/>
    <w:pPr>
      <w:keepNext/>
      <w:keepLines/>
      <w:numPr>
        <w:ilvl w:val="0"/>
        <w:numId w:val="1"/>
      </w:numPr>
      <w:tabs>
        <w:tab w:val="left" w:pos="0"/>
      </w:tabs>
      <w:spacing w:before="120" w:after="120" w:line="360" w:lineRule="auto"/>
      <w:outlineLvl w:val="0"/>
    </w:pPr>
    <w:rPr>
      <w:rFonts w:ascii="Times New Roman" w:hAnsi="Times New Roman" w:eastAsia="宋体" w:cs="Times New Roman"/>
      <w:b/>
      <w:bCs/>
      <w:kern w:val="44"/>
      <w:sz w:val="32"/>
      <w:szCs w:val="44"/>
      <w:lang w:val="en-US" w:eastAsia="zh-CN" w:bidi="ar-SA"/>
    </w:rPr>
  </w:style>
  <w:style w:type="paragraph" w:styleId="3">
    <w:name w:val="heading 2"/>
    <w:basedOn w:val="1"/>
    <w:next w:val="1"/>
    <w:qFormat/>
    <w:uiPriority w:val="0"/>
    <w:pPr>
      <w:keepNext/>
      <w:keepLines/>
      <w:numPr>
        <w:ilvl w:val="1"/>
        <w:numId w:val="1"/>
      </w:numPr>
      <w:tabs>
        <w:tab w:val="left" w:pos="0"/>
      </w:tabs>
      <w:spacing w:before="120" w:after="120"/>
      <w:ind w:firstLineChars="0"/>
      <w:outlineLvl w:val="1"/>
    </w:pPr>
    <w:rPr>
      <w:b/>
      <w:bCs/>
      <w:sz w:val="30"/>
      <w:szCs w:val="32"/>
    </w:rPr>
  </w:style>
  <w:style w:type="paragraph" w:styleId="4">
    <w:name w:val="heading 3"/>
    <w:basedOn w:val="1"/>
    <w:next w:val="5"/>
    <w:qFormat/>
    <w:uiPriority w:val="0"/>
    <w:pPr>
      <w:keepNext/>
      <w:keepLines/>
      <w:numPr>
        <w:ilvl w:val="2"/>
        <w:numId w:val="1"/>
      </w:numPr>
      <w:tabs>
        <w:tab w:val="left" w:pos="0"/>
      </w:tabs>
      <w:spacing w:before="120" w:after="120"/>
      <w:ind w:firstLineChars="0"/>
      <w:outlineLvl w:val="2"/>
    </w:pPr>
    <w:rPr>
      <w:b/>
      <w:bCs/>
      <w:szCs w:val="32"/>
    </w:rPr>
  </w:style>
  <w:style w:type="paragraph" w:styleId="7">
    <w:name w:val="heading 4"/>
    <w:basedOn w:val="1"/>
    <w:next w:val="1"/>
    <w:link w:val="24"/>
    <w:qFormat/>
    <w:uiPriority w:val="0"/>
    <w:pPr>
      <w:keepNext/>
      <w:keepLines/>
      <w:numPr>
        <w:ilvl w:val="3"/>
        <w:numId w:val="1"/>
      </w:numPr>
      <w:tabs>
        <w:tab w:val="left" w:pos="0"/>
        <w:tab w:val="left" w:pos="284"/>
      </w:tabs>
      <w:spacing w:before="120" w:after="120"/>
      <w:ind w:firstLineChars="0"/>
      <w:outlineLvl w:val="3"/>
    </w:pPr>
    <w:rPr>
      <w:b/>
      <w:bCs/>
      <w:szCs w:val="28"/>
    </w:rPr>
  </w:style>
  <w:style w:type="paragraph" w:styleId="8">
    <w:name w:val="heading 5"/>
    <w:basedOn w:val="1"/>
    <w:next w:val="5"/>
    <w:qFormat/>
    <w:uiPriority w:val="0"/>
    <w:pPr>
      <w:keepNext/>
      <w:keepLines/>
      <w:numPr>
        <w:ilvl w:val="4"/>
        <w:numId w:val="1"/>
      </w:numPr>
      <w:tabs>
        <w:tab w:val="left" w:pos="710"/>
        <w:tab w:val="left" w:pos="2978"/>
      </w:tabs>
      <w:spacing w:before="120" w:after="120"/>
      <w:ind w:firstLineChars="0"/>
      <w:outlineLvl w:val="4"/>
    </w:pPr>
    <w:rPr>
      <w:b/>
      <w:bCs/>
      <w:szCs w:val="28"/>
    </w:rPr>
  </w:style>
  <w:style w:type="paragraph" w:styleId="9">
    <w:name w:val="heading 6"/>
    <w:basedOn w:val="1"/>
    <w:next w:val="1"/>
    <w:link w:val="22"/>
    <w:unhideWhenUsed/>
    <w:qFormat/>
    <w:uiPriority w:val="0"/>
    <w:pPr>
      <w:keepNext/>
      <w:keepLines/>
      <w:numPr>
        <w:ilvl w:val="5"/>
        <w:numId w:val="1"/>
      </w:numPr>
      <w:spacing w:before="240" w:after="64"/>
      <w:ind w:firstLineChars="0"/>
      <w:outlineLvl w:val="5"/>
    </w:pPr>
    <w:rPr>
      <w:rFonts w:asciiTheme="majorHAnsi" w:hAnsiTheme="majorHAnsi" w:cstheme="majorBidi"/>
      <w:b/>
      <w:bCs/>
      <w:szCs w:val="24"/>
    </w:rPr>
  </w:style>
  <w:style w:type="paragraph" w:styleId="10">
    <w:name w:val="heading 7"/>
    <w:basedOn w:val="1"/>
    <w:next w:val="1"/>
    <w:semiHidden/>
    <w:unhideWhenUsed/>
    <w:qFormat/>
    <w:uiPriority w:val="0"/>
    <w:pPr>
      <w:keepNext/>
      <w:keepLines/>
      <w:numPr>
        <w:ilvl w:val="6"/>
        <w:numId w:val="1"/>
      </w:numPr>
      <w:tabs>
        <w:tab w:val="left" w:pos="420"/>
      </w:tabs>
      <w:spacing w:before="60" w:after="60"/>
      <w:ind w:firstLineChars="0"/>
      <w:jc w:val="left"/>
      <w:outlineLvl w:val="6"/>
    </w:pPr>
    <w:rPr>
      <w:b/>
      <w:sz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5">
    <w:name w:val="正文2"/>
    <w:basedOn w:val="6"/>
    <w:next w:val="1"/>
    <w:qFormat/>
    <w:uiPriority w:val="0"/>
  </w:style>
  <w:style w:type="paragraph" w:customStyle="1" w:styleId="6">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1">
    <w:name w:val="annotation text"/>
    <w:basedOn w:val="1"/>
    <w:link w:val="26"/>
    <w:qFormat/>
    <w:uiPriority w:val="0"/>
    <w:pPr>
      <w:jc w:val="left"/>
    </w:pPr>
  </w:style>
  <w:style w:type="paragraph" w:styleId="12">
    <w:name w:val="Body Text"/>
    <w:basedOn w:val="1"/>
    <w:next w:val="1"/>
    <w:qFormat/>
    <w:uiPriority w:val="0"/>
    <w:pPr>
      <w:spacing w:after="120"/>
    </w:pPr>
  </w:style>
  <w:style w:type="paragraph" w:styleId="13">
    <w:name w:val="Balloon Text"/>
    <w:basedOn w:val="1"/>
    <w:link w:val="28"/>
    <w:qFormat/>
    <w:uiPriority w:val="0"/>
    <w:pPr>
      <w:spacing w:line="240" w:lineRule="auto"/>
    </w:pPr>
    <w:rPr>
      <w:sz w:val="18"/>
      <w:szCs w:val="18"/>
    </w:rPr>
  </w:style>
  <w:style w:type="paragraph" w:styleId="14">
    <w:name w:val="footer"/>
    <w:basedOn w:val="1"/>
    <w:qFormat/>
    <w:uiPriority w:val="0"/>
    <w:pPr>
      <w:tabs>
        <w:tab w:val="center" w:pos="4153"/>
        <w:tab w:val="right" w:pos="8306"/>
      </w:tabs>
      <w:snapToGrid w:val="0"/>
    </w:pPr>
    <w:rPr>
      <w:sz w:val="18"/>
      <w:szCs w:val="18"/>
    </w:rPr>
  </w:style>
  <w:style w:type="paragraph" w:styleId="15">
    <w:name w:val="header"/>
    <w:basedOn w:val="1"/>
    <w:link w:val="29"/>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6">
    <w:name w:val="Normal (Web)"/>
    <w:basedOn w:val="1"/>
    <w:qFormat/>
    <w:uiPriority w:val="0"/>
    <w:pPr>
      <w:spacing w:beforeAutospacing="1" w:afterAutospacing="1"/>
      <w:jc w:val="left"/>
    </w:pPr>
    <w:rPr>
      <w:kern w:val="0"/>
      <w:sz w:val="24"/>
    </w:rPr>
  </w:style>
  <w:style w:type="paragraph" w:styleId="17">
    <w:name w:val="Title"/>
    <w:basedOn w:val="1"/>
    <w:next w:val="1"/>
    <w:link w:val="30"/>
    <w:qFormat/>
    <w:uiPriority w:val="0"/>
    <w:pPr>
      <w:spacing w:before="240" w:after="60"/>
      <w:jc w:val="center"/>
      <w:outlineLvl w:val="0"/>
    </w:pPr>
    <w:rPr>
      <w:rFonts w:eastAsia="宋体" w:asciiTheme="majorHAnsi" w:hAnsiTheme="majorHAnsi" w:cstheme="majorBidi"/>
      <w:b/>
      <w:bCs/>
      <w:szCs w:val="32"/>
    </w:rPr>
  </w:style>
  <w:style w:type="paragraph" w:styleId="18">
    <w:name w:val="annotation subject"/>
    <w:basedOn w:val="11"/>
    <w:next w:val="11"/>
    <w:link w:val="27"/>
    <w:qFormat/>
    <w:uiPriority w:val="0"/>
    <w:rPr>
      <w:b/>
      <w:bCs/>
    </w:rPr>
  </w:style>
  <w:style w:type="character" w:styleId="21">
    <w:name w:val="annotation reference"/>
    <w:basedOn w:val="20"/>
    <w:qFormat/>
    <w:uiPriority w:val="0"/>
    <w:rPr>
      <w:sz w:val="21"/>
      <w:szCs w:val="21"/>
    </w:rPr>
  </w:style>
  <w:style w:type="character" w:customStyle="1" w:styleId="22">
    <w:name w:val="标题 6 Char"/>
    <w:basedOn w:val="20"/>
    <w:link w:val="9"/>
    <w:qFormat/>
    <w:uiPriority w:val="0"/>
    <w:rPr>
      <w:rFonts w:eastAsia="仿宋_GB2312" w:asciiTheme="majorHAnsi" w:hAnsiTheme="majorHAnsi" w:cstheme="majorBidi"/>
      <w:b/>
      <w:bCs/>
      <w:kern w:val="2"/>
      <w:sz w:val="32"/>
      <w:szCs w:val="24"/>
    </w:rPr>
  </w:style>
  <w:style w:type="paragraph" w:customStyle="1" w:styleId="23">
    <w:name w:val="样式 首行缩进:  2 字符"/>
    <w:qFormat/>
    <w:uiPriority w:val="0"/>
    <w:pPr>
      <w:widowControl w:val="0"/>
      <w:spacing w:before="81" w:beforeLines="25" w:after="81" w:afterLines="25" w:line="360" w:lineRule="auto"/>
      <w:ind w:firstLine="576" w:firstLineChars="200"/>
      <w:jc w:val="both"/>
    </w:pPr>
    <w:rPr>
      <w:rFonts w:ascii="宋体" w:hAnsi="Times New Roman" w:eastAsia="宋体" w:cs="Times New Roman"/>
      <w:spacing w:val="4"/>
      <w:kern w:val="2"/>
      <w:sz w:val="28"/>
      <w:lang w:val="en-US" w:eastAsia="zh-CN" w:bidi="ar-SA"/>
    </w:rPr>
  </w:style>
  <w:style w:type="character" w:customStyle="1" w:styleId="24">
    <w:name w:val="标题 4 Char"/>
    <w:basedOn w:val="20"/>
    <w:link w:val="7"/>
    <w:qFormat/>
    <w:uiPriority w:val="0"/>
    <w:rPr>
      <w:rFonts w:eastAsia="仿宋_GB2312"/>
      <w:b/>
      <w:bCs/>
      <w:kern w:val="2"/>
      <w:sz w:val="32"/>
      <w:szCs w:val="28"/>
    </w:rPr>
  </w:style>
  <w:style w:type="paragraph" w:customStyle="1" w:styleId="25">
    <w:name w:val="列出段落1"/>
    <w:basedOn w:val="1"/>
    <w:qFormat/>
    <w:uiPriority w:val="0"/>
  </w:style>
  <w:style w:type="character" w:customStyle="1" w:styleId="26">
    <w:name w:val="批注文字 Char"/>
    <w:basedOn w:val="20"/>
    <w:link w:val="11"/>
    <w:qFormat/>
    <w:uiPriority w:val="0"/>
    <w:rPr>
      <w:kern w:val="2"/>
      <w:sz w:val="24"/>
      <w:szCs w:val="22"/>
    </w:rPr>
  </w:style>
  <w:style w:type="character" w:customStyle="1" w:styleId="27">
    <w:name w:val="批注主题 Char"/>
    <w:basedOn w:val="26"/>
    <w:link w:val="18"/>
    <w:qFormat/>
    <w:uiPriority w:val="0"/>
    <w:rPr>
      <w:b/>
      <w:bCs/>
      <w:kern w:val="2"/>
      <w:sz w:val="24"/>
      <w:szCs w:val="22"/>
    </w:rPr>
  </w:style>
  <w:style w:type="character" w:customStyle="1" w:styleId="28">
    <w:name w:val="批注框文本 Char"/>
    <w:basedOn w:val="20"/>
    <w:link w:val="13"/>
    <w:qFormat/>
    <w:uiPriority w:val="0"/>
    <w:rPr>
      <w:kern w:val="2"/>
      <w:sz w:val="18"/>
      <w:szCs w:val="18"/>
    </w:rPr>
  </w:style>
  <w:style w:type="character" w:customStyle="1" w:styleId="29">
    <w:name w:val="页眉 Char"/>
    <w:basedOn w:val="20"/>
    <w:link w:val="15"/>
    <w:qFormat/>
    <w:uiPriority w:val="0"/>
    <w:rPr>
      <w:rFonts w:eastAsia="仿宋_GB2312"/>
      <w:kern w:val="2"/>
      <w:sz w:val="18"/>
      <w:szCs w:val="18"/>
    </w:rPr>
  </w:style>
  <w:style w:type="character" w:customStyle="1" w:styleId="30">
    <w:name w:val="标题 Char"/>
    <w:basedOn w:val="20"/>
    <w:link w:val="17"/>
    <w:qFormat/>
    <w:uiPriority w:val="0"/>
    <w:rPr>
      <w:rFonts w:asciiTheme="majorHAnsi" w:hAnsiTheme="majorHAnsi" w:cstheme="majorBidi"/>
      <w:b/>
      <w:bCs/>
      <w:kern w:val="2"/>
      <w:sz w:val="32"/>
      <w:szCs w:val="32"/>
    </w:rPr>
  </w:style>
  <w:style w:type="paragraph" w:styleId="31">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13337</Words>
  <Characters>14742</Characters>
  <Lines>111</Lines>
  <Paragraphs>31</Paragraphs>
  <TotalTime>4</TotalTime>
  <ScaleCrop>false</ScaleCrop>
  <LinksUpToDate>false</LinksUpToDate>
  <CharactersWithSpaces>14799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2024-06-20T16:35:00Z</dcterms:created>
  <dc:creator>燕鹏</dc:creator>
  <cp:lastModifiedBy>翠儿</cp:lastModifiedBy>
  <dcterms:modified xsi:type="dcterms:W3CDTF">2024-08-13T02:56:16Z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7B661067C9EA4FBFB610AA96375AC998_13</vt:lpwstr>
  </property>
</Properties>
</file>