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firstLine="880" w:firstLineChars="200"/>
        <w:jc w:val="center"/>
        <w:textAlignment w:val="auto"/>
        <w:rPr>
          <w:rFonts w:hint="default" w:ascii="方正小标宋简体" w:hAnsi="方正小标宋简体" w:eastAsia="方正小标宋简体" w:cs="方正小标宋简体"/>
          <w:b w:val="0"/>
          <w:bCs/>
          <w:sz w:val="44"/>
          <w:szCs w:val="44"/>
          <w:highlight w:val="none"/>
          <w:lang w:val="en-US" w:eastAsia="zh-CN"/>
        </w:rPr>
      </w:pPr>
      <w:r>
        <w:rPr>
          <w:rFonts w:hint="eastAsia" w:ascii="方正小标宋简体" w:hAnsi="方正小标宋简体" w:eastAsia="方正小标宋简体" w:cs="方正小标宋简体"/>
          <w:b w:val="0"/>
          <w:bCs/>
          <w:sz w:val="44"/>
          <w:szCs w:val="44"/>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sz w:val="44"/>
          <w:szCs w:val="44"/>
          <w:highlight w:val="none"/>
          <w:lang w:val="en-US" w:eastAsia="zh-CN"/>
        </w:rPr>
      </w:pPr>
      <w:r>
        <w:rPr>
          <w:rFonts w:hint="eastAsia" w:ascii="方正小标宋_GBK" w:hAnsi="方正小标宋_GBK" w:eastAsia="方正小标宋_GBK" w:cs="方正小标宋_GBK"/>
          <w:sz w:val="44"/>
          <w:szCs w:val="44"/>
          <w:highlight w:val="none"/>
          <w:lang w:val="en-US" w:eastAsia="zh-CN"/>
        </w:rPr>
        <w:t>编制</w:t>
      </w:r>
      <w:r>
        <w:rPr>
          <w:rFonts w:hint="eastAsia" w:ascii="方正小标宋_GBK" w:hAnsi="方正小标宋_GBK" w:eastAsia="方正小标宋_GBK" w:cs="方正小标宋_GBK"/>
          <w:b w:val="0"/>
          <w:bCs/>
          <w:sz w:val="44"/>
          <w:szCs w:val="44"/>
          <w:highlight w:val="none"/>
          <w:lang w:eastAsia="zh-CN"/>
        </w:rPr>
        <w:t>廊坊市</w:t>
      </w:r>
      <w:bookmarkStart w:id="0" w:name="OLE_LINK1"/>
      <w:r>
        <w:rPr>
          <w:rFonts w:hint="eastAsia" w:ascii="方正小标宋_GBK" w:hAnsi="方正小标宋_GBK" w:eastAsia="方正小标宋_GBK" w:cs="方正小标宋_GBK"/>
          <w:sz w:val="44"/>
          <w:szCs w:val="44"/>
          <w:highlight w:val="none"/>
          <w:lang w:val="en-US" w:eastAsia="zh-CN"/>
        </w:rPr>
        <w:t>黄金珠宝产业发展工作计划</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sz w:val="44"/>
          <w:szCs w:val="44"/>
          <w:highlight w:val="none"/>
          <w:lang w:eastAsia="zh-CN"/>
        </w:rPr>
      </w:pPr>
      <w:r>
        <w:rPr>
          <w:rFonts w:hint="eastAsia" w:ascii="方正小标宋_GBK" w:hAnsi="方正小标宋_GBK" w:eastAsia="方正小标宋_GBK" w:cs="方正小标宋_GBK"/>
          <w:sz w:val="44"/>
          <w:szCs w:val="44"/>
          <w:highlight w:val="none"/>
          <w:lang w:val="en-US" w:eastAsia="zh-CN"/>
        </w:rPr>
        <w:t>策划服务</w:t>
      </w:r>
      <w:bookmarkEnd w:id="0"/>
      <w:r>
        <w:rPr>
          <w:rFonts w:hint="eastAsia" w:ascii="方正小标宋_GBK" w:hAnsi="方正小标宋_GBK" w:eastAsia="方正小标宋_GBK" w:cs="方正小标宋_GBK"/>
          <w:b w:val="0"/>
          <w:bCs/>
          <w:sz w:val="44"/>
          <w:szCs w:val="44"/>
          <w:highlight w:val="none"/>
          <w:lang w:eastAsia="zh-CN"/>
        </w:rPr>
        <w:t>招标公告</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default" w:ascii="Times New Roman" w:hAnsi="Times New Roman" w:eastAsia="仿宋" w:cs="Times New Roman"/>
          <w:sz w:val="24"/>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为科学编</w:t>
      </w:r>
      <w:r>
        <w:rPr>
          <w:rFonts w:hint="eastAsia" w:ascii="仿宋_GB2312" w:hAnsi="仿宋_GB2312" w:eastAsia="仿宋_GB2312" w:cs="仿宋_GB2312"/>
          <w:sz w:val="32"/>
          <w:szCs w:val="32"/>
          <w:highlight w:val="none"/>
          <w:lang w:val="en-US" w:eastAsia="zh-CN"/>
        </w:rPr>
        <w:t>制我市黄金珠宝产业发展工作计划</w:t>
      </w:r>
      <w:r>
        <w:rPr>
          <w:rFonts w:hint="eastAsia" w:ascii="仿宋_GB2312" w:hAnsi="仿宋_GB2312" w:eastAsia="仿宋_GB2312" w:cs="仿宋_GB2312"/>
          <w:sz w:val="32"/>
          <w:szCs w:val="32"/>
          <w:highlight w:val="none"/>
          <w:lang w:eastAsia="zh-CN"/>
        </w:rPr>
        <w:t>，廊坊市发展和改革委员会拟通过综合比选</w:t>
      </w:r>
      <w:r>
        <w:rPr>
          <w:rFonts w:hint="eastAsia" w:ascii="仿宋_GB2312" w:hAnsi="仿宋_GB2312" w:eastAsia="仿宋_GB2312" w:cs="仿宋_GB2312"/>
          <w:sz w:val="32"/>
          <w:szCs w:val="32"/>
          <w:highlight w:val="none"/>
        </w:rPr>
        <w:t>的方式选定廊坊市黄金珠宝产业发展工作计划策划服务单位</w:t>
      </w:r>
      <w:r>
        <w:rPr>
          <w:rFonts w:hint="eastAsia" w:ascii="仿宋_GB2312" w:hAnsi="仿宋_GB2312" w:eastAsia="仿宋_GB2312" w:cs="仿宋_GB2312"/>
          <w:sz w:val="32"/>
          <w:szCs w:val="32"/>
          <w:highlight w:val="none"/>
          <w:u w:val="none"/>
        </w:rPr>
        <w:t>。</w:t>
      </w:r>
      <w:r>
        <w:rPr>
          <w:rFonts w:hint="eastAsia" w:ascii="仿宋_GB2312" w:hAnsi="仿宋_GB2312" w:eastAsia="仿宋_GB2312" w:cs="仿宋_GB2312"/>
          <w:sz w:val="32"/>
          <w:szCs w:val="32"/>
          <w:highlight w:val="none"/>
        </w:rPr>
        <w:t>现将有关事项</w:t>
      </w:r>
      <w:r>
        <w:rPr>
          <w:rFonts w:hint="eastAsia" w:ascii="仿宋_GB2312" w:hAnsi="仿宋_GB2312" w:eastAsia="仿宋_GB2312" w:cs="仿宋_GB2312"/>
          <w:sz w:val="32"/>
          <w:szCs w:val="32"/>
          <w:highlight w:val="none"/>
          <w:lang w:eastAsia="zh-CN"/>
        </w:rPr>
        <w:t>公告</w:t>
      </w:r>
      <w:r>
        <w:rPr>
          <w:rFonts w:hint="eastAsia" w:ascii="仿宋_GB2312" w:hAnsi="仿宋_GB2312" w:eastAsia="仿宋_GB2312" w:cs="仿宋_GB2312"/>
          <w:sz w:val="32"/>
          <w:szCs w:val="32"/>
          <w:highlight w:val="none"/>
        </w:rPr>
        <w:t>如下：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CESI黑体-GB13000" w:hAnsi="CESI黑体-GB13000" w:eastAsia="CESI黑体-GB13000" w:cs="CESI黑体-GB13000"/>
          <w:sz w:val="32"/>
          <w:szCs w:val="32"/>
          <w:highlight w:val="none"/>
        </w:rPr>
      </w:pPr>
      <w:r>
        <w:rPr>
          <w:rFonts w:hint="eastAsia" w:ascii="CESI黑体-GB13000" w:hAnsi="CESI黑体-GB13000" w:eastAsia="CESI黑体-GB13000" w:cs="CESI黑体-GB13000"/>
          <w:sz w:val="32"/>
          <w:szCs w:val="32"/>
          <w:highlight w:val="none"/>
          <w:lang w:eastAsia="zh-CN"/>
        </w:rPr>
        <w:t>一、采购事项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bookmarkStart w:id="1" w:name="_Hlk29819880"/>
      <w:r>
        <w:rPr>
          <w:rFonts w:hint="eastAsia" w:ascii="仿宋_GB2312" w:hAnsi="仿宋_GB2312" w:eastAsia="仿宋_GB2312" w:cs="仿宋_GB2312"/>
          <w:sz w:val="32"/>
          <w:szCs w:val="32"/>
          <w:highlight w:val="none"/>
          <w:lang w:val="en-US" w:eastAsia="zh-CN"/>
        </w:rPr>
        <w:t>1.项目名称：采购编制廊坊市黄金珠宝产业发展工作计划策划服务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2.借势“这么近，那么美，周末到河北”，充分发挥我市毗邻北京的区位等优势，结合我市“只有红楼梦·戏剧幻城”“国安第一城景区”等文旅品牌，做出具有前瞻性、创新性和可操作性的黄金珠宝产业</w:t>
      </w:r>
      <w:r>
        <w:rPr>
          <w:rFonts w:hint="eastAsia" w:ascii="仿宋_GB2312" w:hAnsi="仿宋_GB2312" w:eastAsia="仿宋_GB2312" w:cs="仿宋_GB2312"/>
          <w:sz w:val="32"/>
          <w:szCs w:val="32"/>
          <w:highlight w:val="none"/>
          <w:u w:val="none"/>
          <w:lang w:val="en-US" w:eastAsia="zh-CN"/>
        </w:rPr>
        <w:t>近期发展工作</w:t>
      </w:r>
      <w:r>
        <w:rPr>
          <w:rFonts w:hint="eastAsia" w:ascii="仿宋_GB2312" w:hAnsi="仿宋_GB2312" w:eastAsia="仿宋_GB2312" w:cs="仿宋_GB2312"/>
          <w:sz w:val="32"/>
          <w:szCs w:val="32"/>
          <w:highlight w:val="none"/>
          <w:lang w:val="en-US" w:eastAsia="zh-CN"/>
        </w:rPr>
        <w:t>计划，</w:t>
      </w:r>
      <w:bookmarkStart w:id="2" w:name="OLE_LINK2"/>
      <w:r>
        <w:rPr>
          <w:rFonts w:hint="eastAsia" w:ascii="仿宋_GB2312" w:hAnsi="仿宋_GB2312" w:eastAsia="仿宋_GB2312" w:cs="仿宋_GB2312"/>
          <w:sz w:val="32"/>
          <w:szCs w:val="32"/>
          <w:highlight w:val="none"/>
          <w:lang w:val="en-US" w:eastAsia="zh-CN"/>
        </w:rPr>
        <w:t>构建“文化传承+创意设计+产业集聚+消费引领+公信力建设”的可持续发展</w:t>
      </w:r>
      <w:bookmarkEnd w:id="2"/>
      <w:r>
        <w:rPr>
          <w:rFonts w:hint="eastAsia" w:ascii="仿宋_GB2312" w:hAnsi="仿宋_GB2312" w:eastAsia="仿宋_GB2312" w:cs="仿宋_GB2312"/>
          <w:sz w:val="32"/>
          <w:szCs w:val="32"/>
          <w:highlight w:val="none"/>
          <w:lang w:val="en-US" w:eastAsia="zh-CN"/>
        </w:rPr>
        <w:t>体系，助力我市打造国际化消费新场景。包括（1）系统梳理全国珠宝行业现状，对比分析廊坊市珠宝产业发展的优势，当前发展瓶颈；（2）全面分析廊坊市文旅产业发展历史与现状，重点分析我市目前珠宝行业发展潜力；（3）列出举办黄金珠宝创意设计与工艺赛事初步计划，以赛事为核心引擎，构建一个从创意征集、作品孵化、版权交易、商业落地及质量保障的全产业价值链闭环，打造驱动廊坊珠宝产业持续创新的核心动力源；（4）协助建立设计师团队、工艺美术大师工作室、黄金珠宝品牌企业联络名单目录；（5）策划廊坊市珠宝黄金行业线上科普宣传方案，旨在通过与国家级质检中心等权威机构合作直播等方式提升我市黄金珠宝产业公信力，引导我市黄金珠宝新消费。</w:t>
      </w:r>
    </w:p>
    <w:bookmarkEnd w:id="1"/>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3.预算金额：人民币345000.00元，大写：人民币叁拾肆万伍仟元整。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sz w:val="32"/>
          <w:szCs w:val="32"/>
          <w:highlight w:val="none"/>
          <w:lang w:val="en-US" w:eastAsia="zh-CN"/>
        </w:rPr>
        <w:t>最高限价：人民币345000.00元，大写：人民币叁拾肆万伍仟元整。</w:t>
      </w:r>
      <w:r>
        <w:rPr>
          <w:rFonts w:hint="eastAsia" w:ascii="仿宋_GB2312" w:hAnsi="仿宋_GB2312" w:eastAsia="仿宋_GB2312" w:cs="仿宋_GB2312"/>
          <w:b/>
          <w:bCs/>
          <w:sz w:val="32"/>
          <w:szCs w:val="32"/>
          <w:highlight w:val="none"/>
          <w:lang w:val="en-US" w:eastAsia="zh-CN"/>
        </w:rPr>
        <w:t>投标人报价超出最高限价视为无效投标。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4.服务期限：2025年12月12日起至2025年12月25日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CESI黑体-GB13000" w:hAnsi="CESI黑体-GB13000" w:eastAsia="CESI黑体-GB13000" w:cs="CESI黑体-GB13000"/>
          <w:sz w:val="32"/>
          <w:szCs w:val="32"/>
          <w:highlight w:val="none"/>
          <w:lang w:val="en-US" w:eastAsia="zh-CN"/>
        </w:rPr>
      </w:pPr>
      <w:r>
        <w:rPr>
          <w:rFonts w:hint="eastAsia" w:ascii="CESI黑体-GB13000" w:hAnsi="CESI黑体-GB13000" w:eastAsia="CESI黑体-GB13000" w:cs="CESI黑体-GB13000"/>
          <w:sz w:val="32"/>
          <w:szCs w:val="32"/>
          <w:highlight w:val="none"/>
          <w:lang w:val="en-US" w:eastAsia="zh-CN"/>
        </w:rPr>
        <w:t>二、投标人资格要求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1.满足《中华人民共和国政府采购法》第二十二条规定；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2.投标人应为中华人民共和国境内依法注册的独立法人，不接受联合体投标；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3.投标人应具备</w:t>
      </w:r>
      <w:r>
        <w:rPr>
          <w:rFonts w:hint="eastAsia" w:ascii="仿宋_GB2312" w:hAnsi="仿宋_GB2312" w:eastAsia="仿宋_GB2312" w:cs="仿宋_GB2312"/>
          <w:sz w:val="32"/>
          <w:szCs w:val="32"/>
          <w:highlight w:val="none"/>
          <w:lang w:val="en-US" w:eastAsia="zh"/>
        </w:rPr>
        <w:t>黄金珠宝行业</w:t>
      </w:r>
      <w:r>
        <w:rPr>
          <w:rFonts w:hint="eastAsia" w:ascii="仿宋_GB2312" w:hAnsi="仿宋_GB2312" w:eastAsia="仿宋_GB2312" w:cs="仿宋_GB2312"/>
          <w:sz w:val="32"/>
          <w:szCs w:val="32"/>
          <w:highlight w:val="none"/>
          <w:lang w:val="en-US" w:eastAsia="zh-CN"/>
        </w:rPr>
        <w:t>大型文化活动（尤其是</w:t>
      </w:r>
      <w:r>
        <w:rPr>
          <w:rFonts w:hint="eastAsia" w:ascii="仿宋_GB2312" w:hAnsi="仿宋_GB2312" w:eastAsia="仿宋_GB2312" w:cs="仿宋_GB2312"/>
          <w:sz w:val="32"/>
          <w:szCs w:val="32"/>
          <w:highlight w:val="none"/>
          <w:lang w:val="en-US" w:eastAsia="zh"/>
        </w:rPr>
        <w:t>全国性</w:t>
      </w:r>
      <w:r>
        <w:rPr>
          <w:rFonts w:hint="eastAsia" w:ascii="仿宋_GB2312" w:hAnsi="仿宋_GB2312" w:eastAsia="仿宋_GB2312" w:cs="仿宋_GB2312"/>
          <w:sz w:val="32"/>
          <w:szCs w:val="32"/>
          <w:highlight w:val="none"/>
          <w:lang w:val="en-US" w:eastAsia="zh-CN"/>
        </w:rPr>
        <w:t>设计类赛事）运营能力和</w:t>
      </w:r>
      <w:r>
        <w:rPr>
          <w:rFonts w:hint="eastAsia" w:ascii="仿宋_GB2312" w:hAnsi="仿宋_GB2312" w:eastAsia="仿宋_GB2312" w:cs="仿宋_GB2312"/>
          <w:sz w:val="32"/>
          <w:szCs w:val="32"/>
          <w:highlight w:val="none"/>
          <w:lang w:val="en-US" w:eastAsia="zh"/>
        </w:rPr>
        <w:t>强大的行业</w:t>
      </w:r>
      <w:r>
        <w:rPr>
          <w:rFonts w:hint="eastAsia" w:ascii="仿宋_GB2312" w:hAnsi="仿宋_GB2312" w:eastAsia="仿宋_GB2312" w:cs="仿宋_GB2312"/>
          <w:sz w:val="32"/>
          <w:szCs w:val="32"/>
          <w:highlight w:val="none"/>
          <w:lang w:val="en-US" w:eastAsia="zh-CN"/>
        </w:rPr>
        <w:t>资源整合能力</w:t>
      </w:r>
      <w:r>
        <w:rPr>
          <w:rFonts w:hint="eastAsia" w:ascii="仿宋_GB2312" w:hAnsi="仿宋_GB2312" w:eastAsia="仿宋_GB2312" w:cs="仿宋_GB2312"/>
          <w:sz w:val="32"/>
          <w:szCs w:val="32"/>
          <w:highlight w:val="none"/>
          <w:lang w:val="en-US" w:eastAsia="zh"/>
        </w:rPr>
        <w:t>，拥有自主赛事IP</w:t>
      </w:r>
      <w:r>
        <w:rPr>
          <w:rFonts w:hint="eastAsia" w:ascii="仿宋_GB2312" w:hAnsi="仿宋_GB2312" w:eastAsia="仿宋_GB2312" w:cs="仿宋_GB2312"/>
          <w:sz w:val="32"/>
          <w:szCs w:val="32"/>
          <w:highlight w:val="none"/>
          <w:lang w:val="en-US" w:eastAsia="zh-CN"/>
        </w:rPr>
        <w:t>或</w:t>
      </w:r>
      <w:r>
        <w:rPr>
          <w:rFonts w:hint="eastAsia" w:ascii="仿宋_GB2312" w:hAnsi="仿宋_GB2312" w:eastAsia="仿宋_GB2312" w:cs="仿宋_GB2312"/>
          <w:sz w:val="32"/>
          <w:szCs w:val="32"/>
          <w:highlight w:val="none"/>
          <w:lang w:val="en-US" w:eastAsia="zh"/>
        </w:rPr>
        <w:t>相关合作资源；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
        </w:rPr>
      </w:pPr>
      <w:r>
        <w:rPr>
          <w:rFonts w:hint="eastAsia" w:ascii="仿宋_GB2312" w:hAnsi="仿宋_GB2312" w:eastAsia="仿宋_GB2312" w:cs="仿宋_GB2312"/>
          <w:sz w:val="32"/>
          <w:szCs w:val="32"/>
          <w:highlight w:val="none"/>
          <w:lang w:val="en-US" w:eastAsia="zh"/>
        </w:rPr>
        <w:t>4.</w:t>
      </w:r>
      <w:r>
        <w:rPr>
          <w:rFonts w:hint="eastAsia" w:ascii="仿宋_GB2312" w:hAnsi="仿宋_GB2312" w:eastAsia="仿宋_GB2312" w:cs="仿宋_GB2312"/>
          <w:sz w:val="32"/>
          <w:szCs w:val="32"/>
          <w:highlight w:val="none"/>
          <w:lang w:val="en-US" w:eastAsia="zh-CN"/>
        </w:rPr>
        <w:t>投标人应从事</w:t>
      </w:r>
      <w:r>
        <w:rPr>
          <w:rFonts w:hint="eastAsia" w:ascii="仿宋_GB2312" w:hAnsi="仿宋_GB2312" w:eastAsia="仿宋_GB2312" w:cs="仿宋_GB2312"/>
          <w:sz w:val="32"/>
          <w:szCs w:val="32"/>
          <w:highlight w:val="none"/>
          <w:lang w:val="en-US" w:eastAsia="zh"/>
        </w:rPr>
        <w:t>黄金珠宝行业提供</w:t>
      </w:r>
      <w:r>
        <w:rPr>
          <w:rFonts w:hint="eastAsia" w:ascii="仿宋_GB2312" w:hAnsi="仿宋_GB2312" w:eastAsia="仿宋_GB2312" w:cs="仿宋_GB2312"/>
          <w:sz w:val="32"/>
          <w:szCs w:val="32"/>
          <w:highlight w:val="none"/>
          <w:lang w:val="en-US" w:eastAsia="zh-CN"/>
        </w:rPr>
        <w:t>文化创意、品牌策划、</w:t>
      </w:r>
      <w:r>
        <w:rPr>
          <w:rFonts w:hint="eastAsia" w:ascii="仿宋_GB2312" w:hAnsi="仿宋_GB2312" w:eastAsia="仿宋_GB2312" w:cs="仿宋_GB2312"/>
          <w:sz w:val="32"/>
          <w:szCs w:val="32"/>
          <w:highlight w:val="none"/>
          <w:lang w:val="en-US" w:eastAsia="zh"/>
        </w:rPr>
        <w:t>宣传推广、</w:t>
      </w:r>
      <w:r>
        <w:rPr>
          <w:rFonts w:hint="eastAsia" w:ascii="仿宋_GB2312" w:hAnsi="仿宋_GB2312" w:eastAsia="仿宋_GB2312" w:cs="仿宋_GB2312"/>
          <w:sz w:val="32"/>
          <w:szCs w:val="32"/>
          <w:highlight w:val="none"/>
          <w:lang w:val="en-US" w:eastAsia="zh-CN"/>
        </w:rPr>
        <w:t>产业规划</w:t>
      </w:r>
      <w:r>
        <w:rPr>
          <w:rFonts w:hint="eastAsia" w:ascii="仿宋_GB2312" w:hAnsi="仿宋_GB2312" w:eastAsia="仿宋_GB2312" w:cs="仿宋_GB2312"/>
          <w:sz w:val="32"/>
          <w:szCs w:val="32"/>
          <w:highlight w:val="none"/>
          <w:lang w:val="en-US" w:eastAsia="zh"/>
        </w:rPr>
        <w:t>咨询</w:t>
      </w:r>
      <w:r>
        <w:rPr>
          <w:rFonts w:hint="eastAsia" w:ascii="仿宋_GB2312" w:hAnsi="仿宋_GB2312" w:eastAsia="仿宋_GB2312" w:cs="仿宋_GB2312"/>
          <w:sz w:val="32"/>
          <w:szCs w:val="32"/>
          <w:highlight w:val="none"/>
          <w:lang w:val="en-US" w:eastAsia="zh-CN"/>
        </w:rPr>
        <w:t>业务，拥有</w:t>
      </w:r>
      <w:r>
        <w:rPr>
          <w:rFonts w:hint="eastAsia" w:ascii="仿宋_GB2312" w:hAnsi="仿宋_GB2312" w:eastAsia="仿宋_GB2312" w:cs="仿宋_GB2312"/>
          <w:sz w:val="32"/>
          <w:szCs w:val="32"/>
          <w:highlight w:val="none"/>
          <w:lang w:val="en-US" w:eastAsia="zh"/>
        </w:rPr>
        <w:t>面向社会科普及传媒</w:t>
      </w:r>
      <w:r>
        <w:rPr>
          <w:rFonts w:hint="eastAsia" w:ascii="仿宋_GB2312" w:hAnsi="仿宋_GB2312" w:eastAsia="仿宋_GB2312" w:cs="仿宋_GB2312"/>
          <w:sz w:val="32"/>
          <w:szCs w:val="32"/>
          <w:highlight w:val="none"/>
          <w:lang w:val="en-US" w:eastAsia="zh-CN"/>
        </w:rPr>
        <w:t>有关</w:t>
      </w:r>
      <w:r>
        <w:rPr>
          <w:rFonts w:hint="eastAsia" w:ascii="仿宋_GB2312" w:hAnsi="仿宋_GB2312" w:eastAsia="仿宋_GB2312" w:cs="仿宋_GB2312"/>
          <w:sz w:val="32"/>
          <w:szCs w:val="32"/>
          <w:highlight w:val="none"/>
          <w:lang w:val="en-US" w:eastAsia="zh"/>
        </w:rPr>
        <w:t>资源；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
        </w:rPr>
        <w:t>5</w:t>
      </w:r>
      <w:r>
        <w:rPr>
          <w:rFonts w:hint="eastAsia" w:ascii="仿宋_GB2312" w:hAnsi="仿宋_GB2312" w:eastAsia="仿宋_GB2312" w:cs="仿宋_GB2312"/>
          <w:sz w:val="32"/>
          <w:szCs w:val="32"/>
          <w:highlight w:val="none"/>
          <w:lang w:val="en-US" w:eastAsia="zh-CN"/>
        </w:rPr>
        <w:t>.投标人及其法定代表人未被“信用中国”网站列入失信被执行人、重大税收违法案件当事人名单，未被“中国政府采购网”列入政府采购严重违法失信行为记录名单。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CESI黑体-GB13000" w:hAnsi="CESI黑体-GB13000" w:eastAsia="CESI黑体-GB13000" w:cs="CESI黑体-GB13000"/>
          <w:sz w:val="32"/>
          <w:szCs w:val="32"/>
          <w:highlight w:val="none"/>
          <w:lang w:val="en-US" w:eastAsia="zh-CN"/>
        </w:rPr>
      </w:pPr>
      <w:r>
        <w:rPr>
          <w:rFonts w:hint="eastAsia" w:ascii="CESI黑体-GB13000" w:hAnsi="CESI黑体-GB13000" w:eastAsia="CESI黑体-GB13000" w:cs="CESI黑体-GB13000"/>
          <w:sz w:val="32"/>
          <w:szCs w:val="32"/>
          <w:highlight w:val="none"/>
          <w:lang w:val="en-US" w:eastAsia="zh-CN"/>
        </w:rPr>
        <w:t>三、投标要求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1.投</w:t>
      </w:r>
      <w:r>
        <w:rPr>
          <w:rFonts w:hint="default" w:ascii="Times New Roman" w:hAnsi="Times New Roman" w:eastAsia="仿宋_GB2312" w:cs="Times New Roman"/>
          <w:color w:val="auto"/>
          <w:sz w:val="32"/>
          <w:szCs w:val="32"/>
        </w:rPr>
        <w:t>有意参加报价单位应在公告要求截止期限内</w:t>
      </w:r>
      <w:r>
        <w:rPr>
          <w:rFonts w:hint="eastAsia" w:eastAsia="仿宋_GB2312" w:cs="Times New Roman"/>
          <w:color w:val="auto"/>
          <w:sz w:val="32"/>
          <w:szCs w:val="32"/>
          <w:lang w:eastAsia="zh-CN"/>
        </w:rPr>
        <w:t>按要求</w:t>
      </w:r>
      <w:r>
        <w:rPr>
          <w:rFonts w:hint="default" w:ascii="Times New Roman" w:hAnsi="Times New Roman" w:eastAsia="仿宋_GB2312" w:cs="Times New Roman"/>
          <w:color w:val="auto"/>
          <w:sz w:val="32"/>
          <w:szCs w:val="32"/>
        </w:rPr>
        <w:t>报送投标文件，超期视为无效。</w:t>
      </w:r>
      <w:r>
        <w:rPr>
          <w:rFonts w:hint="default" w:ascii="Times New Roman" w:hAnsi="Times New Roman" w:eastAsia="仿宋_GB2312" w:cs="Times New Roman"/>
          <w:color w:val="auto"/>
          <w:sz w:val="32"/>
          <w:szCs w:val="32"/>
          <w:highlight w:val="none"/>
        </w:rPr>
        <w:t>投标文件</w:t>
      </w:r>
      <w:r>
        <w:rPr>
          <w:rFonts w:hint="default" w:ascii="Times New Roman" w:hAnsi="Times New Roman" w:eastAsia="仿宋_GB2312" w:cs="Times New Roman"/>
          <w:b/>
          <w:bCs/>
          <w:color w:val="auto"/>
          <w:sz w:val="32"/>
          <w:szCs w:val="32"/>
          <w:lang w:val="en-US" w:eastAsia="zh-CN"/>
        </w:rPr>
        <w:t>纸质版</w:t>
      </w:r>
      <w:r>
        <w:rPr>
          <w:rFonts w:hint="eastAsia" w:ascii="Times New Roman" w:hAnsi="Times New Roman" w:eastAsia="仿宋_GB2312" w:cs="Times New Roman"/>
          <w:b/>
          <w:bCs/>
          <w:color w:val="auto"/>
          <w:sz w:val="32"/>
          <w:szCs w:val="32"/>
          <w:lang w:val="en-US" w:eastAsia="zh-CN"/>
        </w:rPr>
        <w:t>一式五份</w:t>
      </w: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邮寄</w:t>
      </w:r>
      <w:r>
        <w:rPr>
          <w:rFonts w:hint="eastAsia" w:eastAsia="仿宋_GB2312" w:cs="Times New Roman"/>
          <w:color w:val="auto"/>
          <w:sz w:val="32"/>
          <w:szCs w:val="32"/>
          <w:lang w:val="en-US" w:eastAsia="zh-CN"/>
        </w:rPr>
        <w:t>至：</w:t>
      </w:r>
      <w:r>
        <w:rPr>
          <w:rFonts w:hint="default" w:ascii="Times New Roman" w:hAnsi="Times New Roman" w:eastAsia="仿宋_GB2312" w:cs="Times New Roman"/>
          <w:color w:val="auto"/>
          <w:sz w:val="32"/>
          <w:szCs w:val="32"/>
          <w:lang w:val="en-US" w:eastAsia="zh-CN"/>
        </w:rPr>
        <w:t>廊坊市广阳区新华路66号廊坊市发展和改革委员会</w:t>
      </w:r>
      <w:r>
        <w:rPr>
          <w:rFonts w:hint="eastAsia" w:ascii="Times New Roman" w:hAnsi="Times New Roman" w:eastAsia="仿宋_GB2312" w:cs="Times New Roman"/>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投标公告截止日期：2025年12月10日24：00。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eastAsia="zh-CN"/>
        </w:rPr>
        <w:t>投标</w:t>
      </w:r>
      <w:r>
        <w:rPr>
          <w:rFonts w:hint="eastAsia" w:ascii="仿宋_GB2312" w:hAnsi="仿宋_GB2312" w:eastAsia="仿宋_GB2312" w:cs="仿宋_GB2312"/>
          <w:sz w:val="32"/>
          <w:szCs w:val="32"/>
          <w:highlight w:val="none"/>
        </w:rPr>
        <w:t>文件包括：①报价函（详见附件1）；②营业执照复印件加盖公章</w:t>
      </w:r>
      <w:r>
        <w:rPr>
          <w:rFonts w:hint="eastAsia" w:ascii="仿宋_GB2312" w:hAnsi="仿宋_GB2312" w:eastAsia="仿宋_GB2312" w:cs="仿宋_GB2312"/>
          <w:sz w:val="32"/>
          <w:szCs w:val="32"/>
          <w:highlight w:val="none"/>
          <w:lang w:eastAsia="zh-CN"/>
        </w:rPr>
        <w:t>、项目负责人身份信息加盖公章</w:t>
      </w:r>
      <w:r>
        <w:rPr>
          <w:rFonts w:hint="eastAsia" w:ascii="仿宋_GB2312" w:hAnsi="仿宋_GB2312" w:eastAsia="仿宋_GB2312" w:cs="仿宋_GB2312"/>
          <w:sz w:val="32"/>
          <w:szCs w:val="32"/>
          <w:highlight w:val="none"/>
        </w:rPr>
        <w:t>；③提供“信用中国”网站（www.creditchina.gov.cn）的“信用信息报告”并加盖公章</w:t>
      </w:r>
      <w:r>
        <w:rPr>
          <w:rFonts w:hint="eastAsia" w:ascii="仿宋_GB2312" w:hAnsi="仿宋_GB2312" w:eastAsia="仿宋_GB2312" w:cs="仿宋_GB2312"/>
          <w:sz w:val="32"/>
          <w:szCs w:val="32"/>
          <w:highlight w:val="none"/>
          <w:lang w:eastAsia="zh-CN"/>
        </w:rPr>
        <w:t>；④业绩合同复印件加盖公章；</w:t>
      </w:r>
      <w:r>
        <w:rPr>
          <w:rFonts w:hint="eastAsia" w:ascii="仿宋_GB2312" w:hAnsi="仿宋_GB2312" w:eastAsia="仿宋_GB2312" w:cs="仿宋_GB2312"/>
          <w:sz w:val="32"/>
          <w:szCs w:val="32"/>
          <w:highlight w:val="none"/>
        </w:rPr>
        <w:t>⑤</w:t>
      </w:r>
      <w:r>
        <w:rPr>
          <w:rFonts w:hint="eastAsia" w:ascii="仿宋_GB2312" w:hAnsi="仿宋_GB2312" w:eastAsia="仿宋_GB2312" w:cs="仿宋_GB2312"/>
          <w:sz w:val="32"/>
          <w:szCs w:val="32"/>
          <w:highlight w:val="none"/>
          <w:lang w:eastAsia="zh-CN"/>
        </w:rPr>
        <w:t>项目方案说明加盖公章（包括对项目理解、初步思路、工作计划等）</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CESI黑体-GB13000" w:hAnsi="CESI黑体-GB13000" w:eastAsia="CESI黑体-GB13000" w:cs="CESI黑体-GB13000"/>
          <w:sz w:val="32"/>
          <w:szCs w:val="32"/>
          <w:highlight w:val="none"/>
          <w:lang w:val="en-US" w:eastAsia="zh-CN"/>
        </w:rPr>
      </w:pPr>
      <w:r>
        <w:rPr>
          <w:rFonts w:hint="eastAsia" w:ascii="CESI黑体-GB13000" w:hAnsi="CESI黑体-GB13000" w:eastAsia="CESI黑体-GB13000" w:cs="CESI黑体-GB13000"/>
          <w:sz w:val="32"/>
          <w:szCs w:val="32"/>
          <w:highlight w:val="none"/>
          <w:lang w:val="en-US" w:eastAsia="zh-CN"/>
        </w:rPr>
        <w:t>四、比选评分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市发改委将在公告截止日起3个工作日内，通知有效投标供应商，组织召开比选会议，并将比选结果于当日通知各投标单位。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评分标准：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评分满分为100分，有4个评分子项，具体说明如下：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1.报价得分，权重15分。报价得分统一采用综合评分法计算：报价得分=10+（最低报价/报价）×5（结果保留两位小数；最低报价得分为10分）。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
        </w:rPr>
      </w:pPr>
      <w:r>
        <w:rPr>
          <w:rFonts w:hint="eastAsia" w:ascii="仿宋_GB2312" w:hAnsi="仿宋_GB2312" w:eastAsia="仿宋_GB2312" w:cs="仿宋_GB2312"/>
          <w:sz w:val="32"/>
          <w:szCs w:val="32"/>
          <w:highlight w:val="none"/>
          <w:lang w:val="en-US" w:eastAsia="zh-CN"/>
        </w:rPr>
        <w:t>2.综合实力，权重30分。根据参加比选单位提供的企业简介、文化</w:t>
      </w:r>
      <w:r>
        <w:rPr>
          <w:rFonts w:hint="eastAsia" w:ascii="仿宋_GB2312" w:hAnsi="仿宋_GB2312" w:eastAsia="仿宋_GB2312" w:cs="仿宋_GB2312"/>
          <w:sz w:val="32"/>
          <w:szCs w:val="32"/>
          <w:highlight w:val="none"/>
          <w:lang w:val="en-US" w:eastAsia="zh"/>
        </w:rPr>
        <w:t>相关业务范围和专业背景</w:t>
      </w:r>
      <w:r>
        <w:rPr>
          <w:rFonts w:hint="eastAsia" w:ascii="仿宋_GB2312" w:hAnsi="仿宋_GB2312" w:eastAsia="仿宋_GB2312" w:cs="仿宋_GB2312"/>
          <w:sz w:val="32"/>
          <w:szCs w:val="32"/>
          <w:highlight w:val="none"/>
          <w:lang w:val="en-US" w:eastAsia="zh-CN"/>
        </w:rPr>
        <w:t>、行业资源整合能力</w:t>
      </w:r>
      <w:r>
        <w:rPr>
          <w:rFonts w:hint="eastAsia" w:ascii="仿宋_GB2312" w:hAnsi="仿宋_GB2312" w:eastAsia="仿宋_GB2312" w:cs="仿宋_GB2312"/>
          <w:sz w:val="32"/>
          <w:szCs w:val="32"/>
          <w:highlight w:val="none"/>
          <w:lang w:val="en-US" w:eastAsia="zh"/>
        </w:rPr>
        <w:t>材料，</w:t>
      </w:r>
      <w:r>
        <w:rPr>
          <w:rFonts w:hint="eastAsia" w:ascii="仿宋_GB2312" w:hAnsi="仿宋_GB2312" w:eastAsia="仿宋_GB2312" w:cs="仿宋_GB2312"/>
          <w:sz w:val="32"/>
          <w:szCs w:val="32"/>
          <w:highlight w:val="none"/>
          <w:lang w:val="en-US" w:eastAsia="zh-CN"/>
        </w:rPr>
        <w:t>具有</w:t>
      </w:r>
      <w:r>
        <w:rPr>
          <w:rFonts w:hint="eastAsia" w:ascii="仿宋_GB2312" w:hAnsi="仿宋_GB2312" w:eastAsia="仿宋_GB2312" w:cs="仿宋_GB2312"/>
          <w:sz w:val="32"/>
          <w:szCs w:val="32"/>
          <w:highlight w:val="none"/>
          <w:lang w:val="en-US" w:eastAsia="zh"/>
        </w:rPr>
        <w:t>巨头企业</w:t>
      </w:r>
      <w:r>
        <w:rPr>
          <w:rFonts w:hint="eastAsia" w:ascii="仿宋_GB2312" w:hAnsi="仿宋_GB2312" w:eastAsia="仿宋_GB2312" w:cs="仿宋_GB2312"/>
          <w:sz w:val="32"/>
          <w:szCs w:val="32"/>
          <w:highlight w:val="none"/>
          <w:lang w:val="en-US" w:eastAsia="zh-CN"/>
        </w:rPr>
        <w:t>，以</w:t>
      </w:r>
      <w:r>
        <w:rPr>
          <w:rFonts w:hint="eastAsia" w:ascii="仿宋_GB2312" w:hAnsi="仿宋_GB2312" w:eastAsia="仿宋_GB2312" w:cs="仿宋_GB2312"/>
          <w:sz w:val="32"/>
          <w:szCs w:val="32"/>
          <w:highlight w:val="none"/>
          <w:lang w:val="en-US" w:eastAsia="zh"/>
        </w:rPr>
        <w:t>及国家级层面和国际层面行业资源的，</w:t>
      </w:r>
      <w:r>
        <w:rPr>
          <w:rFonts w:hint="eastAsia" w:ascii="仿宋_GB2312" w:hAnsi="仿宋_GB2312" w:eastAsia="仿宋_GB2312" w:cs="仿宋_GB2312"/>
          <w:sz w:val="32"/>
          <w:szCs w:val="32"/>
          <w:highlight w:val="none"/>
          <w:lang w:val="en-US" w:eastAsia="zh-CN"/>
        </w:rPr>
        <w:t>或与此类资源有合作的等进行评分</w:t>
      </w:r>
      <w:r>
        <w:rPr>
          <w:rFonts w:hint="eastAsia" w:ascii="仿宋_GB2312" w:hAnsi="仿宋_GB2312" w:eastAsia="仿宋_GB2312" w:cs="仿宋_GB2312"/>
          <w:sz w:val="32"/>
          <w:szCs w:val="32"/>
          <w:highlight w:val="none"/>
          <w:lang w:val="en-US" w:eastAsia="zh"/>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3.业绩得分，权重35分。根据参加比选单位提供的类似黄金珠宝、文化创意、设计赛事、产业规划类业绩，每提供一个给5分，</w:t>
      </w:r>
      <w:r>
        <w:rPr>
          <w:rFonts w:hint="eastAsia" w:ascii="仿宋_GB2312" w:hAnsi="仿宋_GB2312" w:eastAsia="仿宋_GB2312" w:cs="仿宋_GB2312"/>
          <w:sz w:val="32"/>
          <w:szCs w:val="32"/>
          <w:highlight w:val="none"/>
          <w:lang w:val="en-US" w:eastAsia="zh"/>
        </w:rPr>
        <w:t>涉及省部级、国家级</w:t>
      </w:r>
      <w:r>
        <w:rPr>
          <w:rFonts w:hint="eastAsia" w:ascii="仿宋_GB2312" w:hAnsi="仿宋_GB2312" w:eastAsia="仿宋_GB2312" w:cs="仿宋_GB2312"/>
          <w:sz w:val="32"/>
          <w:szCs w:val="32"/>
          <w:highlight w:val="none"/>
          <w:lang w:val="en-US" w:eastAsia="zh-CN"/>
        </w:rPr>
        <w:t>、国际级</w:t>
      </w:r>
      <w:r>
        <w:rPr>
          <w:rFonts w:hint="eastAsia" w:ascii="仿宋_GB2312" w:hAnsi="仿宋_GB2312" w:eastAsia="仿宋_GB2312" w:cs="仿宋_GB2312"/>
          <w:sz w:val="32"/>
          <w:szCs w:val="32"/>
          <w:highlight w:val="none"/>
          <w:lang w:val="en-US" w:eastAsia="zh"/>
        </w:rPr>
        <w:t>的成绩</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zh"/>
        </w:rPr>
        <w:t>赛事</w:t>
      </w:r>
      <w:r>
        <w:rPr>
          <w:rFonts w:hint="eastAsia" w:ascii="仿宋_GB2312" w:hAnsi="仿宋_GB2312" w:eastAsia="仿宋_GB2312" w:cs="仿宋_GB2312"/>
          <w:sz w:val="32"/>
          <w:szCs w:val="32"/>
          <w:highlight w:val="none"/>
          <w:lang w:val="en-US" w:eastAsia="zh-CN"/>
        </w:rPr>
        <w:t>、文化活动等</w:t>
      </w:r>
      <w:r>
        <w:rPr>
          <w:rFonts w:hint="default" w:ascii="仿宋_GB2312" w:hAnsi="仿宋_GB2312" w:eastAsia="仿宋_GB2312" w:cs="仿宋_GB2312"/>
          <w:sz w:val="32"/>
          <w:szCs w:val="32"/>
          <w:highlight w:val="none"/>
          <w:lang w:val="en-US" w:eastAsia="zh"/>
        </w:rPr>
        <w:t>，每提供一个</w:t>
      </w:r>
      <w:r>
        <w:rPr>
          <w:rFonts w:hint="eastAsia" w:ascii="仿宋_GB2312" w:hAnsi="仿宋_GB2312" w:eastAsia="仿宋_GB2312" w:cs="仿宋_GB2312"/>
          <w:sz w:val="32"/>
          <w:szCs w:val="32"/>
          <w:highlight w:val="none"/>
          <w:lang w:val="en-US" w:eastAsia="zh-CN"/>
        </w:rPr>
        <w:t>省部级的</w:t>
      </w:r>
      <w:r>
        <w:rPr>
          <w:rFonts w:hint="default" w:ascii="仿宋_GB2312" w:hAnsi="仿宋_GB2312" w:eastAsia="仿宋_GB2312" w:cs="仿宋_GB2312"/>
          <w:sz w:val="32"/>
          <w:szCs w:val="32"/>
          <w:highlight w:val="none"/>
          <w:lang w:val="en-US" w:eastAsia="zh"/>
        </w:rPr>
        <w:t>给10分</w:t>
      </w:r>
      <w:r>
        <w:rPr>
          <w:rFonts w:hint="eastAsia" w:ascii="仿宋_GB2312" w:hAnsi="仿宋_GB2312" w:eastAsia="仿宋_GB2312" w:cs="仿宋_GB2312"/>
          <w:sz w:val="32"/>
          <w:szCs w:val="32"/>
          <w:highlight w:val="none"/>
          <w:lang w:val="en-US" w:eastAsia="zh-CN"/>
        </w:rPr>
        <w:t>、国家级</w:t>
      </w:r>
      <w:r>
        <w:rPr>
          <w:rFonts w:hint="default" w:ascii="仿宋_GB2312" w:hAnsi="仿宋_GB2312" w:eastAsia="仿宋_GB2312" w:cs="仿宋_GB2312"/>
          <w:sz w:val="32"/>
          <w:szCs w:val="32"/>
          <w:highlight w:val="none"/>
          <w:lang w:val="en-US" w:eastAsia="zh"/>
        </w:rPr>
        <w:t>和</w:t>
      </w:r>
      <w:r>
        <w:rPr>
          <w:rFonts w:hint="eastAsia" w:ascii="仿宋_GB2312" w:hAnsi="仿宋_GB2312" w:eastAsia="仿宋_GB2312" w:cs="仿宋_GB2312"/>
          <w:sz w:val="32"/>
          <w:szCs w:val="32"/>
          <w:highlight w:val="none"/>
          <w:lang w:val="en-US" w:eastAsia="zh-CN"/>
        </w:rPr>
        <w:t>国际级的给</w:t>
      </w:r>
      <w:r>
        <w:rPr>
          <w:rFonts w:hint="default" w:ascii="仿宋_GB2312" w:hAnsi="仿宋_GB2312" w:eastAsia="仿宋_GB2312" w:cs="仿宋_GB2312"/>
          <w:sz w:val="32"/>
          <w:szCs w:val="32"/>
          <w:highlight w:val="none"/>
          <w:lang w:val="en-US" w:eastAsia="zh"/>
        </w:rPr>
        <w:t>1</w:t>
      </w:r>
      <w:r>
        <w:rPr>
          <w:rFonts w:hint="eastAsia" w:ascii="仿宋_GB2312" w:hAnsi="仿宋_GB2312" w:eastAsia="仿宋_GB2312" w:cs="仿宋_GB2312"/>
          <w:sz w:val="32"/>
          <w:szCs w:val="32"/>
          <w:highlight w:val="none"/>
          <w:lang w:val="en-US" w:eastAsia="zh-CN"/>
        </w:rPr>
        <w:t>5</w:t>
      </w:r>
      <w:r>
        <w:rPr>
          <w:rFonts w:hint="default" w:ascii="仿宋_GB2312" w:hAnsi="仿宋_GB2312" w:eastAsia="仿宋_GB2312" w:cs="仿宋_GB2312"/>
          <w:sz w:val="32"/>
          <w:szCs w:val="32"/>
          <w:highlight w:val="none"/>
          <w:lang w:val="en-US" w:eastAsia="zh"/>
        </w:rPr>
        <w:t>分</w:t>
      </w:r>
      <w:r>
        <w:rPr>
          <w:rFonts w:hint="eastAsia" w:ascii="仿宋_GB2312" w:hAnsi="仿宋_GB2312" w:eastAsia="仿宋_GB2312" w:cs="仿宋_GB2312"/>
          <w:sz w:val="32"/>
          <w:szCs w:val="32"/>
          <w:highlight w:val="none"/>
          <w:lang w:val="en-US" w:eastAsia="zh"/>
        </w:rPr>
        <w:t>，</w:t>
      </w:r>
      <w:r>
        <w:rPr>
          <w:rFonts w:hint="eastAsia" w:ascii="仿宋_GB2312" w:hAnsi="仿宋_GB2312" w:eastAsia="仿宋_GB2312" w:cs="仿宋_GB2312"/>
          <w:sz w:val="32"/>
          <w:szCs w:val="32"/>
          <w:highlight w:val="none"/>
          <w:lang w:val="en-US" w:eastAsia="zh-CN"/>
        </w:rPr>
        <w:t>最高不超过35分，没有提供不得分。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w:t>
      </w:r>
      <w:r>
        <w:rPr>
          <w:rFonts w:hint="default" w:ascii="仿宋_GB2312" w:hAnsi="仿宋_GB2312" w:eastAsia="仿宋_GB2312" w:cs="仿宋_GB2312"/>
          <w:sz w:val="32"/>
          <w:szCs w:val="32"/>
          <w:highlight w:val="none"/>
          <w:lang w:val="en-US" w:eastAsia="zh-CN"/>
        </w:rPr>
        <w:t>项目方案说明</w:t>
      </w:r>
      <w:r>
        <w:rPr>
          <w:rFonts w:hint="eastAsia" w:ascii="仿宋_GB2312" w:hAnsi="仿宋_GB2312" w:eastAsia="仿宋_GB2312" w:cs="仿宋_GB2312"/>
          <w:sz w:val="32"/>
          <w:szCs w:val="32"/>
          <w:highlight w:val="none"/>
          <w:lang w:val="en-US" w:eastAsia="zh-CN"/>
        </w:rPr>
        <w:t>得分，权重20分。根据参比单位申报材料内容评分，综合分析参比单位对廊坊市黄金珠宝产业发展工作计划项目方案说明进行打分，重点考察对廊坊黄金珠宝产业战略的理解、赛事策划与执行经验、国际品牌与设计师资源导入方案等</w:t>
      </w:r>
      <w:r>
        <w:rPr>
          <w:rFonts w:hint="eastAsia" w:ascii="仿宋_GB2312" w:hAnsi="仿宋_GB2312" w:eastAsia="仿宋_GB2312" w:cs="仿宋_GB2312"/>
          <w:sz w:val="32"/>
          <w:szCs w:val="32"/>
          <w:highlight w:val="none"/>
          <w:u w:val="none"/>
          <w:lang w:val="en-US" w:eastAsia="zh-CN"/>
        </w:rPr>
        <w:t>进行评分</w:t>
      </w:r>
      <w:r>
        <w:rPr>
          <w:rFonts w:hint="eastAsia" w:ascii="仿宋_GB2312" w:hAnsi="仿宋_GB2312" w:eastAsia="仿宋_GB2312" w:cs="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CESI黑体-GB13000" w:hAnsi="CESI黑体-GB13000" w:eastAsia="CESI黑体-GB13000" w:cs="CESI黑体-GB13000"/>
          <w:sz w:val="32"/>
          <w:szCs w:val="32"/>
          <w:highlight w:val="none"/>
          <w:lang w:eastAsia="zh-CN"/>
        </w:rPr>
      </w:pPr>
      <w:r>
        <w:rPr>
          <w:rFonts w:hint="eastAsia" w:ascii="CESI黑体-GB13000" w:hAnsi="CESI黑体-GB13000" w:eastAsia="CESI黑体-GB13000" w:cs="CESI黑体-GB13000"/>
          <w:sz w:val="32"/>
          <w:szCs w:val="32"/>
          <w:highlight w:val="none"/>
          <w:lang w:eastAsia="zh-CN"/>
        </w:rPr>
        <w:t>五、联系方式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招标单位：廊坊市发展和改革委员会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地址：廊坊市</w:t>
      </w:r>
      <w:r>
        <w:rPr>
          <w:rFonts w:hint="eastAsia" w:ascii="仿宋_GB2312" w:hAnsi="仿宋_GB2312" w:eastAsia="仿宋_GB2312" w:cs="仿宋_GB2312"/>
          <w:sz w:val="32"/>
          <w:szCs w:val="32"/>
          <w:highlight w:val="none"/>
          <w:lang w:eastAsia="zh-CN"/>
        </w:rPr>
        <w:t>新华路</w:t>
      </w:r>
      <w:r>
        <w:rPr>
          <w:rFonts w:hint="eastAsia" w:ascii="仿宋_GB2312" w:hAnsi="仿宋_GB2312" w:eastAsia="仿宋_GB2312" w:cs="仿宋_GB2312"/>
          <w:sz w:val="32"/>
          <w:szCs w:val="32"/>
          <w:highlight w:val="none"/>
          <w:lang w:val="en-US" w:eastAsia="zh-CN"/>
        </w:rPr>
        <w:t xml:space="preserve">66号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联系人：</w:t>
      </w:r>
      <w:r>
        <w:rPr>
          <w:rFonts w:hint="eastAsia" w:ascii="仿宋_GB2312" w:hAnsi="仿宋_GB2312" w:eastAsia="仿宋_GB2312" w:cs="仿宋_GB2312"/>
          <w:sz w:val="32"/>
          <w:szCs w:val="32"/>
          <w:highlight w:val="none"/>
          <w:lang w:eastAsia="zh-CN"/>
        </w:rPr>
        <w:t>韩晓峰</w:t>
      </w:r>
      <w:r>
        <w:rPr>
          <w:rFonts w:hint="eastAsia" w:ascii="仿宋_GB2312" w:hAnsi="仿宋_GB2312" w:eastAsia="仿宋_GB2312" w:cs="仿宋_GB2312"/>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 xml:space="preserve">电话： </w:t>
      </w:r>
      <w:r>
        <w:rPr>
          <w:rFonts w:hint="eastAsia" w:ascii="仿宋_GB2312" w:hAnsi="仿宋_GB2312" w:eastAsia="仿宋_GB2312" w:cs="仿宋_GB2312"/>
          <w:sz w:val="32"/>
          <w:szCs w:val="32"/>
          <w:highlight w:val="none"/>
          <w:lang w:val="en-US" w:eastAsia="zh-CN"/>
        </w:rPr>
        <w:t xml:space="preserve">0316-2316991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廊坊市发展和改革委员会</w:t>
      </w:r>
    </w:p>
    <w:p>
      <w:pPr>
        <w:keepNext w:val="0"/>
        <w:keepLines w:val="0"/>
        <w:pageBreakBefore w:val="0"/>
        <w:widowControl w:val="0"/>
        <w:kinsoku/>
        <w:wordWrap/>
        <w:overflowPunct/>
        <w:topLinePunct w:val="0"/>
        <w:autoSpaceDE/>
        <w:autoSpaceDN/>
        <w:bidi w:val="0"/>
        <w:adjustRightInd/>
        <w:snapToGrid/>
        <w:spacing w:line="600" w:lineRule="exact"/>
        <w:ind w:firstLine="4480" w:firstLineChars="1400"/>
        <w:textAlignment w:val="auto"/>
        <w:rPr>
          <w:rFonts w:hint="eastAsia" w:ascii="仿宋_GB2312" w:hAnsi="仿宋_GB2312" w:eastAsia="仿宋_GB2312" w:cs="仿宋_GB2312"/>
          <w:sz w:val="32"/>
          <w:szCs w:val="32"/>
          <w:highlight w:val="none"/>
        </w:rPr>
        <w:sectPr>
          <w:pgSz w:w="11906" w:h="16838"/>
          <w:pgMar w:top="993" w:right="1274" w:bottom="1134" w:left="1418" w:header="851" w:footer="992" w:gutter="0"/>
          <w:cols w:space="720" w:num="1"/>
          <w:docGrid w:type="lines" w:linePitch="312" w:charSpace="0"/>
        </w:sect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年</w:t>
      </w:r>
      <w:r>
        <w:rPr>
          <w:rFonts w:hint="eastAsia" w:ascii="仿宋_GB2312" w:hAnsi="仿宋_GB2312" w:eastAsia="仿宋_GB2312" w:cs="仿宋_GB2312"/>
          <w:sz w:val="32"/>
          <w:szCs w:val="32"/>
          <w:highlight w:val="none"/>
          <w:lang w:val="en-US" w:eastAsia="zh-CN"/>
        </w:rPr>
        <w:t>12</w:t>
      </w:r>
      <w:r>
        <w:rPr>
          <w:rFonts w:hint="eastAsia" w:ascii="仿宋_GB2312" w:hAnsi="仿宋_GB2312" w:eastAsia="仿宋_GB2312" w:cs="仿宋_GB2312"/>
          <w:sz w:val="32"/>
          <w:szCs w:val="32"/>
          <w:highlight w:val="none"/>
        </w:rPr>
        <w:t>月</w:t>
      </w:r>
      <w:r>
        <w:rPr>
          <w:rFonts w:hint="eastAsia" w:ascii="仿宋_GB2312" w:hAnsi="仿宋_GB2312" w:eastAsia="仿宋_GB2312" w:cs="仿宋_GB2312"/>
          <w:sz w:val="32"/>
          <w:szCs w:val="32"/>
          <w:highlight w:val="none"/>
          <w:lang w:val="en-US" w:eastAsia="zh-CN"/>
        </w:rPr>
        <w:t>8</w:t>
      </w:r>
      <w:r>
        <w:rPr>
          <w:rFonts w:hint="eastAsia" w:ascii="仿宋_GB2312" w:hAnsi="仿宋_GB2312" w:eastAsia="仿宋_GB2312" w:cs="仿宋_GB2312"/>
          <w:sz w:val="32"/>
          <w:szCs w:val="32"/>
          <w:highlight w:val="none"/>
        </w:rPr>
        <w:t>日</w:t>
      </w:r>
    </w:p>
    <w:p>
      <w:pPr>
        <w:spacing w:line="500" w:lineRule="exact"/>
        <w:rPr>
          <w:rFonts w:hint="default" w:ascii="Times New Roman" w:hAnsi="Times New Roman" w:eastAsia="仿宋" w:cs="Times New Roman"/>
          <w:b/>
          <w:bCs/>
          <w:sz w:val="28"/>
          <w:highlight w:val="none"/>
        </w:rPr>
      </w:pPr>
      <w:r>
        <w:rPr>
          <w:rFonts w:hint="default" w:ascii="Times New Roman" w:hAnsi="Times New Roman" w:eastAsia="仿宋" w:cs="Times New Roman"/>
          <w:b/>
          <w:sz w:val="28"/>
          <w:highlight w:val="none"/>
        </w:rPr>
        <w:t>附件1</w:t>
      </w:r>
    </w:p>
    <w:p>
      <w:pPr>
        <w:adjustRightInd w:val="0"/>
        <w:snapToGrid w:val="0"/>
        <w:ind w:right="-153" w:rightChars="-73"/>
        <w:rPr>
          <w:rFonts w:hint="default" w:ascii="Times New Roman" w:hAnsi="Times New Roman" w:eastAsia="仿宋" w:cs="Times New Roman"/>
          <w:sz w:val="24"/>
          <w:szCs w:val="24"/>
          <w:highlight w:val="none"/>
        </w:rPr>
      </w:pPr>
    </w:p>
    <w:p>
      <w:pPr>
        <w:spacing w:line="500" w:lineRule="exact"/>
        <w:jc w:val="center"/>
        <w:rPr>
          <w:rFonts w:hint="default" w:ascii="Times New Roman" w:hAnsi="Times New Roman" w:eastAsia="仿宋" w:cs="Times New Roman"/>
          <w:b/>
          <w:bCs/>
          <w:sz w:val="32"/>
          <w:highlight w:val="none"/>
        </w:rPr>
      </w:pPr>
      <w:r>
        <w:rPr>
          <w:rFonts w:hint="default" w:ascii="Times New Roman" w:hAnsi="Times New Roman" w:eastAsia="仿宋" w:cs="Times New Roman"/>
          <w:b/>
          <w:sz w:val="32"/>
          <w:highlight w:val="none"/>
        </w:rPr>
        <w:t>报价函</w:t>
      </w:r>
    </w:p>
    <w:p>
      <w:pPr>
        <w:spacing w:line="500" w:lineRule="exact"/>
        <w:rPr>
          <w:rFonts w:hint="default" w:ascii="Times New Roman" w:hAnsi="Times New Roman" w:eastAsia="仿宋" w:cs="Times New Roman"/>
          <w:bCs/>
          <w:sz w:val="24"/>
          <w:highlight w:val="none"/>
        </w:rPr>
      </w:pPr>
    </w:p>
    <w:p>
      <w:pPr>
        <w:spacing w:line="360" w:lineRule="auto"/>
        <w:rPr>
          <w:rFonts w:hint="default" w:ascii="Times New Roman" w:hAnsi="Times New Roman" w:eastAsia="仿宋" w:cs="Times New Roman"/>
          <w:sz w:val="24"/>
          <w:highlight w:val="none"/>
        </w:rPr>
      </w:pPr>
      <w:r>
        <w:rPr>
          <w:rFonts w:hint="default" w:ascii="Times New Roman" w:hAnsi="Times New Roman" w:eastAsia="仿宋" w:cs="Times New Roman"/>
          <w:bCs/>
          <w:sz w:val="24"/>
          <w:highlight w:val="none"/>
          <w:lang w:val="en-US" w:eastAsia="zh-CN"/>
        </w:rPr>
        <w:t>廊坊市发展和改革委员会</w:t>
      </w:r>
      <w:r>
        <w:rPr>
          <w:rFonts w:hint="default" w:ascii="Times New Roman" w:hAnsi="Times New Roman" w:eastAsia="仿宋" w:cs="Times New Roman"/>
          <w:sz w:val="24"/>
          <w:highlight w:val="none"/>
        </w:rPr>
        <w:t>：</w:t>
      </w:r>
    </w:p>
    <w:p>
      <w:pPr>
        <w:spacing w:line="600" w:lineRule="exact"/>
        <w:ind w:firstLine="480" w:firstLineChars="200"/>
        <w:rPr>
          <w:rFonts w:hint="default" w:ascii="Times New Roman" w:hAnsi="Times New Roman" w:eastAsia="仿宋" w:cs="Times New Roman"/>
          <w:sz w:val="24"/>
          <w:highlight w:val="none"/>
        </w:rPr>
      </w:pPr>
      <w:r>
        <w:rPr>
          <w:rFonts w:hint="default" w:ascii="Times New Roman" w:hAnsi="Times New Roman" w:eastAsia="仿宋" w:cs="Times New Roman"/>
          <w:sz w:val="24"/>
          <w:highlight w:val="none"/>
        </w:rPr>
        <w:t>我单位</w:t>
      </w:r>
      <w:r>
        <w:rPr>
          <w:rFonts w:hint="default" w:ascii="Times New Roman" w:hAnsi="Times New Roman" w:eastAsia="仿宋" w:cs="Times New Roman"/>
          <w:sz w:val="24"/>
          <w:highlight w:val="none"/>
          <w:lang w:eastAsia="zh-CN"/>
        </w:rPr>
        <w:t>就</w:t>
      </w:r>
      <w:r>
        <w:rPr>
          <w:rFonts w:hint="default" w:ascii="Times New Roman" w:hAnsi="Times New Roman" w:eastAsia="仿宋" w:cs="Times New Roman"/>
          <w:sz w:val="24"/>
          <w:szCs w:val="22"/>
          <w:highlight w:val="none"/>
          <w:lang w:val="en-US" w:eastAsia="zh-CN"/>
        </w:rPr>
        <w:t>编制廊坊市黄金珠宝产业发展工作计划策划服务</w:t>
      </w:r>
      <w:r>
        <w:rPr>
          <w:rFonts w:hint="eastAsia" w:ascii="Times New Roman" w:hAnsi="Times New Roman" w:eastAsia="仿宋" w:cs="Times New Roman"/>
          <w:sz w:val="24"/>
          <w:highlight w:val="none"/>
          <w:lang w:val="en-US" w:eastAsia="zh-CN"/>
        </w:rPr>
        <w:t>项目</w:t>
      </w:r>
      <w:r>
        <w:rPr>
          <w:rFonts w:hint="default" w:ascii="Times New Roman" w:hAnsi="Times New Roman" w:eastAsia="仿宋" w:cs="Times New Roman"/>
          <w:sz w:val="24"/>
          <w:highlight w:val="none"/>
        </w:rPr>
        <w:t>提交报价文件</w:t>
      </w:r>
      <w:r>
        <w:rPr>
          <w:rFonts w:hint="eastAsia" w:ascii="Times New Roman" w:hAnsi="Times New Roman" w:eastAsia="仿宋" w:cs="Times New Roman"/>
          <w:sz w:val="24"/>
          <w:highlight w:val="none"/>
          <w:lang w:eastAsia="zh-CN"/>
        </w:rPr>
        <w:t>，</w:t>
      </w:r>
      <w:r>
        <w:rPr>
          <w:rFonts w:hint="default" w:ascii="Times New Roman" w:hAnsi="Times New Roman" w:eastAsia="仿宋" w:cs="Times New Roman"/>
          <w:sz w:val="24"/>
          <w:highlight w:val="none"/>
        </w:rPr>
        <w:t>并同时宣布愿意遵守下列条款：</w:t>
      </w:r>
    </w:p>
    <w:p>
      <w:pPr>
        <w:spacing w:line="600" w:lineRule="exact"/>
        <w:ind w:firstLine="480" w:firstLineChars="200"/>
        <w:rPr>
          <w:rFonts w:hint="default" w:ascii="Times New Roman" w:hAnsi="Times New Roman" w:eastAsia="仿宋" w:cs="Times New Roman"/>
          <w:sz w:val="24"/>
          <w:highlight w:val="none"/>
        </w:rPr>
      </w:pPr>
      <w:r>
        <w:rPr>
          <w:rFonts w:hint="default" w:ascii="Times New Roman" w:hAnsi="Times New Roman" w:eastAsia="仿宋" w:cs="Times New Roman"/>
          <w:sz w:val="24"/>
          <w:highlight w:val="none"/>
        </w:rPr>
        <w:t>1）承认和愿意按照</w:t>
      </w:r>
      <w:r>
        <w:rPr>
          <w:rFonts w:hint="default" w:ascii="Times New Roman" w:hAnsi="Times New Roman" w:eastAsia="仿宋" w:cs="Times New Roman"/>
          <w:sz w:val="24"/>
          <w:highlight w:val="none"/>
          <w:lang w:eastAsia="zh-CN"/>
        </w:rPr>
        <w:t>《</w:t>
      </w:r>
      <w:r>
        <w:rPr>
          <w:rFonts w:hint="default" w:ascii="Times New Roman" w:hAnsi="Times New Roman" w:eastAsia="仿宋" w:cs="Times New Roman"/>
          <w:b w:val="0"/>
          <w:bCs w:val="0"/>
          <w:sz w:val="24"/>
          <w:szCs w:val="22"/>
          <w:highlight w:val="none"/>
          <w:lang w:eastAsia="zh-CN"/>
        </w:rPr>
        <w:t>廊坊市</w:t>
      </w:r>
      <w:r>
        <w:rPr>
          <w:rFonts w:hint="default" w:ascii="Times New Roman" w:hAnsi="Times New Roman" w:eastAsia="仿宋" w:cs="Times New Roman"/>
          <w:sz w:val="24"/>
          <w:szCs w:val="22"/>
          <w:highlight w:val="none"/>
          <w:lang w:val="en-US" w:eastAsia="zh-CN"/>
        </w:rPr>
        <w:t>编制黄金珠宝产业发展工作计划策划服务</w:t>
      </w:r>
      <w:r>
        <w:rPr>
          <w:rFonts w:hint="default" w:ascii="Times New Roman" w:hAnsi="Times New Roman" w:eastAsia="仿宋" w:cs="Times New Roman"/>
          <w:b w:val="0"/>
          <w:bCs w:val="0"/>
          <w:sz w:val="24"/>
          <w:szCs w:val="22"/>
          <w:highlight w:val="none"/>
          <w:lang w:eastAsia="zh-CN"/>
        </w:rPr>
        <w:t>招标公告</w:t>
      </w:r>
      <w:r>
        <w:rPr>
          <w:rFonts w:hint="default" w:ascii="Times New Roman" w:hAnsi="Times New Roman" w:eastAsia="仿宋" w:cs="Times New Roman"/>
          <w:sz w:val="24"/>
          <w:highlight w:val="none"/>
          <w:lang w:eastAsia="zh-CN"/>
        </w:rPr>
        <w:t>》</w:t>
      </w:r>
      <w:r>
        <w:rPr>
          <w:rFonts w:hint="default" w:ascii="Times New Roman" w:hAnsi="Times New Roman" w:eastAsia="仿宋" w:cs="Times New Roman"/>
          <w:sz w:val="24"/>
          <w:highlight w:val="none"/>
        </w:rPr>
        <w:t>中各项规定和要求，提供本项目所需服务，所提供的服务完全满足</w:t>
      </w:r>
      <w:r>
        <w:rPr>
          <w:rFonts w:hint="default" w:ascii="Times New Roman" w:hAnsi="Times New Roman" w:eastAsia="仿宋" w:cs="Times New Roman"/>
          <w:sz w:val="24"/>
          <w:highlight w:val="none"/>
          <w:lang w:eastAsia="zh-CN"/>
        </w:rPr>
        <w:t>贵方</w:t>
      </w:r>
      <w:r>
        <w:rPr>
          <w:rFonts w:hint="default" w:ascii="Times New Roman" w:hAnsi="Times New Roman" w:eastAsia="仿宋" w:cs="Times New Roman"/>
          <w:sz w:val="24"/>
          <w:highlight w:val="none"/>
        </w:rPr>
        <w:t>要求。</w:t>
      </w:r>
    </w:p>
    <w:p>
      <w:pPr>
        <w:spacing w:line="360" w:lineRule="auto"/>
        <w:ind w:firstLine="480"/>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 xml:space="preserve">我单位报价为: </w:t>
      </w:r>
      <w:r>
        <w:rPr>
          <w:rFonts w:hint="default" w:ascii="Times New Roman" w:hAnsi="Times New Roman" w:eastAsia="仿宋" w:cs="Times New Roman"/>
          <w:sz w:val="24"/>
          <w:szCs w:val="24"/>
          <w:highlight w:val="none"/>
          <w:u w:val="single"/>
        </w:rPr>
        <w:t xml:space="preserve">人民币（大写）  </w:t>
      </w:r>
      <w:r>
        <w:rPr>
          <w:rFonts w:hint="default" w:ascii="Times New Roman" w:hAnsi="Times New Roman" w:eastAsia="仿宋" w:cs="Times New Roman"/>
          <w:sz w:val="24"/>
          <w:szCs w:val="24"/>
          <w:highlight w:val="none"/>
          <w:u w:val="single"/>
          <w:lang w:val="en-US" w:eastAsia="zh-CN"/>
        </w:rPr>
        <w:t xml:space="preserve">    </w:t>
      </w:r>
      <w:r>
        <w:rPr>
          <w:rFonts w:hint="default" w:ascii="Times New Roman" w:hAnsi="Times New Roman" w:eastAsia="仿宋" w:cs="Times New Roman"/>
          <w:sz w:val="24"/>
          <w:szCs w:val="24"/>
          <w:highlight w:val="none"/>
          <w:u w:val="single"/>
        </w:rPr>
        <w:t xml:space="preserve"> 元整 (小写¥      )</w:t>
      </w:r>
      <w:r>
        <w:rPr>
          <w:rFonts w:hint="default" w:ascii="Times New Roman" w:hAnsi="Times New Roman" w:eastAsia="仿宋" w:cs="Times New Roman"/>
          <w:sz w:val="24"/>
          <w:szCs w:val="24"/>
          <w:highlight w:val="none"/>
        </w:rPr>
        <w:t>。</w:t>
      </w:r>
    </w:p>
    <w:p>
      <w:pPr>
        <w:spacing w:line="360" w:lineRule="auto"/>
        <w:ind w:firstLine="480" w:firstLineChars="200"/>
        <w:rPr>
          <w:rFonts w:hint="default" w:ascii="Times New Roman" w:hAnsi="Times New Roman" w:eastAsia="仿宋" w:cs="Times New Roman"/>
          <w:sz w:val="24"/>
          <w:highlight w:val="none"/>
        </w:rPr>
      </w:pPr>
      <w:r>
        <w:rPr>
          <w:rFonts w:hint="default" w:ascii="Times New Roman" w:hAnsi="Times New Roman" w:eastAsia="仿宋" w:cs="Times New Roman"/>
          <w:bCs/>
          <w:sz w:val="24"/>
          <w:highlight w:val="none"/>
        </w:rPr>
        <w:t>服务周期：202</w:t>
      </w:r>
      <w:r>
        <w:rPr>
          <w:rFonts w:hint="eastAsia" w:ascii="Times New Roman" w:hAnsi="Times New Roman" w:eastAsia="仿宋" w:cs="Times New Roman"/>
          <w:bCs/>
          <w:sz w:val="24"/>
          <w:highlight w:val="none"/>
          <w:lang w:eastAsia="zh"/>
        </w:rPr>
        <w:t>5</w:t>
      </w:r>
      <w:r>
        <w:rPr>
          <w:rFonts w:hint="default" w:ascii="Times New Roman" w:hAnsi="Times New Roman" w:eastAsia="仿宋" w:cs="Times New Roman"/>
          <w:bCs/>
          <w:sz w:val="24"/>
          <w:highlight w:val="none"/>
        </w:rPr>
        <w:t>年1</w:t>
      </w:r>
      <w:r>
        <w:rPr>
          <w:rFonts w:hint="eastAsia" w:ascii="Times New Roman" w:hAnsi="Times New Roman" w:eastAsia="仿宋" w:cs="Times New Roman"/>
          <w:bCs/>
          <w:sz w:val="24"/>
          <w:highlight w:val="none"/>
          <w:lang w:eastAsia="zh"/>
        </w:rPr>
        <w:t>2</w:t>
      </w:r>
      <w:r>
        <w:rPr>
          <w:rFonts w:hint="default" w:ascii="Times New Roman" w:hAnsi="Times New Roman" w:eastAsia="仿宋" w:cs="Times New Roman"/>
          <w:bCs/>
          <w:sz w:val="24"/>
          <w:highlight w:val="none"/>
        </w:rPr>
        <w:t>月</w:t>
      </w:r>
      <w:r>
        <w:rPr>
          <w:rFonts w:hint="eastAsia" w:ascii="Times New Roman" w:hAnsi="Times New Roman" w:eastAsia="仿宋" w:cs="Times New Roman"/>
          <w:bCs/>
          <w:sz w:val="24"/>
          <w:highlight w:val="none"/>
          <w:lang w:eastAsia="zh"/>
        </w:rPr>
        <w:t>1</w:t>
      </w:r>
      <w:r>
        <w:rPr>
          <w:rFonts w:hint="default" w:ascii="Times New Roman" w:hAnsi="Times New Roman" w:eastAsia="仿宋" w:cs="Times New Roman"/>
          <w:bCs/>
          <w:sz w:val="24"/>
          <w:highlight w:val="none"/>
        </w:rPr>
        <w:t>2日起至202</w:t>
      </w:r>
      <w:r>
        <w:rPr>
          <w:rFonts w:hint="eastAsia" w:ascii="Times New Roman" w:hAnsi="Times New Roman" w:eastAsia="仿宋" w:cs="Times New Roman"/>
          <w:bCs/>
          <w:sz w:val="24"/>
          <w:highlight w:val="none"/>
          <w:lang w:val="en-US" w:eastAsia="zh-CN"/>
        </w:rPr>
        <w:t>5</w:t>
      </w:r>
      <w:r>
        <w:rPr>
          <w:rFonts w:hint="default" w:ascii="Times New Roman" w:hAnsi="Times New Roman" w:eastAsia="仿宋" w:cs="Times New Roman"/>
          <w:bCs/>
          <w:sz w:val="24"/>
          <w:highlight w:val="none"/>
        </w:rPr>
        <w:t>年1</w:t>
      </w:r>
      <w:r>
        <w:rPr>
          <w:rFonts w:hint="eastAsia" w:ascii="Times New Roman" w:hAnsi="Times New Roman" w:eastAsia="仿宋" w:cs="Times New Roman"/>
          <w:bCs/>
          <w:sz w:val="24"/>
          <w:highlight w:val="none"/>
          <w:lang w:eastAsia="zh"/>
        </w:rPr>
        <w:t>2</w:t>
      </w:r>
      <w:r>
        <w:rPr>
          <w:rFonts w:hint="default" w:ascii="Times New Roman" w:hAnsi="Times New Roman" w:eastAsia="仿宋" w:cs="Times New Roman"/>
          <w:bCs/>
          <w:sz w:val="24"/>
          <w:highlight w:val="none"/>
        </w:rPr>
        <w:t>月2</w:t>
      </w:r>
      <w:r>
        <w:rPr>
          <w:rFonts w:hint="eastAsia" w:ascii="Times New Roman" w:hAnsi="Times New Roman" w:eastAsia="仿宋" w:cs="Times New Roman"/>
          <w:bCs/>
          <w:sz w:val="24"/>
          <w:highlight w:val="none"/>
          <w:lang w:eastAsia="zh"/>
        </w:rPr>
        <w:t>5</w:t>
      </w:r>
      <w:r>
        <w:rPr>
          <w:rFonts w:hint="default" w:ascii="Times New Roman" w:hAnsi="Times New Roman" w:eastAsia="仿宋" w:cs="Times New Roman"/>
          <w:bCs/>
          <w:sz w:val="24"/>
          <w:highlight w:val="none"/>
        </w:rPr>
        <w:t>日。</w:t>
      </w:r>
      <w:r>
        <w:rPr>
          <w:rFonts w:hint="default" w:ascii="Times New Roman" w:hAnsi="Times New Roman" w:eastAsia="仿宋" w:cs="Times New Roman"/>
          <w:sz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 w:cs="Times New Roman"/>
          <w:sz w:val="24"/>
          <w:highlight w:val="none"/>
        </w:rPr>
      </w:pPr>
      <w:r>
        <w:rPr>
          <w:rFonts w:hint="default" w:ascii="Times New Roman" w:hAnsi="Times New Roman" w:eastAsia="仿宋" w:cs="Times New Roman"/>
          <w:sz w:val="24"/>
          <w:highlight w:val="none"/>
        </w:rPr>
        <w:t>技术要求：</w:t>
      </w:r>
      <w:r>
        <w:rPr>
          <w:rFonts w:hint="default" w:ascii="Times New Roman" w:hAnsi="Times New Roman" w:eastAsia="仿宋" w:cs="Times New Roman"/>
          <w:sz w:val="24"/>
          <w:highlight w:val="none"/>
          <w:lang w:eastAsia="zh-CN"/>
        </w:rPr>
        <w:t>我单位所提供</w:t>
      </w:r>
      <w:r>
        <w:rPr>
          <w:rFonts w:hint="default" w:ascii="Times New Roman" w:hAnsi="Times New Roman" w:eastAsia="仿宋" w:cs="Times New Roman"/>
          <w:sz w:val="24"/>
          <w:szCs w:val="22"/>
          <w:highlight w:val="none"/>
          <w:lang w:val="en-US" w:eastAsia="zh-CN"/>
        </w:rPr>
        <w:t>编制廊坊市黄金珠宝产业发展工作计划策划服务基于全国黄金珠宝首饰产业发展现状，立足廊坊市珠宝产业发展的优势，</w:t>
      </w:r>
      <w:r>
        <w:rPr>
          <w:rFonts w:hint="default" w:ascii="Times New Roman" w:hAnsi="Times New Roman" w:eastAsia="仿宋" w:cs="Times New Roman"/>
          <w:sz w:val="24"/>
          <w:highlight w:val="none"/>
          <w:lang w:val="en-US" w:eastAsia="zh-CN"/>
        </w:rPr>
        <w:t>充分结合廊坊市</w:t>
      </w:r>
      <w:r>
        <w:rPr>
          <w:rFonts w:hint="default" w:ascii="Times New Roman" w:hAnsi="Times New Roman" w:eastAsia="仿宋" w:cs="Times New Roman"/>
          <w:sz w:val="24"/>
          <w:szCs w:val="22"/>
          <w:highlight w:val="none"/>
          <w:lang w:val="en-US" w:eastAsia="zh-CN"/>
        </w:rPr>
        <w:t>文旅品牌，</w:t>
      </w:r>
      <w:r>
        <w:rPr>
          <w:rFonts w:hint="eastAsia" w:ascii="Times New Roman" w:hAnsi="Times New Roman" w:eastAsia="仿宋" w:cs="Times New Roman"/>
          <w:sz w:val="24"/>
          <w:szCs w:val="22"/>
          <w:highlight w:val="none"/>
          <w:lang w:val="en-US" w:eastAsia="zh-CN"/>
        </w:rPr>
        <w:t>是具备</w:t>
      </w:r>
      <w:r>
        <w:rPr>
          <w:rFonts w:hint="default" w:ascii="Times New Roman" w:hAnsi="Times New Roman" w:eastAsia="仿宋" w:cs="Times New Roman"/>
          <w:sz w:val="24"/>
          <w:szCs w:val="22"/>
          <w:highlight w:val="none"/>
          <w:lang w:val="en-US" w:eastAsia="zh-CN"/>
        </w:rPr>
        <w:t>前瞻性、创新性和可操作性</w:t>
      </w:r>
      <w:r>
        <w:rPr>
          <w:rFonts w:hint="eastAsia" w:ascii="Times New Roman" w:hAnsi="Times New Roman" w:eastAsia="仿宋" w:cs="Times New Roman"/>
          <w:sz w:val="24"/>
          <w:szCs w:val="22"/>
          <w:highlight w:val="none"/>
          <w:lang w:val="en-US" w:eastAsia="zh-CN"/>
        </w:rPr>
        <w:t>的</w:t>
      </w:r>
      <w:r>
        <w:rPr>
          <w:rFonts w:hint="default" w:ascii="Times New Roman" w:hAnsi="Times New Roman" w:eastAsia="仿宋" w:cs="Times New Roman"/>
          <w:sz w:val="24"/>
          <w:szCs w:val="22"/>
          <w:highlight w:val="none"/>
          <w:lang w:val="en-US" w:eastAsia="zh-CN"/>
        </w:rPr>
        <w:t>黄金珠宝产业发展工作计划</w:t>
      </w:r>
      <w:r>
        <w:rPr>
          <w:rFonts w:hint="default" w:ascii="Times New Roman" w:hAnsi="Times New Roman" w:eastAsia="仿宋" w:cs="Times New Roman"/>
          <w:sz w:val="24"/>
          <w:highlight w:val="none"/>
        </w:rPr>
        <w:t>。</w:t>
      </w:r>
    </w:p>
    <w:p>
      <w:pPr>
        <w:spacing w:line="360" w:lineRule="auto"/>
        <w:ind w:firstLine="480" w:firstLineChars="200"/>
        <w:rPr>
          <w:rFonts w:hint="default" w:ascii="Times New Roman" w:hAnsi="Times New Roman" w:eastAsia="仿宋" w:cs="Times New Roman"/>
          <w:sz w:val="24"/>
          <w:highlight w:val="none"/>
        </w:rPr>
      </w:pPr>
      <w:r>
        <w:rPr>
          <w:rFonts w:hint="default" w:ascii="Times New Roman" w:hAnsi="Times New Roman" w:eastAsia="仿宋" w:cs="Times New Roman"/>
          <w:sz w:val="24"/>
          <w:highlight w:val="none"/>
        </w:rPr>
        <w:t>2）愿意参考《中华人民共和国合同法》等</w:t>
      </w:r>
      <w:bookmarkStart w:id="3" w:name="_GoBack"/>
      <w:bookmarkEnd w:id="3"/>
      <w:r>
        <w:rPr>
          <w:rFonts w:hint="default" w:ascii="Times New Roman" w:hAnsi="Times New Roman" w:eastAsia="仿宋" w:cs="Times New Roman"/>
          <w:sz w:val="24"/>
          <w:highlight w:val="none"/>
        </w:rPr>
        <w:t>相关法律法规履行自己的责任和义务。</w:t>
      </w:r>
    </w:p>
    <w:p>
      <w:pPr>
        <w:spacing w:line="360" w:lineRule="auto"/>
        <w:ind w:firstLine="480" w:firstLineChars="200"/>
        <w:rPr>
          <w:rFonts w:hint="default" w:ascii="Times New Roman" w:hAnsi="Times New Roman" w:eastAsia="仿宋" w:cs="Times New Roman"/>
          <w:sz w:val="24"/>
          <w:highlight w:val="none"/>
        </w:rPr>
      </w:pPr>
      <w:r>
        <w:rPr>
          <w:rFonts w:hint="default" w:ascii="Times New Roman" w:hAnsi="Times New Roman" w:eastAsia="仿宋" w:cs="Times New Roman"/>
          <w:sz w:val="24"/>
          <w:highlight w:val="none"/>
        </w:rPr>
        <w:t>3）如果我单位为成交供应商，我们将履行合同中规定的每一项要求和报价文件中的承诺，按期、按质、按量完成任务。</w:t>
      </w:r>
    </w:p>
    <w:p>
      <w:pPr>
        <w:spacing w:line="360" w:lineRule="auto"/>
        <w:ind w:firstLine="480" w:firstLineChars="200"/>
        <w:rPr>
          <w:rFonts w:hint="default" w:ascii="Times New Roman" w:hAnsi="Times New Roman" w:eastAsia="仿宋" w:cs="Times New Roman"/>
          <w:sz w:val="24"/>
          <w:highlight w:val="none"/>
        </w:rPr>
      </w:pPr>
      <w:r>
        <w:rPr>
          <w:rFonts w:hint="default" w:ascii="Times New Roman" w:hAnsi="Times New Roman" w:eastAsia="仿宋" w:cs="Times New Roman"/>
          <w:sz w:val="24"/>
          <w:highlight w:val="none"/>
        </w:rPr>
        <w:t>4）我们愿意提供采购人在询价函中要求的所有资料。</w:t>
      </w:r>
    </w:p>
    <w:p>
      <w:pPr>
        <w:spacing w:line="360" w:lineRule="auto"/>
        <w:ind w:firstLine="480" w:firstLineChars="200"/>
        <w:rPr>
          <w:rFonts w:hint="default" w:ascii="Times New Roman" w:hAnsi="Times New Roman" w:eastAsia="仿宋" w:cs="Times New Roman"/>
          <w:sz w:val="24"/>
          <w:highlight w:val="none"/>
        </w:rPr>
      </w:pPr>
      <w:r>
        <w:rPr>
          <w:rFonts w:hint="default" w:ascii="Times New Roman" w:hAnsi="Times New Roman" w:eastAsia="仿宋" w:cs="Times New Roman"/>
          <w:sz w:val="24"/>
          <w:highlight w:val="none"/>
        </w:rPr>
        <w:t>5）我方的报价文件有效期为：报价截止后30天。</w:t>
      </w:r>
    </w:p>
    <w:p>
      <w:pPr>
        <w:adjustRightInd w:val="0"/>
        <w:snapToGrid w:val="0"/>
        <w:spacing w:line="360" w:lineRule="auto"/>
        <w:rPr>
          <w:rFonts w:hint="default" w:ascii="Times New Roman" w:hAnsi="Times New Roman" w:eastAsia="仿宋" w:cs="Times New Roman"/>
          <w:sz w:val="24"/>
          <w:highlight w:val="none"/>
        </w:rPr>
      </w:pPr>
    </w:p>
    <w:p>
      <w:pPr>
        <w:adjustRightInd w:val="0"/>
        <w:snapToGrid w:val="0"/>
        <w:spacing w:line="360" w:lineRule="auto"/>
        <w:rPr>
          <w:rFonts w:hint="default" w:ascii="Times New Roman" w:hAnsi="Times New Roman" w:eastAsia="仿宋" w:cs="Times New Roman"/>
          <w:sz w:val="24"/>
          <w:highlight w:val="none"/>
        </w:rPr>
      </w:pPr>
    </w:p>
    <w:p>
      <w:pPr>
        <w:adjustRightInd w:val="0"/>
        <w:snapToGrid w:val="0"/>
        <w:spacing w:line="360" w:lineRule="auto"/>
        <w:rPr>
          <w:rFonts w:hint="default" w:ascii="Times New Roman" w:hAnsi="Times New Roman" w:eastAsia="仿宋" w:cs="Times New Roman"/>
          <w:sz w:val="24"/>
          <w:highlight w:val="none"/>
        </w:rPr>
      </w:pPr>
      <w:r>
        <w:rPr>
          <w:rFonts w:hint="default" w:ascii="Times New Roman" w:hAnsi="Times New Roman" w:eastAsia="仿宋" w:cs="Times New Roman"/>
          <w:sz w:val="24"/>
          <w:highlight w:val="none"/>
        </w:rPr>
        <w:t xml:space="preserve">                          供应商：</w:t>
      </w:r>
      <w:r>
        <w:rPr>
          <w:rFonts w:hint="default" w:ascii="Times New Roman" w:hAnsi="Times New Roman" w:eastAsia="仿宋" w:cs="Times New Roman"/>
          <w:sz w:val="24"/>
          <w:highlight w:val="none"/>
          <w:u w:val="single"/>
        </w:rPr>
        <w:t xml:space="preserve">                         </w:t>
      </w:r>
      <w:r>
        <w:rPr>
          <w:rFonts w:hint="default" w:ascii="Times New Roman" w:hAnsi="Times New Roman" w:eastAsia="仿宋" w:cs="Times New Roman"/>
          <w:sz w:val="24"/>
          <w:highlight w:val="none"/>
        </w:rPr>
        <w:t xml:space="preserve">（公章）             </w:t>
      </w:r>
    </w:p>
    <w:p>
      <w:pPr>
        <w:adjustRightInd w:val="0"/>
        <w:snapToGrid w:val="0"/>
        <w:spacing w:line="360" w:lineRule="auto"/>
        <w:ind w:firstLine="360" w:firstLineChars="150"/>
        <w:rPr>
          <w:rFonts w:hint="default" w:ascii="Times New Roman" w:hAnsi="Times New Roman" w:eastAsia="仿宋" w:cs="Times New Roman"/>
          <w:sz w:val="24"/>
          <w:highlight w:val="none"/>
          <w:u w:val="single"/>
        </w:rPr>
      </w:pPr>
    </w:p>
    <w:p>
      <w:pPr>
        <w:adjustRightInd w:val="0"/>
        <w:snapToGrid w:val="0"/>
        <w:spacing w:line="360" w:lineRule="auto"/>
        <w:ind w:firstLine="4080" w:firstLineChars="1700"/>
        <w:rPr>
          <w:rFonts w:hint="default" w:ascii="Times New Roman" w:hAnsi="Times New Roman" w:eastAsia="仿宋" w:cs="Times New Roman"/>
          <w:sz w:val="24"/>
          <w:highlight w:val="none"/>
        </w:rPr>
      </w:pPr>
      <w:r>
        <w:rPr>
          <w:rFonts w:hint="default" w:ascii="Times New Roman" w:hAnsi="Times New Roman" w:eastAsia="仿宋" w:cs="Times New Roman"/>
          <w:sz w:val="24"/>
          <w:highlight w:val="none"/>
          <w:u w:val="single"/>
        </w:rPr>
        <w:t xml:space="preserve">       </w:t>
      </w:r>
      <w:r>
        <w:rPr>
          <w:rFonts w:hint="default" w:ascii="Times New Roman" w:hAnsi="Times New Roman" w:eastAsia="仿宋" w:cs="Times New Roman"/>
          <w:sz w:val="24"/>
          <w:highlight w:val="none"/>
        </w:rPr>
        <w:t>年</w:t>
      </w:r>
      <w:r>
        <w:rPr>
          <w:rFonts w:hint="default" w:ascii="Times New Roman" w:hAnsi="Times New Roman" w:eastAsia="仿宋" w:cs="Times New Roman"/>
          <w:sz w:val="24"/>
          <w:highlight w:val="none"/>
          <w:u w:val="single"/>
        </w:rPr>
        <w:t xml:space="preserve">    </w:t>
      </w:r>
      <w:r>
        <w:rPr>
          <w:rFonts w:hint="default" w:ascii="Times New Roman" w:hAnsi="Times New Roman" w:eastAsia="仿宋" w:cs="Times New Roman"/>
          <w:sz w:val="24"/>
          <w:highlight w:val="none"/>
        </w:rPr>
        <w:t>月</w:t>
      </w:r>
      <w:r>
        <w:rPr>
          <w:rFonts w:hint="default" w:ascii="Times New Roman" w:hAnsi="Times New Roman" w:eastAsia="仿宋" w:cs="Times New Roman"/>
          <w:sz w:val="24"/>
          <w:highlight w:val="none"/>
          <w:u w:val="single"/>
        </w:rPr>
        <w:t xml:space="preserve">    </w:t>
      </w:r>
      <w:r>
        <w:rPr>
          <w:rFonts w:hint="default" w:ascii="Times New Roman" w:hAnsi="Times New Roman" w:eastAsia="仿宋" w:cs="Times New Roman"/>
          <w:sz w:val="24"/>
          <w:highlight w:val="none"/>
        </w:rPr>
        <w:t>日</w:t>
      </w:r>
    </w:p>
    <w:p>
      <w:pPr>
        <w:adjustRightInd w:val="0"/>
        <w:snapToGrid w:val="0"/>
        <w:spacing w:line="360" w:lineRule="auto"/>
        <w:rPr>
          <w:rFonts w:hint="eastAsia" w:ascii="宋体" w:hAnsi="宋体"/>
          <w:bCs/>
          <w:sz w:val="28"/>
          <w:highlight w:val="none"/>
        </w:rPr>
      </w:pPr>
    </w:p>
    <w:p>
      <w:pPr>
        <w:spacing w:line="500" w:lineRule="exact"/>
        <w:rPr>
          <w:rFonts w:hint="eastAsia" w:ascii="Times New Roman" w:hAnsi="Times New Roman" w:eastAsia="仿宋" w:cs="Times New Roman"/>
          <w:b/>
          <w:sz w:val="28"/>
          <w:highlight w:val="none"/>
          <w:lang w:val="en-US" w:eastAsia="zh-CN"/>
        </w:rPr>
      </w:pPr>
      <w:r>
        <w:rPr>
          <w:sz w:val="24"/>
          <w:highlight w:val="none"/>
        </w:rPr>
        <w:br w:type="page"/>
      </w:r>
      <w:r>
        <w:rPr>
          <w:rFonts w:hint="default" w:ascii="Times New Roman" w:hAnsi="Times New Roman" w:eastAsia="仿宋" w:cs="Times New Roman"/>
          <w:b/>
          <w:sz w:val="28"/>
          <w:highlight w:val="none"/>
        </w:rPr>
        <w:t>附件</w:t>
      </w:r>
      <w:r>
        <w:rPr>
          <w:rFonts w:hint="eastAsia" w:ascii="Times New Roman" w:hAnsi="Times New Roman" w:eastAsia="仿宋" w:cs="Times New Roman"/>
          <w:b/>
          <w:sz w:val="28"/>
          <w:highlight w:val="none"/>
          <w:lang w:val="en-US" w:eastAsia="zh-CN"/>
        </w:rPr>
        <w:t>2：</w:t>
      </w:r>
      <w:r>
        <w:rPr>
          <w:rFonts w:hint="default" w:ascii="Times New Roman" w:hAnsi="Times New Roman" w:eastAsia="仿宋" w:cs="Times New Roman"/>
          <w:b/>
          <w:sz w:val="28"/>
          <w:highlight w:val="none"/>
        </w:rPr>
        <w:t>营业执照复印件加盖公章</w:t>
      </w:r>
    </w:p>
    <w:p>
      <w:pPr>
        <w:pStyle w:val="5"/>
        <w:rPr>
          <w:sz w:val="24"/>
          <w:highlight w:val="none"/>
        </w:rPr>
      </w:pPr>
      <w:r>
        <w:rPr>
          <w:sz w:val="24"/>
          <w:highlight w:val="none"/>
        </w:rPr>
        <w:br w:type="page"/>
      </w:r>
      <w:r>
        <w:rPr>
          <w:rFonts w:hint="default" w:ascii="Times New Roman" w:hAnsi="Times New Roman" w:eastAsia="仿宋" w:cs="Times New Roman"/>
          <w:b/>
          <w:kern w:val="2"/>
          <w:sz w:val="28"/>
          <w:szCs w:val="22"/>
          <w:highlight w:val="none"/>
          <w:lang w:val="en-US" w:eastAsia="zh-CN" w:bidi="ar-SA"/>
        </w:rPr>
        <w:t>附件</w:t>
      </w:r>
      <w:r>
        <w:rPr>
          <w:rFonts w:hint="eastAsia" w:ascii="Times New Roman" w:hAnsi="Times New Roman" w:eastAsia="仿宋" w:cs="Times New Roman"/>
          <w:b/>
          <w:kern w:val="2"/>
          <w:sz w:val="28"/>
          <w:szCs w:val="22"/>
          <w:highlight w:val="none"/>
          <w:lang w:val="en-US" w:eastAsia="zh-CN" w:bidi="ar-SA"/>
        </w:rPr>
        <w:t>3：信用信息报告</w:t>
      </w:r>
      <w:r>
        <w:rPr>
          <w:rFonts w:hint="default" w:ascii="Times New Roman" w:hAnsi="Times New Roman" w:eastAsia="仿宋" w:cs="Times New Roman"/>
          <w:b/>
          <w:kern w:val="2"/>
          <w:sz w:val="28"/>
          <w:szCs w:val="22"/>
          <w:highlight w:val="none"/>
          <w:lang w:val="en-US" w:eastAsia="zh-CN" w:bidi="ar-SA"/>
        </w:rPr>
        <w:t>加盖公章</w:t>
      </w:r>
    </w:p>
    <w:sectPr>
      <w:pgSz w:w="11906" w:h="16838"/>
      <w:pgMar w:top="993" w:right="1135" w:bottom="1134" w:left="1276"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CESI黑体-GB13000">
    <w:altName w:val="黑体"/>
    <w:panose1 w:val="02000500000000000000"/>
    <w:charset w:val="86"/>
    <w:family w:val="auto"/>
    <w:pitch w:val="default"/>
    <w:sig w:usb0="00000000" w:usb1="00000000"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BBC"/>
    <w:rsid w:val="000010C5"/>
    <w:rsid w:val="00066558"/>
    <w:rsid w:val="0007258C"/>
    <w:rsid w:val="00092867"/>
    <w:rsid w:val="00092A04"/>
    <w:rsid w:val="0009532A"/>
    <w:rsid w:val="000A2FCF"/>
    <w:rsid w:val="000A6A56"/>
    <w:rsid w:val="000D0598"/>
    <w:rsid w:val="001161F8"/>
    <w:rsid w:val="00153C78"/>
    <w:rsid w:val="001D6561"/>
    <w:rsid w:val="00221D78"/>
    <w:rsid w:val="00237A8D"/>
    <w:rsid w:val="0024521E"/>
    <w:rsid w:val="002A0F29"/>
    <w:rsid w:val="00337D7D"/>
    <w:rsid w:val="00353BBC"/>
    <w:rsid w:val="00387207"/>
    <w:rsid w:val="004617BE"/>
    <w:rsid w:val="00462358"/>
    <w:rsid w:val="00476B8B"/>
    <w:rsid w:val="004C503E"/>
    <w:rsid w:val="00516B02"/>
    <w:rsid w:val="005A55CB"/>
    <w:rsid w:val="005B1BA5"/>
    <w:rsid w:val="005C0CC6"/>
    <w:rsid w:val="005E0306"/>
    <w:rsid w:val="007224D4"/>
    <w:rsid w:val="007510D8"/>
    <w:rsid w:val="007D6DE1"/>
    <w:rsid w:val="0080660D"/>
    <w:rsid w:val="00814DDD"/>
    <w:rsid w:val="0082555D"/>
    <w:rsid w:val="00833F9E"/>
    <w:rsid w:val="008A069C"/>
    <w:rsid w:val="008F49D9"/>
    <w:rsid w:val="009542C0"/>
    <w:rsid w:val="0097624E"/>
    <w:rsid w:val="009D2F2F"/>
    <w:rsid w:val="00A1193E"/>
    <w:rsid w:val="00A640C2"/>
    <w:rsid w:val="00A73752"/>
    <w:rsid w:val="00AC5C3B"/>
    <w:rsid w:val="00B15540"/>
    <w:rsid w:val="00B31F64"/>
    <w:rsid w:val="00CA6826"/>
    <w:rsid w:val="00CD32DD"/>
    <w:rsid w:val="00D4232B"/>
    <w:rsid w:val="00DE2D6B"/>
    <w:rsid w:val="00E06F11"/>
    <w:rsid w:val="00E07857"/>
    <w:rsid w:val="00EB4590"/>
    <w:rsid w:val="00F3394E"/>
    <w:rsid w:val="00F9599E"/>
    <w:rsid w:val="00FA15EE"/>
    <w:rsid w:val="01392F10"/>
    <w:rsid w:val="05634469"/>
    <w:rsid w:val="05CE2B72"/>
    <w:rsid w:val="09BE65BB"/>
    <w:rsid w:val="09F4422A"/>
    <w:rsid w:val="0ADD04D1"/>
    <w:rsid w:val="0BCA0A14"/>
    <w:rsid w:val="0FB7B7A4"/>
    <w:rsid w:val="11F6084D"/>
    <w:rsid w:val="12BE1932"/>
    <w:rsid w:val="15D71DBD"/>
    <w:rsid w:val="163360DA"/>
    <w:rsid w:val="17183289"/>
    <w:rsid w:val="17716D80"/>
    <w:rsid w:val="183270EE"/>
    <w:rsid w:val="193D6745"/>
    <w:rsid w:val="193E2B0C"/>
    <w:rsid w:val="196477D7"/>
    <w:rsid w:val="1A183913"/>
    <w:rsid w:val="1AD405E8"/>
    <w:rsid w:val="1B6F1962"/>
    <w:rsid w:val="1BBF39F6"/>
    <w:rsid w:val="1C0760BE"/>
    <w:rsid w:val="1D061598"/>
    <w:rsid w:val="1DB1620A"/>
    <w:rsid w:val="1DDE0284"/>
    <w:rsid w:val="1E3FEDB6"/>
    <w:rsid w:val="1F827314"/>
    <w:rsid w:val="20474620"/>
    <w:rsid w:val="20692E24"/>
    <w:rsid w:val="21BF6A73"/>
    <w:rsid w:val="222114DC"/>
    <w:rsid w:val="22240889"/>
    <w:rsid w:val="230C030B"/>
    <w:rsid w:val="260009DC"/>
    <w:rsid w:val="268564DD"/>
    <w:rsid w:val="288B7CB8"/>
    <w:rsid w:val="28996B80"/>
    <w:rsid w:val="2A252865"/>
    <w:rsid w:val="2A353977"/>
    <w:rsid w:val="2A361FCD"/>
    <w:rsid w:val="2ACB2241"/>
    <w:rsid w:val="2ACF7D27"/>
    <w:rsid w:val="2B057BED"/>
    <w:rsid w:val="2D375034"/>
    <w:rsid w:val="2E3F2618"/>
    <w:rsid w:val="2FF344B8"/>
    <w:rsid w:val="308E2433"/>
    <w:rsid w:val="30F54260"/>
    <w:rsid w:val="31E5494B"/>
    <w:rsid w:val="322F6697"/>
    <w:rsid w:val="34306A1B"/>
    <w:rsid w:val="34A26192"/>
    <w:rsid w:val="34AE1287"/>
    <w:rsid w:val="35EA0CAB"/>
    <w:rsid w:val="36EF7497"/>
    <w:rsid w:val="37411B33"/>
    <w:rsid w:val="37E617A7"/>
    <w:rsid w:val="387B77BA"/>
    <w:rsid w:val="3B1237F4"/>
    <w:rsid w:val="3B6A65EA"/>
    <w:rsid w:val="3BF50B2C"/>
    <w:rsid w:val="3C673010"/>
    <w:rsid w:val="3C7F0E19"/>
    <w:rsid w:val="3CB24912"/>
    <w:rsid w:val="3D804EB1"/>
    <w:rsid w:val="3DCDEC45"/>
    <w:rsid w:val="3F5D7BA0"/>
    <w:rsid w:val="3F7DF9BD"/>
    <w:rsid w:val="3FFE1DFA"/>
    <w:rsid w:val="414E5626"/>
    <w:rsid w:val="41C9192F"/>
    <w:rsid w:val="425B4099"/>
    <w:rsid w:val="42B51AA1"/>
    <w:rsid w:val="43E772A7"/>
    <w:rsid w:val="45AB2290"/>
    <w:rsid w:val="48147269"/>
    <w:rsid w:val="49D01471"/>
    <w:rsid w:val="4C746529"/>
    <w:rsid w:val="4CDE0A1C"/>
    <w:rsid w:val="4EAB86FC"/>
    <w:rsid w:val="4FF7A130"/>
    <w:rsid w:val="50CB54CA"/>
    <w:rsid w:val="51051E45"/>
    <w:rsid w:val="55D0206F"/>
    <w:rsid w:val="56CB40D2"/>
    <w:rsid w:val="56EB388B"/>
    <w:rsid w:val="5A0D5E84"/>
    <w:rsid w:val="5AC1776A"/>
    <w:rsid w:val="5B7B8577"/>
    <w:rsid w:val="5CFB1A5A"/>
    <w:rsid w:val="5D6F6C4C"/>
    <w:rsid w:val="5EDD8094"/>
    <w:rsid w:val="5F7FA09E"/>
    <w:rsid w:val="60743588"/>
    <w:rsid w:val="60964868"/>
    <w:rsid w:val="60FC439A"/>
    <w:rsid w:val="62873460"/>
    <w:rsid w:val="641B55C8"/>
    <w:rsid w:val="64EC0EFA"/>
    <w:rsid w:val="65660CAD"/>
    <w:rsid w:val="674E7C4A"/>
    <w:rsid w:val="6820354F"/>
    <w:rsid w:val="6AF40B09"/>
    <w:rsid w:val="6BBF3968"/>
    <w:rsid w:val="6BCA59ED"/>
    <w:rsid w:val="6CBE1074"/>
    <w:rsid w:val="6D0C57ED"/>
    <w:rsid w:val="6E82467D"/>
    <w:rsid w:val="6F651FD5"/>
    <w:rsid w:val="6F6EA96C"/>
    <w:rsid w:val="6FEDB5E2"/>
    <w:rsid w:val="6FEE761A"/>
    <w:rsid w:val="6FFC9E73"/>
    <w:rsid w:val="708C17E3"/>
    <w:rsid w:val="73953BA7"/>
    <w:rsid w:val="74DC333B"/>
    <w:rsid w:val="75751365"/>
    <w:rsid w:val="767B0330"/>
    <w:rsid w:val="773FE495"/>
    <w:rsid w:val="77AE4EA4"/>
    <w:rsid w:val="77B21FF6"/>
    <w:rsid w:val="77ED2A5F"/>
    <w:rsid w:val="79050385"/>
    <w:rsid w:val="7958029A"/>
    <w:rsid w:val="797BC7C9"/>
    <w:rsid w:val="79D519F2"/>
    <w:rsid w:val="7A6335B5"/>
    <w:rsid w:val="7A7F9DD2"/>
    <w:rsid w:val="7CAC3211"/>
    <w:rsid w:val="7CB73339"/>
    <w:rsid w:val="7CB93960"/>
    <w:rsid w:val="7CC82B94"/>
    <w:rsid w:val="7CFB1FC7"/>
    <w:rsid w:val="7D245D17"/>
    <w:rsid w:val="7D7F54F6"/>
    <w:rsid w:val="7DDF26FA"/>
    <w:rsid w:val="7EEB848D"/>
    <w:rsid w:val="BB6CD3B8"/>
    <w:rsid w:val="BCFF0E38"/>
    <w:rsid w:val="BDF530E2"/>
    <w:rsid w:val="CF39B009"/>
    <w:rsid w:val="CF9F8966"/>
    <w:rsid w:val="D29A86E1"/>
    <w:rsid w:val="D7770F6D"/>
    <w:rsid w:val="DBF631D7"/>
    <w:rsid w:val="DCB7326A"/>
    <w:rsid w:val="DDC7340B"/>
    <w:rsid w:val="DDFE8C98"/>
    <w:rsid w:val="DE83BF87"/>
    <w:rsid w:val="DFEFF605"/>
    <w:rsid w:val="E1F39133"/>
    <w:rsid w:val="E59D3B54"/>
    <w:rsid w:val="EDF7F667"/>
    <w:rsid w:val="EEFF0CD5"/>
    <w:rsid w:val="EFF52F2D"/>
    <w:rsid w:val="F3ED2212"/>
    <w:rsid w:val="F5FC26D0"/>
    <w:rsid w:val="F7B33ABC"/>
    <w:rsid w:val="F7FEC121"/>
    <w:rsid w:val="FA7F9844"/>
    <w:rsid w:val="FAD7559C"/>
    <w:rsid w:val="FB7D378E"/>
    <w:rsid w:val="FDBED553"/>
    <w:rsid w:val="FDDD55C7"/>
    <w:rsid w:val="FF29748F"/>
    <w:rsid w:val="FF8EC808"/>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7"/>
    <w:qFormat/>
    <w:uiPriority w:val="0"/>
    <w:pPr>
      <w:keepNext/>
      <w:keepLines/>
      <w:spacing w:before="340" w:after="330" w:line="578" w:lineRule="auto"/>
      <w:outlineLvl w:val="0"/>
    </w:pPr>
    <w:rPr>
      <w:rFonts w:ascii="Calibri" w:hAnsi="Calibri" w:eastAsia="宋体" w:cs="Times New Roman"/>
      <w:b/>
      <w:bCs/>
      <w:kern w:val="44"/>
      <w:sz w:val="44"/>
      <w:szCs w:val="44"/>
    </w:rPr>
  </w:style>
  <w:style w:type="character" w:default="1" w:styleId="12">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3">
    <w:name w:val="annotation text"/>
    <w:basedOn w:val="1"/>
    <w:link w:val="18"/>
    <w:qFormat/>
    <w:uiPriority w:val="0"/>
    <w:pPr>
      <w:jc w:val="left"/>
    </w:pPr>
    <w:rPr>
      <w:rFonts w:ascii="Calibri" w:hAnsi="Calibri" w:eastAsia="宋体" w:cs="Times New Roman"/>
      <w:szCs w:val="20"/>
    </w:rPr>
  </w:style>
  <w:style w:type="paragraph" w:styleId="4">
    <w:name w:val="Body Text Indent"/>
    <w:basedOn w:val="1"/>
    <w:link w:val="19"/>
    <w:qFormat/>
    <w:uiPriority w:val="0"/>
    <w:pPr>
      <w:spacing w:line="400" w:lineRule="atLeast"/>
      <w:ind w:left="560"/>
    </w:pPr>
    <w:rPr>
      <w:rFonts w:ascii="Calibri" w:hAnsi="Calibri" w:eastAsia="宋体" w:cs="Times New Roman"/>
      <w:sz w:val="24"/>
      <w:szCs w:val="20"/>
    </w:rPr>
  </w:style>
  <w:style w:type="paragraph" w:styleId="5">
    <w:name w:val="Plain Text"/>
    <w:basedOn w:val="1"/>
    <w:link w:val="20"/>
    <w:qFormat/>
    <w:uiPriority w:val="0"/>
    <w:rPr>
      <w:rFonts w:ascii="宋体" w:hAnsi="Courier New"/>
    </w:rPr>
  </w:style>
  <w:style w:type="paragraph" w:styleId="6">
    <w:name w:val="Date"/>
    <w:basedOn w:val="1"/>
    <w:next w:val="1"/>
    <w:link w:val="21"/>
    <w:qFormat/>
    <w:uiPriority w:val="0"/>
    <w:pPr>
      <w:ind w:left="100" w:leftChars="2500"/>
    </w:pPr>
    <w:rPr>
      <w:kern w:val="0"/>
      <w:sz w:val="20"/>
      <w:szCs w:val="21"/>
    </w:rPr>
  </w:style>
  <w:style w:type="paragraph" w:styleId="7">
    <w:name w:val="Balloon Text"/>
    <w:basedOn w:val="1"/>
    <w:link w:val="22"/>
    <w:qFormat/>
    <w:uiPriority w:val="0"/>
    <w:rPr>
      <w:rFonts w:ascii="Calibri" w:hAnsi="Calibri" w:eastAsia="宋体" w:cs="Times New Roman"/>
      <w:sz w:val="18"/>
      <w:szCs w:val="20"/>
    </w:rPr>
  </w:style>
  <w:style w:type="paragraph" w:styleId="8">
    <w:name w:val="footer"/>
    <w:basedOn w:val="1"/>
    <w:link w:val="23"/>
    <w:qFormat/>
    <w:uiPriority w:val="0"/>
    <w:pPr>
      <w:tabs>
        <w:tab w:val="center" w:pos="4153"/>
        <w:tab w:val="right" w:pos="8306"/>
      </w:tabs>
      <w:snapToGrid w:val="0"/>
      <w:jc w:val="left"/>
    </w:pPr>
    <w:rPr>
      <w:rFonts w:ascii="Calibri" w:hAnsi="Calibri" w:eastAsia="宋体" w:cs="Times New Roman"/>
      <w:sz w:val="18"/>
      <w:szCs w:val="20"/>
    </w:rPr>
  </w:style>
  <w:style w:type="paragraph" w:styleId="9">
    <w:name w:val="header"/>
    <w:basedOn w:val="1"/>
    <w:link w:val="24"/>
    <w:qFormat/>
    <w:uiPriority w:val="0"/>
    <w:pPr>
      <w:pBdr>
        <w:bottom w:val="single" w:color="auto" w:sz="6" w:space="1"/>
      </w:pBdr>
      <w:tabs>
        <w:tab w:val="center" w:pos="4153"/>
        <w:tab w:val="right" w:pos="8306"/>
      </w:tabs>
      <w:snapToGrid w:val="0"/>
      <w:jc w:val="center"/>
    </w:pPr>
    <w:rPr>
      <w:rFonts w:ascii="Calibri" w:hAnsi="Calibri" w:eastAsia="宋体" w:cs="Times New Roman"/>
      <w:sz w:val="18"/>
      <w:szCs w:val="20"/>
    </w:rPr>
  </w:style>
  <w:style w:type="paragraph" w:styleId="10">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13">
    <w:name w:val="Strong"/>
    <w:qFormat/>
    <w:uiPriority w:val="0"/>
    <w:rPr>
      <w:b/>
      <w:bCs/>
    </w:rPr>
  </w:style>
  <w:style w:type="character" w:styleId="14">
    <w:name w:val="page number"/>
    <w:qFormat/>
    <w:uiPriority w:val="0"/>
    <w:rPr>
      <w:rFonts w:eastAsia="宋体"/>
      <w:color w:val="000000"/>
      <w:sz w:val="24"/>
      <w:u w:color="000000"/>
      <w:lang w:val="en-US" w:eastAsia="zh-CN" w:bidi="ar-SA"/>
    </w:rPr>
  </w:style>
  <w:style w:type="character" w:styleId="15">
    <w:name w:val="Hyperlink"/>
    <w:qFormat/>
    <w:uiPriority w:val="0"/>
    <w:rPr>
      <w:rFonts w:hint="default" w:ascii="Arial" w:hAnsi="Arial" w:cs="Arial"/>
      <w:color w:val="0000FF"/>
      <w:u w:val="single"/>
    </w:rPr>
  </w:style>
  <w:style w:type="character" w:styleId="16">
    <w:name w:val="annotation reference"/>
    <w:qFormat/>
    <w:uiPriority w:val="0"/>
    <w:rPr>
      <w:sz w:val="21"/>
    </w:rPr>
  </w:style>
  <w:style w:type="character" w:customStyle="1" w:styleId="17">
    <w:name w:val="标题 1 字符"/>
    <w:link w:val="2"/>
    <w:qFormat/>
    <w:uiPriority w:val="0"/>
    <w:rPr>
      <w:rFonts w:ascii="Calibri" w:hAnsi="Calibri" w:eastAsia="宋体" w:cs="Times New Roman"/>
      <w:b/>
      <w:bCs/>
      <w:kern w:val="44"/>
      <w:sz w:val="44"/>
      <w:szCs w:val="44"/>
    </w:rPr>
  </w:style>
  <w:style w:type="character" w:customStyle="1" w:styleId="18">
    <w:name w:val="批注文字 字符"/>
    <w:link w:val="3"/>
    <w:qFormat/>
    <w:uiPriority w:val="0"/>
    <w:rPr>
      <w:rFonts w:ascii="Calibri" w:hAnsi="Calibri" w:eastAsia="宋体" w:cs="Times New Roman"/>
      <w:szCs w:val="20"/>
    </w:rPr>
  </w:style>
  <w:style w:type="character" w:customStyle="1" w:styleId="19">
    <w:name w:val="正文文本缩进 字符"/>
    <w:link w:val="4"/>
    <w:qFormat/>
    <w:uiPriority w:val="0"/>
    <w:rPr>
      <w:rFonts w:ascii="Calibri" w:hAnsi="Calibri" w:eastAsia="宋体" w:cs="Times New Roman"/>
      <w:sz w:val="24"/>
      <w:szCs w:val="20"/>
    </w:rPr>
  </w:style>
  <w:style w:type="character" w:customStyle="1" w:styleId="20">
    <w:name w:val="纯文本 字符"/>
    <w:link w:val="5"/>
    <w:qFormat/>
    <w:uiPriority w:val="0"/>
    <w:rPr>
      <w:rFonts w:ascii="宋体" w:hAnsi="Courier New"/>
    </w:rPr>
  </w:style>
  <w:style w:type="character" w:customStyle="1" w:styleId="21">
    <w:name w:val="日期 字符"/>
    <w:link w:val="6"/>
    <w:qFormat/>
    <w:uiPriority w:val="0"/>
    <w:rPr>
      <w:szCs w:val="21"/>
    </w:rPr>
  </w:style>
  <w:style w:type="character" w:customStyle="1" w:styleId="22">
    <w:name w:val="批注框文本 字符"/>
    <w:link w:val="7"/>
    <w:qFormat/>
    <w:uiPriority w:val="0"/>
    <w:rPr>
      <w:rFonts w:ascii="Calibri" w:hAnsi="Calibri" w:eastAsia="宋体" w:cs="Times New Roman"/>
      <w:sz w:val="18"/>
      <w:szCs w:val="20"/>
    </w:rPr>
  </w:style>
  <w:style w:type="character" w:customStyle="1" w:styleId="23">
    <w:name w:val="页脚 字符"/>
    <w:link w:val="8"/>
    <w:qFormat/>
    <w:uiPriority w:val="0"/>
    <w:rPr>
      <w:rFonts w:ascii="Calibri" w:hAnsi="Calibri" w:eastAsia="宋体" w:cs="Times New Roman"/>
      <w:sz w:val="18"/>
      <w:szCs w:val="20"/>
    </w:rPr>
  </w:style>
  <w:style w:type="character" w:customStyle="1" w:styleId="24">
    <w:name w:val="页眉 字符"/>
    <w:link w:val="9"/>
    <w:qFormat/>
    <w:uiPriority w:val="0"/>
    <w:rPr>
      <w:rFonts w:ascii="Calibri" w:hAnsi="Calibri" w:eastAsia="宋体" w:cs="Times New Roman"/>
      <w:sz w:val="18"/>
      <w:szCs w:val="20"/>
    </w:rPr>
  </w:style>
  <w:style w:type="character" w:customStyle="1" w:styleId="25">
    <w:name w:val="style21"/>
    <w:qFormat/>
    <w:uiPriority w:val="0"/>
    <w:rPr>
      <w:b/>
      <w:color w:val="990000"/>
    </w:rPr>
  </w:style>
  <w:style w:type="character" w:customStyle="1" w:styleId="26">
    <w:name w:val="font11"/>
    <w:qFormat/>
    <w:uiPriority w:val="0"/>
    <w:rPr>
      <w:rFonts w:hint="eastAsia" w:ascii="宋体" w:hAnsi="宋体" w:eastAsia="宋体" w:cs="宋体"/>
      <w:color w:val="000000"/>
      <w:sz w:val="18"/>
      <w:szCs w:val="18"/>
      <w:u w:val="none"/>
    </w:rPr>
  </w:style>
  <w:style w:type="character" w:customStyle="1" w:styleId="27">
    <w:name w:val="日期 Char1"/>
    <w:semiHidden/>
    <w:qFormat/>
    <w:uiPriority w:val="99"/>
    <w:rPr>
      <w:kern w:val="2"/>
      <w:sz w:val="21"/>
      <w:szCs w:val="22"/>
    </w:rPr>
  </w:style>
  <w:style w:type="character" w:customStyle="1" w:styleId="28">
    <w:name w:val="纯文本 Char1"/>
    <w:semiHidden/>
    <w:qFormat/>
    <w:uiPriority w:val="99"/>
    <w:rPr>
      <w:rFonts w:ascii="宋体" w:hAnsi="Courier New" w:eastAsia="宋体" w:cs="Courier New"/>
      <w:szCs w:val="21"/>
    </w:rPr>
  </w:style>
  <w:style w:type="paragraph" w:customStyle="1" w:styleId="29">
    <w:name w:val=" Char1 Char Char Char Char Char Char"/>
    <w:basedOn w:val="1"/>
    <w:qFormat/>
    <w:uiPriority w:val="0"/>
    <w:rPr>
      <w:rFonts w:ascii="Tahoma" w:hAnsi="Tahoma" w:eastAsia="宋体" w:cs="Times New Roman"/>
      <w:sz w:val="24"/>
      <w:szCs w:val="20"/>
    </w:rPr>
  </w:style>
  <w:style w:type="paragraph" w:styleId="3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7e9f298b-4937-4b10-a33f-30fefc3cabde</errorID>
      <errorWord>：</errorWord>
      <group>L1_Format</group>
      <groupName>格式问题</groupName>
      <ability>L2_HalfPunc</ability>
      <abilityName>全半角检查</abilityName>
      <candidateList>
        <item>:</item>
      </candidateList>
      <explain>文本全半角错误。</explain>
      <paraID>5A29D0D0</paraID>
      <start>22</start>
      <end>23</end>
      <status>unmodified</status>
      <modifiedWord/>
      <trackRevisions>false</trackRevisions>
    </reviewItem>
    <reviewItem>
      <errorID>5a44d8d3-543d-4c27-8c70-0da20f755825</errorID>
      <errorWord>止</errorWord>
      <group>L1_Word</group>
      <groupName>字词问题</groupName>
      <ability>L2_Typo</ability>
      <abilityName>字词错误</abilityName>
      <candidateList>
        <item>止之</item>
      </candidateList>
      <explain/>
      <paraID>44905FDB</paraID>
      <start>9</start>
      <end>10</end>
      <status>unmodified</status>
      <modifiedWord/>
      <trackRevisions>false</trackRevisions>
    </reviewItem>
    <reviewItem>
      <errorID>3eb422e7-0a88-4a36-ad85-e68a30db626d</errorID>
      <errorWord>算数</errorWord>
      <group>L1_Word</group>
      <groupName>字词问题</groupName>
      <ability>L2_Typo</ability>
      <abilityName>字词错误</abilityName>
      <candidateList>
        <item>算术</item>
      </candidateList>
      <explain>〈名〉数学的一个分支，是数学中最基础、最初等的部分。主要研究零和正整数、正分数的记数法，在加、减、乘、除、乘方、开方运算下产生的数的性质、运算法则以及在社会实践中的应用。</explain>
      <paraID>440AE181</paraID>
      <start>35</start>
      <end>37</end>
      <status>unmodified</status>
      <modifiedWord/>
      <trackRevisions>false</trackRevisions>
    </reviewItem>
    <reviewItem>
      <errorID>0f4847c3-34dc-41df-85dc-535042b0cf19</errorID>
      <errorWord>:</errorWord>
      <group>L1_Format</group>
      <groupName>格式问题</groupName>
      <ability>L2_HalfPunc</ability>
      <abilityName>全半角检查</abilityName>
      <candidateList>
        <item>：</item>
      </candidateList>
      <explain>文本全半角错误。</explain>
      <paraID>28BE6446</paraID>
      <start>6</start>
      <end>7</end>
      <status>unmodified</status>
      <modifiedWord/>
      <trackRevisions>false</trackRevisions>
    </reviewItem>
    <reviewItem>
      <errorID>34aa1266-c0c6-4805-8c14-651568b4f9fc</errorID>
      <errorWord>(</errorWord>
      <group>L1_Format</group>
      <groupName>格式问题</groupName>
      <ability>L2_HalfPunc</ability>
      <abilityName>全半角检查</abilityName>
      <candidateList>
        <item>（</item>
      </candidateList>
      <explain>文本全半角错误。</explain>
      <paraID>28BE6446</paraID>
      <start>25</start>
      <end>26</end>
      <status>unmodified</status>
      <modifiedWord/>
      <trackRevisions>false</trackRevisions>
    </reviewItem>
    <reviewItem>
      <errorID>7547cb8b-128e-463c-8038-12af98d5f08b</errorID>
      <errorWord>)</errorWord>
      <group>L1_Format</group>
      <groupName>格式问题</groupName>
      <ability>L2_HalfPunc</ability>
      <abilityName>全半角检查</abilityName>
      <candidateList>
        <item>）</item>
      </candidateList>
      <explain>文本全半角错误。</explain>
      <paraID>28BE6446</paraID>
      <start>35</start>
      <end>36</end>
      <status>unmodified</status>
      <modifiedWord/>
      <trackRevisions>false</trackRevisions>
    </reviewItem>
    <reviewItem>
      <errorID>2cca7725-5ea7-4a06-bff5-37d51657f6f3</errorID>
      <errorWord>中华人民共和国合同法</errorWord>
      <group>L1_Knowledge</group>
      <groupName>知识性问题</groupName>
      <ability>L2_Knowledge</ability>
      <abilityName>其他知识</abilityName>
      <candidateList/>
      <explain>该法律于1999年3月15日由全国人民代表大会制定，已于2021年1月1日废止，请注意检查引用是否正确。</explain>
      <paraID>1554E7A7</paraID>
      <start>7</start>
      <end>17</end>
      <status>unmodified</status>
      <modifiedWord/>
      <trackRevisions>false</trackRevisions>
    </reviewItem>
  </reviewItems>
  <config/>
</contractReview>
</file>

<file path=customXml/itemProps1.xml><?xml version="1.0" encoding="utf-8"?>
<ds:datastoreItem xmlns:ds="http://schemas.openxmlformats.org/officeDocument/2006/customXml" ds:itemID="{f4a3a99b-ff6b-430a-a38f-5f86d6a84a5e}">
  <ds:schemaRefs/>
</ds:datastoreItem>
</file>

<file path=docProps/app.xml><?xml version="1.0" encoding="utf-8"?>
<Properties xmlns="http://schemas.openxmlformats.org/officeDocument/2006/extended-properties" xmlns:vt="http://schemas.openxmlformats.org/officeDocument/2006/docPropsVTypes">
  <Pages>7</Pages>
  <Words>2518</Words>
  <Characters>2627</Characters>
  <Lines>12</Lines>
  <Paragraphs>3</Paragraphs>
  <TotalTime>34</TotalTime>
  <ScaleCrop>false</ScaleCrop>
  <LinksUpToDate>false</LinksUpToDate>
  <CharactersWithSpaces>6268</CharactersWithSpaces>
  <Application>WPS Office_11.8.2.12300_F1E327BC-269C-435d-A152-05C5408002CA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2019-12-07T11:04:00Z</dcterms:created>
  <dc:creator>xbany</dc:creator>
  <cp:lastModifiedBy>user</cp:lastModifiedBy>
  <cp:lastPrinted>2025-12-08T08:17:01Z</cp:lastPrinted>
  <dcterms:modified xsi:type="dcterms:W3CDTF">2025-12-08T08:38:43Z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2052-11.8.2.12300</vt:lpwstr>
  </property>
  <property fmtid="{D5CDD505-2E9C-101B-9397-08002B2CF9AE}" pid="3" name="ICV">
    <vt:lpwstr>033F32BB808946429F11CC23022F5EC1</vt:lpwstr>
  </property>
  <property fmtid="{D5CDD505-2E9C-101B-9397-08002B2CF9AE}" pid="4" name="KSOTemplateDocerSaveRecord">
    <vt:lpwstr>eyJoZGlkIjoiNzI3OWE2Mzk2Y2IwYTFjZDhhMzA2YjI5MmEzOTY1MzciLCJ1c2VySWQiOiI2OTc3MDI5NzkifQ==</vt:lpwstr>
  </property>
</Properties>
</file>