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9814D8">
      <w:pPr>
        <w:pStyle w:val="11"/>
        <w:kinsoku/>
        <w:autoSpaceDE/>
        <w:autoSpaceDN/>
        <w:adjustRightInd/>
        <w:snapToGrid/>
        <w:spacing w:line="360" w:lineRule="auto"/>
        <w:ind w:firstLine="400" w:firstLineChars="0"/>
        <w:jc w:val="both"/>
        <w:textAlignment w:val="auto"/>
        <w:rPr>
          <w:rFonts w:hint="eastAsia" w:ascii="方正仿宋_GBK" w:hAnsi="方正仿宋_GBK" w:eastAsia="方正仿宋_GBK" w:cs="方正仿宋_GBK"/>
          <w:kern w:val="2"/>
          <w:sz w:val="34"/>
          <w:szCs w:val="28"/>
          <w:lang w:val="zh-CN"/>
        </w:rPr>
      </w:pPr>
      <w:bookmarkStart w:id="0" w:name="_Toc20678"/>
    </w:p>
    <w:p w14:paraId="270F7873">
      <w:pPr>
        <w:pStyle w:val="11"/>
        <w:kinsoku/>
        <w:autoSpaceDE/>
        <w:autoSpaceDN/>
        <w:adjustRightInd/>
        <w:snapToGrid/>
        <w:spacing w:line="360" w:lineRule="auto"/>
        <w:ind w:firstLine="400" w:firstLineChars="0"/>
        <w:jc w:val="both"/>
        <w:textAlignment w:val="auto"/>
        <w:rPr>
          <w:rFonts w:hint="eastAsia" w:ascii="方正仿宋_GBK" w:hAnsi="方正仿宋_GBK" w:eastAsia="方正仿宋_GBK" w:cs="方正仿宋_GBK"/>
          <w:kern w:val="2"/>
          <w:sz w:val="34"/>
          <w:szCs w:val="28"/>
          <w:lang w:val="zh-CN"/>
        </w:rPr>
      </w:pPr>
    </w:p>
    <w:p w14:paraId="4FB41C1B">
      <w:pPr>
        <w:pStyle w:val="11"/>
        <w:kinsoku/>
        <w:autoSpaceDE/>
        <w:autoSpaceDN/>
        <w:adjustRightInd/>
        <w:snapToGrid/>
        <w:spacing w:line="360" w:lineRule="auto"/>
        <w:ind w:left="0" w:leftChars="0" w:firstLine="0" w:firstLineChars="0"/>
        <w:jc w:val="both"/>
        <w:textAlignment w:val="auto"/>
        <w:rPr>
          <w:rFonts w:ascii="方正仿宋_GBK" w:hAnsi="方正仿宋_GBK" w:eastAsia="方正仿宋_GBK" w:cs="方正仿宋_GBK"/>
          <w:kern w:val="2"/>
          <w:sz w:val="34"/>
          <w:szCs w:val="28"/>
          <w:lang w:val="zh-CN"/>
        </w:rPr>
      </w:pPr>
    </w:p>
    <w:p w14:paraId="27331FD4">
      <w:pPr>
        <w:pStyle w:val="11"/>
        <w:kinsoku/>
        <w:autoSpaceDE/>
        <w:autoSpaceDN/>
        <w:adjustRightInd/>
        <w:snapToGrid/>
        <w:spacing w:line="360" w:lineRule="auto"/>
        <w:ind w:firstLine="400" w:firstLineChars="0"/>
        <w:jc w:val="both"/>
        <w:textAlignment w:val="auto"/>
        <w:rPr>
          <w:rFonts w:ascii="方正仿宋_GBK" w:hAnsi="方正仿宋_GBK" w:eastAsia="方正仿宋_GBK" w:cs="方正仿宋_GBK"/>
          <w:kern w:val="2"/>
          <w:sz w:val="34"/>
          <w:szCs w:val="28"/>
          <w:lang w:val="zh-CN"/>
        </w:rPr>
      </w:pPr>
    </w:p>
    <w:p w14:paraId="02221F95">
      <w:pPr>
        <w:keepNext w:val="0"/>
        <w:keepLines w:val="0"/>
        <w:pageBreakBefore w:val="0"/>
        <w:widowControl w:val="0"/>
        <w:shd w:val="clear"/>
        <w:kinsoku/>
        <w:wordWrap/>
        <w:overflowPunct/>
        <w:topLinePunct w:val="0"/>
        <w:autoSpaceDE/>
        <w:autoSpaceDN/>
        <w:bidi w:val="0"/>
        <w:adjustRightInd w:val="0"/>
        <w:snapToGrid w:val="0"/>
        <w:spacing w:after="157" w:afterLines="50" w:line="500" w:lineRule="exact"/>
        <w:ind w:firstLine="0" w:firstLineChars="0"/>
        <w:jc w:val="center"/>
        <w:textAlignment w:val="auto"/>
        <w:rPr>
          <w:rFonts w:ascii="Times New Roman" w:hAnsi="Times New Roman" w:eastAsia="方正小标宋_GBK" w:cs="Times New Roman"/>
          <w:color w:val="auto"/>
          <w:sz w:val="48"/>
          <w:szCs w:val="48"/>
          <w:highlight w:val="none"/>
        </w:rPr>
      </w:pPr>
      <w:bookmarkStart w:id="1" w:name="_Toc19140"/>
      <w:r>
        <w:rPr>
          <w:rFonts w:hint="eastAsia" w:ascii="Times New Roman" w:hAnsi="Times New Roman" w:eastAsia="方正小标宋_GBK" w:cs="Times New Roman"/>
          <w:color w:val="auto"/>
          <w:sz w:val="48"/>
          <w:szCs w:val="48"/>
          <w:highlight w:val="none"/>
        </w:rPr>
        <w:t>廊坊市城市自体检报告</w:t>
      </w:r>
      <w:bookmarkEnd w:id="0"/>
      <w:bookmarkEnd w:id="1"/>
    </w:p>
    <w:p w14:paraId="1B23C202">
      <w:pPr>
        <w:keepNext w:val="0"/>
        <w:keepLines w:val="0"/>
        <w:pageBreakBefore w:val="0"/>
        <w:widowControl w:val="0"/>
        <w:shd w:val="clear"/>
        <w:kinsoku/>
        <w:wordWrap/>
        <w:overflowPunct/>
        <w:topLinePunct w:val="0"/>
        <w:autoSpaceDE/>
        <w:autoSpaceDN/>
        <w:bidi w:val="0"/>
        <w:adjustRightInd w:val="0"/>
        <w:snapToGrid w:val="0"/>
        <w:spacing w:after="157" w:afterLines="50" w:line="500" w:lineRule="exact"/>
        <w:ind w:firstLine="0" w:firstLineChars="0"/>
        <w:jc w:val="center"/>
        <w:textAlignment w:val="auto"/>
        <w:rPr>
          <w:rFonts w:ascii="Times New Roman" w:hAnsi="Times New Roman" w:eastAsia="方正小标宋_GBK" w:cs="Times New Roman"/>
          <w:color w:val="auto"/>
          <w:sz w:val="48"/>
          <w:szCs w:val="48"/>
          <w:highlight w:val="none"/>
        </w:rPr>
      </w:pPr>
      <w:r>
        <w:rPr>
          <w:rFonts w:hint="eastAsia" w:ascii="Times New Roman" w:hAnsi="Times New Roman" w:eastAsia="方正小标宋_GBK" w:cs="Times New Roman"/>
          <w:color w:val="auto"/>
          <w:sz w:val="48"/>
          <w:szCs w:val="48"/>
          <w:highlight w:val="none"/>
        </w:rPr>
        <w:t>（2024年）</w:t>
      </w:r>
    </w:p>
    <w:p w14:paraId="6A7D3345">
      <w:pPr>
        <w:keepNext w:val="0"/>
        <w:keepLines w:val="0"/>
        <w:pageBreakBefore w:val="0"/>
        <w:widowControl w:val="0"/>
        <w:shd w:val="clear"/>
        <w:kinsoku/>
        <w:wordWrap/>
        <w:overflowPunct/>
        <w:topLinePunct w:val="0"/>
        <w:autoSpaceDE/>
        <w:autoSpaceDN/>
        <w:bidi w:val="0"/>
        <w:adjustRightInd w:val="0"/>
        <w:snapToGrid w:val="0"/>
        <w:spacing w:after="157" w:afterLines="50" w:line="500" w:lineRule="exact"/>
        <w:ind w:firstLine="0" w:firstLineChars="0"/>
        <w:jc w:val="center"/>
        <w:textAlignment w:val="auto"/>
        <w:rPr>
          <w:rFonts w:hint="default" w:ascii="Times New Roman" w:hAnsi="Times New Roman" w:eastAsia="方正小标宋_GBK" w:cs="Times New Roman"/>
          <w:color w:val="auto"/>
          <w:sz w:val="48"/>
          <w:szCs w:val="48"/>
          <w:highlight w:val="none"/>
          <w:lang w:val="en-US" w:eastAsia="zh-CN"/>
        </w:rPr>
      </w:pPr>
      <w:r>
        <w:rPr>
          <w:rFonts w:hint="eastAsia" w:ascii="Times New Roman" w:hAnsi="Times New Roman" w:eastAsia="方正小标宋_GBK" w:cs="Times New Roman"/>
          <w:color w:val="auto"/>
          <w:sz w:val="48"/>
          <w:szCs w:val="48"/>
          <w:highlight w:val="none"/>
          <w:lang w:val="en-US" w:eastAsia="zh-CN"/>
        </w:rPr>
        <w:t>简本</w:t>
      </w:r>
    </w:p>
    <w:p w14:paraId="08AF7DBB">
      <w:pPr>
        <w:adjustRightInd/>
        <w:snapToGrid/>
        <w:spacing w:line="240" w:lineRule="auto"/>
        <w:ind w:firstLine="0" w:firstLineChars="0"/>
        <w:jc w:val="both"/>
        <w:rPr>
          <w:rFonts w:hint="eastAsia" w:ascii="仿宋" w:hAnsi="仿宋" w:eastAsiaTheme="minorEastAsia" w:cstheme="minorBidi"/>
          <w:b/>
          <w:bCs/>
          <w:sz w:val="15"/>
          <w:szCs w:val="15"/>
          <w:lang w:val="en-US" w:eastAsia="zh-CN"/>
        </w:rPr>
      </w:pPr>
    </w:p>
    <w:p w14:paraId="4CCBC9C7">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64809061">
      <w:pPr>
        <w:adjustRightInd/>
        <w:snapToGrid/>
        <w:spacing w:line="240" w:lineRule="auto"/>
        <w:ind w:firstLine="0" w:firstLineChars="0"/>
        <w:jc w:val="both"/>
        <w:rPr>
          <w:rFonts w:hint="eastAsia" w:ascii="仿宋" w:hAnsi="仿宋" w:eastAsiaTheme="minorEastAsia" w:cstheme="minorBidi"/>
          <w:b/>
          <w:bCs/>
          <w:sz w:val="15"/>
          <w:szCs w:val="15"/>
          <w:lang w:val="en-US" w:eastAsia="zh-CN"/>
        </w:rPr>
      </w:pPr>
    </w:p>
    <w:p w14:paraId="6A4AA257">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7ED9FB0F">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40655B52">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7FDC9678">
      <w:pPr>
        <w:adjustRightInd/>
        <w:snapToGrid/>
        <w:spacing w:line="240" w:lineRule="auto"/>
        <w:ind w:firstLine="0" w:firstLineChars="0"/>
        <w:jc w:val="both"/>
        <w:rPr>
          <w:rFonts w:hint="eastAsia" w:ascii="仿宋" w:hAnsi="仿宋" w:eastAsiaTheme="minorEastAsia" w:cstheme="minorBidi"/>
          <w:b/>
          <w:bCs/>
          <w:sz w:val="15"/>
          <w:szCs w:val="15"/>
          <w:lang w:val="en-US" w:eastAsia="zh-CN"/>
        </w:rPr>
      </w:pPr>
    </w:p>
    <w:p w14:paraId="3123AFBC">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45C4DFB3">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067AC044">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21D23337">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1F8A2C58">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40A09852">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6D6B8240">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7013BF8F">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51DE307C">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037E3399">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0DB33E8D">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2EF844BB">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155E241B">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604080E7">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24577B84">
      <w:pPr>
        <w:adjustRightInd/>
        <w:snapToGrid/>
        <w:spacing w:line="240" w:lineRule="auto"/>
        <w:ind w:firstLine="0" w:firstLineChars="0"/>
        <w:jc w:val="both"/>
        <w:rPr>
          <w:rFonts w:hint="eastAsia" w:ascii="仿宋" w:hAnsi="仿宋" w:eastAsiaTheme="minorEastAsia" w:cstheme="minorBidi"/>
          <w:b/>
          <w:bCs/>
          <w:sz w:val="15"/>
          <w:szCs w:val="15"/>
          <w:lang w:val="en-US" w:eastAsia="zh-CN"/>
        </w:rPr>
      </w:pPr>
    </w:p>
    <w:p w14:paraId="46DE0E2D">
      <w:pPr>
        <w:adjustRightInd/>
        <w:snapToGrid/>
        <w:spacing w:line="240" w:lineRule="auto"/>
        <w:ind w:firstLine="0" w:firstLineChars="0"/>
        <w:jc w:val="both"/>
        <w:rPr>
          <w:rFonts w:ascii="仿宋" w:hAnsi="仿宋" w:eastAsiaTheme="minorEastAsia" w:cstheme="minorBidi"/>
          <w:b/>
          <w:bCs/>
          <w:sz w:val="15"/>
          <w:szCs w:val="15"/>
          <w:lang w:val="en-US" w:eastAsia="zh-CN"/>
        </w:rPr>
      </w:pPr>
    </w:p>
    <w:p w14:paraId="065BDD8C">
      <w:pPr>
        <w:keepNext w:val="0"/>
        <w:keepLines w:val="0"/>
        <w:pageBreakBefore w:val="0"/>
        <w:widowControl w:val="0"/>
        <w:kinsoku/>
        <w:wordWrap/>
        <w:overflowPunct/>
        <w:topLinePunct w:val="0"/>
        <w:autoSpaceDE/>
        <w:autoSpaceDN/>
        <w:bidi w:val="0"/>
        <w:adjustRightInd w:val="0"/>
        <w:snapToGrid/>
        <w:spacing w:line="600" w:lineRule="exact"/>
        <w:ind w:firstLine="0" w:firstLineChars="0"/>
        <w:jc w:val="center"/>
        <w:textAlignment w:val="auto"/>
        <w:rPr>
          <w:rFonts w:hint="eastAsia" w:ascii="方正楷体_GBK" w:hAnsi="楷体" w:eastAsia="方正楷体_GBK" w:cs="楷体"/>
          <w:sz w:val="36"/>
          <w:szCs w:val="36"/>
          <w:lang w:eastAsia="zh-CN"/>
        </w:rPr>
      </w:pPr>
      <w:r>
        <w:rPr>
          <w:rFonts w:hint="eastAsia" w:ascii="方正楷体_GBK" w:hAnsi="楷体" w:eastAsia="方正楷体_GBK" w:cs="楷体"/>
          <w:sz w:val="36"/>
          <w:szCs w:val="36"/>
        </w:rPr>
        <w:t>廊坊市城市</w:t>
      </w:r>
      <w:r>
        <w:rPr>
          <w:rFonts w:hint="eastAsia" w:ascii="方正楷体_GBK" w:hAnsi="楷体" w:eastAsia="方正楷体_GBK" w:cs="楷体"/>
          <w:sz w:val="36"/>
          <w:szCs w:val="36"/>
          <w:lang w:val="en-US" w:eastAsia="zh-CN"/>
        </w:rPr>
        <w:t>更新</w:t>
      </w:r>
      <w:r>
        <w:rPr>
          <w:rFonts w:hint="eastAsia" w:ascii="方正楷体_GBK" w:hAnsi="楷体" w:eastAsia="方正楷体_GBK" w:cs="楷体"/>
          <w:sz w:val="36"/>
          <w:szCs w:val="36"/>
        </w:rPr>
        <w:t>工作</w:t>
      </w:r>
      <w:r>
        <w:rPr>
          <w:rFonts w:hint="eastAsia" w:ascii="方正楷体_GBK" w:hAnsi="楷体" w:eastAsia="方正楷体_GBK" w:cs="楷体"/>
          <w:sz w:val="36"/>
          <w:szCs w:val="36"/>
          <w:lang w:val="en-US" w:eastAsia="zh-CN"/>
        </w:rPr>
        <w:t>推进专班</w:t>
      </w:r>
    </w:p>
    <w:p w14:paraId="20F854D0">
      <w:pPr>
        <w:keepNext w:val="0"/>
        <w:keepLines w:val="0"/>
        <w:pageBreakBefore w:val="0"/>
        <w:widowControl w:val="0"/>
        <w:kinsoku/>
        <w:wordWrap/>
        <w:overflowPunct/>
        <w:topLinePunct w:val="0"/>
        <w:autoSpaceDE/>
        <w:autoSpaceDN/>
        <w:bidi w:val="0"/>
        <w:adjustRightInd w:val="0"/>
        <w:snapToGrid/>
        <w:spacing w:line="600" w:lineRule="exact"/>
        <w:ind w:firstLine="0" w:firstLineChars="0"/>
        <w:jc w:val="center"/>
        <w:textAlignment w:val="auto"/>
        <w:rPr>
          <w:rFonts w:hint="default" w:ascii="Calibri" w:hAnsi="Calibri" w:eastAsia="隶书" w:cs="Times New Roman"/>
          <w:b/>
          <w:bCs/>
          <w:sz w:val="40"/>
          <w:szCs w:val="40"/>
          <w:highlight w:val="none"/>
          <w:lang w:val="en-US" w:eastAsia="zh-CN"/>
        </w:rPr>
      </w:pPr>
      <w:r>
        <w:rPr>
          <w:rFonts w:hint="eastAsia" w:ascii="方正楷体_GBK" w:hAnsi="楷体" w:eastAsia="方正楷体_GBK" w:cs="楷体"/>
          <w:sz w:val="36"/>
          <w:szCs w:val="36"/>
          <w:lang w:val="en-US" w:eastAsia="zh-CN"/>
        </w:rPr>
        <w:t>2024年12月</w:t>
      </w:r>
    </w:p>
    <w:p w14:paraId="7ACB9D10">
      <w:pPr>
        <w:keepNext w:val="0"/>
        <w:keepLines w:val="0"/>
        <w:pageBreakBefore w:val="0"/>
        <w:widowControl w:val="0"/>
        <w:kinsoku/>
        <w:wordWrap/>
        <w:overflowPunct/>
        <w:topLinePunct w:val="0"/>
        <w:autoSpaceDE/>
        <w:autoSpaceDN/>
        <w:bidi w:val="0"/>
        <w:adjustRightInd w:val="0"/>
        <w:snapToGrid/>
        <w:spacing w:line="600" w:lineRule="exact"/>
        <w:ind w:firstLine="0" w:firstLineChars="0"/>
        <w:jc w:val="center"/>
        <w:textAlignment w:val="auto"/>
        <w:rPr>
          <w:rFonts w:hint="eastAsia" w:ascii="方正粗黑宋简体" w:hAnsi="方正粗黑宋简体" w:eastAsia="方正粗黑宋简体" w:cs="方正粗黑宋简体"/>
          <w:sz w:val="30"/>
          <w:szCs w:val="30"/>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3" w:bottom="1440" w:left="1803" w:header="851" w:footer="992" w:gutter="0"/>
          <w:pgNumType w:start="1"/>
          <w:cols w:space="425" w:num="1"/>
          <w:titlePg/>
          <w:docGrid w:type="lines" w:linePitch="312" w:charSpace="0"/>
        </w:sectPr>
      </w:pPr>
    </w:p>
    <w:sdt>
      <w:sdtPr>
        <w:rPr>
          <w:rFonts w:hint="eastAsia" w:ascii="方正黑体_GBK" w:hAnsi="方正黑体_GBK" w:eastAsia="方正黑体_GBK" w:cs="方正黑体_GBK"/>
          <w:sz w:val="21"/>
        </w:rPr>
        <w:id w:val="147461308"/>
        <w15:color w:val="DBDBDB"/>
        <w:docPartObj>
          <w:docPartGallery w:val="Table of Contents"/>
          <w:docPartUnique/>
        </w:docPartObj>
      </w:sdtPr>
      <w:sdtEndPr>
        <w:rPr>
          <w:rFonts w:hint="eastAsia" w:ascii="宋体" w:hAnsi="宋体" w:eastAsia="宋体" w:cs="方正黑体_GBK"/>
          <w:b/>
          <w:sz w:val="21"/>
        </w:rPr>
      </w:sdtEndPr>
      <w:sdtContent>
        <w:p w14:paraId="30E35101">
          <w:pPr>
            <w:spacing w:line="240" w:lineRule="auto"/>
            <w:ind w:firstLine="420"/>
            <w:jc w:val="center"/>
            <w:rPr>
              <w:rFonts w:hint="eastAsia" w:ascii="方正黑体_GBK" w:hAnsi="方正黑体_GBK" w:eastAsia="方正黑体_GBK" w:cs="方正黑体_GBK"/>
            </w:rPr>
          </w:pPr>
          <w:bookmarkStart w:id="89" w:name="_GoBack"/>
          <w:bookmarkEnd w:id="89"/>
          <w:r>
            <w:rPr>
              <w:rFonts w:hint="eastAsia" w:ascii="方正黑体_GBK" w:hAnsi="方正黑体_GBK" w:eastAsia="方正黑体_GBK" w:cs="方正黑体_GBK"/>
            </w:rPr>
            <w:t>目录</w:t>
          </w:r>
        </w:p>
        <w:p w14:paraId="0427B04F">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TOC \o "1-2" \h \u </w:instrText>
          </w:r>
          <w:r>
            <w:rPr>
              <w:rFonts w:hint="eastAsia" w:ascii="仿宋" w:hAnsi="仿宋" w:eastAsia="仿宋" w:cs="仿宋"/>
            </w:rPr>
            <w:fldChar w:fldCharType="separate"/>
          </w:r>
          <w:r>
            <w:rPr>
              <w:rFonts w:hint="eastAsia" w:ascii="仿宋" w:hAnsi="仿宋" w:eastAsia="仿宋" w:cs="仿宋"/>
            </w:rPr>
            <w:fldChar w:fldCharType="begin"/>
          </w:r>
          <w:r>
            <w:rPr>
              <w:rFonts w:hint="eastAsia" w:ascii="仿宋" w:hAnsi="仿宋" w:eastAsia="仿宋" w:cs="仿宋"/>
            </w:rPr>
            <w:instrText xml:space="preserve"> HYPERLINK \l _Toc29432 </w:instrText>
          </w:r>
          <w:r>
            <w:rPr>
              <w:rFonts w:hint="eastAsia" w:ascii="仿宋" w:hAnsi="仿宋" w:eastAsia="仿宋" w:cs="仿宋"/>
            </w:rPr>
            <w:fldChar w:fldCharType="separate"/>
          </w:r>
          <w:r>
            <w:rPr>
              <w:rFonts w:hint="eastAsia" w:ascii="仿宋" w:hAnsi="仿宋" w:eastAsia="仿宋" w:cs="仿宋"/>
            </w:rPr>
            <w:t>第一章背景与思路</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_Toc29432 \h </w:instrText>
          </w:r>
          <w:r>
            <w:rPr>
              <w:rFonts w:hint="eastAsia" w:ascii="仿宋" w:hAnsi="仿宋" w:eastAsia="仿宋" w:cs="仿宋"/>
            </w:rPr>
            <w:fldChar w:fldCharType="separate"/>
          </w:r>
          <w:r>
            <w:rPr>
              <w:rFonts w:hint="eastAsia" w:ascii="仿宋" w:hAnsi="仿宋" w:eastAsia="仿宋" w:cs="仿宋"/>
            </w:rPr>
            <w:t>1</w:t>
          </w:r>
          <w:r>
            <w:rPr>
              <w:rFonts w:hint="eastAsia" w:ascii="仿宋" w:hAnsi="仿宋" w:eastAsia="仿宋" w:cs="仿宋"/>
            </w:rPr>
            <w:fldChar w:fldCharType="end"/>
          </w:r>
          <w:r>
            <w:rPr>
              <w:rFonts w:hint="eastAsia" w:ascii="仿宋" w:hAnsi="仿宋" w:eastAsia="仿宋" w:cs="仿宋"/>
            </w:rPr>
            <w:fldChar w:fldCharType="end"/>
          </w:r>
        </w:p>
        <w:p w14:paraId="111CB6DD">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_Toc32025 </w:instrText>
          </w:r>
          <w:r>
            <w:rPr>
              <w:rFonts w:hint="eastAsia" w:ascii="仿宋" w:hAnsi="仿宋" w:eastAsia="仿宋" w:cs="仿宋"/>
            </w:rPr>
            <w:fldChar w:fldCharType="separate"/>
          </w:r>
          <w:r>
            <w:rPr>
              <w:rFonts w:hint="eastAsia" w:ascii="仿宋" w:hAnsi="仿宋" w:eastAsia="仿宋" w:cs="仿宋"/>
            </w:rPr>
            <w:t>一、体检背景</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_Toc32025 \h </w:instrText>
          </w:r>
          <w:r>
            <w:rPr>
              <w:rFonts w:hint="eastAsia" w:ascii="仿宋" w:hAnsi="仿宋" w:eastAsia="仿宋" w:cs="仿宋"/>
            </w:rPr>
            <w:fldChar w:fldCharType="separate"/>
          </w:r>
          <w:r>
            <w:rPr>
              <w:rFonts w:hint="eastAsia" w:ascii="仿宋" w:hAnsi="仿宋" w:eastAsia="仿宋" w:cs="仿宋"/>
            </w:rPr>
            <w:t>1</w:t>
          </w:r>
          <w:r>
            <w:rPr>
              <w:rFonts w:hint="eastAsia" w:ascii="仿宋" w:hAnsi="仿宋" w:eastAsia="仿宋" w:cs="仿宋"/>
            </w:rPr>
            <w:fldChar w:fldCharType="end"/>
          </w:r>
          <w:r>
            <w:rPr>
              <w:rFonts w:hint="eastAsia" w:ascii="仿宋" w:hAnsi="仿宋" w:eastAsia="仿宋" w:cs="仿宋"/>
            </w:rPr>
            <w:fldChar w:fldCharType="end"/>
          </w:r>
        </w:p>
        <w:p w14:paraId="6B3E1E0C">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_Toc17635 </w:instrText>
          </w:r>
          <w:r>
            <w:rPr>
              <w:rFonts w:hint="eastAsia" w:ascii="仿宋" w:hAnsi="仿宋" w:eastAsia="仿宋" w:cs="仿宋"/>
            </w:rPr>
            <w:fldChar w:fldCharType="separate"/>
          </w:r>
          <w:r>
            <w:rPr>
              <w:rFonts w:hint="eastAsia" w:ascii="仿宋" w:hAnsi="仿宋" w:eastAsia="仿宋" w:cs="仿宋"/>
            </w:rPr>
            <w:t>二、体检范围</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_Toc17635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rPr>
            <w:fldChar w:fldCharType="end"/>
          </w:r>
        </w:p>
        <w:p w14:paraId="75475276">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_Toc26737 </w:instrText>
          </w:r>
          <w:r>
            <w:rPr>
              <w:rFonts w:hint="eastAsia" w:ascii="仿宋" w:hAnsi="仿宋" w:eastAsia="仿宋" w:cs="仿宋"/>
            </w:rPr>
            <w:fldChar w:fldCharType="separate"/>
          </w:r>
          <w:r>
            <w:rPr>
              <w:rFonts w:hint="eastAsia" w:ascii="仿宋" w:hAnsi="仿宋" w:eastAsia="仿宋" w:cs="仿宋"/>
            </w:rPr>
            <w:t>三、技术路线</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_Toc26737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rPr>
            <w:fldChar w:fldCharType="end"/>
          </w:r>
        </w:p>
        <w:p w14:paraId="27CE573E">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_Toc17593 </w:instrText>
          </w:r>
          <w:r>
            <w:rPr>
              <w:rFonts w:hint="eastAsia" w:ascii="仿宋" w:hAnsi="仿宋" w:eastAsia="仿宋" w:cs="仿宋"/>
            </w:rPr>
            <w:fldChar w:fldCharType="separate"/>
          </w:r>
          <w:r>
            <w:rPr>
              <w:rFonts w:hint="eastAsia" w:ascii="仿宋" w:hAnsi="仿宋" w:eastAsia="仿宋" w:cs="仿宋"/>
            </w:rPr>
            <w:t>四、2024年廊坊市城市体检指标体系</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_Toc17593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14:paraId="17542E72">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_Toc29691 </w:instrText>
          </w:r>
          <w:r>
            <w:rPr>
              <w:rFonts w:hint="eastAsia" w:ascii="仿宋" w:hAnsi="仿宋" w:eastAsia="仿宋" w:cs="仿宋"/>
            </w:rPr>
            <w:fldChar w:fldCharType="separate"/>
          </w:r>
          <w:r>
            <w:rPr>
              <w:rFonts w:hint="eastAsia" w:ascii="仿宋" w:hAnsi="仿宋" w:eastAsia="仿宋" w:cs="仿宋"/>
            </w:rPr>
            <w:t>五、上一年体检工作回顾</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_Toc29691 \h </w:instrText>
          </w:r>
          <w:r>
            <w:rPr>
              <w:rFonts w:hint="eastAsia" w:ascii="仿宋" w:hAnsi="仿宋" w:eastAsia="仿宋" w:cs="仿宋"/>
            </w:rPr>
            <w:fldChar w:fldCharType="separate"/>
          </w:r>
          <w:r>
            <w:rPr>
              <w:rFonts w:hint="eastAsia" w:ascii="仿宋" w:hAnsi="仿宋" w:eastAsia="仿宋" w:cs="仿宋"/>
            </w:rPr>
            <w:t>38</w:t>
          </w:r>
          <w:r>
            <w:rPr>
              <w:rFonts w:hint="eastAsia" w:ascii="仿宋" w:hAnsi="仿宋" w:eastAsia="仿宋" w:cs="仿宋"/>
            </w:rPr>
            <w:fldChar w:fldCharType="end"/>
          </w:r>
          <w:r>
            <w:rPr>
              <w:rFonts w:hint="eastAsia" w:ascii="仿宋" w:hAnsi="仿宋" w:eastAsia="仿宋" w:cs="仿宋"/>
            </w:rPr>
            <w:fldChar w:fldCharType="end"/>
          </w:r>
        </w:p>
        <w:p w14:paraId="258DE436">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_Toc3857 </w:instrText>
          </w:r>
          <w:r>
            <w:rPr>
              <w:rFonts w:hint="eastAsia" w:ascii="仿宋" w:hAnsi="仿宋" w:eastAsia="仿宋" w:cs="仿宋"/>
            </w:rPr>
            <w:fldChar w:fldCharType="separate"/>
          </w:r>
          <w:r>
            <w:rPr>
              <w:rFonts w:hint="eastAsia" w:ascii="仿宋" w:hAnsi="仿宋" w:eastAsia="仿宋" w:cs="仿宋"/>
              <w:bCs/>
            </w:rPr>
            <w:t>六、2023年体检转化应用情况及2024年工作谋划</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_Toc3857 \h </w:instrText>
          </w:r>
          <w:r>
            <w:rPr>
              <w:rFonts w:hint="eastAsia" w:ascii="仿宋" w:hAnsi="仿宋" w:eastAsia="仿宋" w:cs="仿宋"/>
            </w:rPr>
            <w:fldChar w:fldCharType="separate"/>
          </w:r>
          <w:r>
            <w:rPr>
              <w:rFonts w:hint="eastAsia" w:ascii="仿宋" w:hAnsi="仿宋" w:eastAsia="仿宋" w:cs="仿宋"/>
            </w:rPr>
            <w:t>47</w:t>
          </w:r>
          <w:r>
            <w:rPr>
              <w:rFonts w:hint="eastAsia" w:ascii="仿宋" w:hAnsi="仿宋" w:eastAsia="仿宋" w:cs="仿宋"/>
            </w:rPr>
            <w:fldChar w:fldCharType="end"/>
          </w:r>
          <w:r>
            <w:rPr>
              <w:rFonts w:hint="eastAsia" w:ascii="仿宋" w:hAnsi="仿宋" w:eastAsia="仿宋" w:cs="仿宋"/>
            </w:rPr>
            <w:fldChar w:fldCharType="end"/>
          </w:r>
        </w:p>
        <w:p w14:paraId="3D912830">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_Toc9128 </w:instrText>
          </w:r>
          <w:r>
            <w:rPr>
              <w:rFonts w:hint="eastAsia" w:ascii="仿宋" w:hAnsi="仿宋" w:eastAsia="仿宋" w:cs="仿宋"/>
            </w:rPr>
            <w:fldChar w:fldCharType="separate"/>
          </w:r>
          <w:r>
            <w:rPr>
              <w:rFonts w:hint="eastAsia" w:ascii="仿宋" w:hAnsi="仿宋" w:eastAsia="仿宋" w:cs="仿宋"/>
              <w:bCs/>
            </w:rPr>
            <w:t>七、未来发展片区体检</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_Toc9128 \h </w:instrText>
          </w:r>
          <w:r>
            <w:rPr>
              <w:rFonts w:hint="eastAsia" w:ascii="仿宋" w:hAnsi="仿宋" w:eastAsia="仿宋" w:cs="仿宋"/>
            </w:rPr>
            <w:fldChar w:fldCharType="separate"/>
          </w:r>
          <w:r>
            <w:rPr>
              <w:rFonts w:hint="eastAsia" w:ascii="仿宋" w:hAnsi="仿宋" w:eastAsia="仿宋" w:cs="仿宋"/>
            </w:rPr>
            <w:t>74</w:t>
          </w:r>
          <w:r>
            <w:rPr>
              <w:rFonts w:hint="eastAsia" w:ascii="仿宋" w:hAnsi="仿宋" w:eastAsia="仿宋" w:cs="仿宋"/>
            </w:rPr>
            <w:fldChar w:fldCharType="end"/>
          </w:r>
          <w:r>
            <w:rPr>
              <w:rFonts w:hint="eastAsia" w:ascii="仿宋" w:hAnsi="仿宋" w:eastAsia="仿宋" w:cs="仿宋"/>
            </w:rPr>
            <w:fldChar w:fldCharType="end"/>
          </w:r>
        </w:p>
        <w:p w14:paraId="5A7CA2B8">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_Toc21261 </w:instrText>
          </w:r>
          <w:r>
            <w:rPr>
              <w:rFonts w:hint="eastAsia" w:ascii="仿宋" w:hAnsi="仿宋" w:eastAsia="仿宋" w:cs="仿宋"/>
            </w:rPr>
            <w:fldChar w:fldCharType="separate"/>
          </w:r>
          <w:r>
            <w:rPr>
              <w:rFonts w:hint="eastAsia" w:ascii="仿宋" w:hAnsi="仿宋" w:eastAsia="仿宋" w:cs="仿宋"/>
            </w:rPr>
            <w:t>第二章总体结论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_Toc21261 \h </w:instrText>
          </w:r>
          <w:r>
            <w:rPr>
              <w:rFonts w:hint="eastAsia" w:ascii="仿宋" w:hAnsi="仿宋" w:eastAsia="仿宋" w:cs="仿宋"/>
            </w:rPr>
            <w:fldChar w:fldCharType="separate"/>
          </w:r>
          <w:r>
            <w:rPr>
              <w:rFonts w:hint="eastAsia" w:ascii="仿宋" w:hAnsi="仿宋" w:eastAsia="仿宋" w:cs="仿宋"/>
            </w:rPr>
            <w:t>86</w:t>
          </w:r>
          <w:r>
            <w:rPr>
              <w:rFonts w:hint="eastAsia" w:ascii="仿宋" w:hAnsi="仿宋" w:eastAsia="仿宋" w:cs="仿宋"/>
            </w:rPr>
            <w:fldChar w:fldCharType="end"/>
          </w:r>
          <w:r>
            <w:rPr>
              <w:rFonts w:hint="eastAsia" w:ascii="仿宋" w:hAnsi="仿宋" w:eastAsia="仿宋" w:cs="仿宋"/>
            </w:rPr>
            <w:fldChar w:fldCharType="end"/>
          </w:r>
        </w:p>
        <w:p w14:paraId="2F924EF0">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_Toc24917 </w:instrText>
          </w:r>
          <w:r>
            <w:rPr>
              <w:rFonts w:hint="eastAsia" w:ascii="仿宋" w:hAnsi="仿宋" w:eastAsia="仿宋" w:cs="仿宋"/>
            </w:rPr>
            <w:fldChar w:fldCharType="separate"/>
          </w:r>
          <w:r>
            <w:rPr>
              <w:rFonts w:hint="eastAsia" w:ascii="仿宋" w:hAnsi="仿宋" w:eastAsia="仿宋" w:cs="仿宋"/>
            </w:rPr>
            <w:t>一、住房维度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_Toc24917 \h </w:instrText>
          </w:r>
          <w:r>
            <w:rPr>
              <w:rFonts w:hint="eastAsia" w:ascii="仿宋" w:hAnsi="仿宋" w:eastAsia="仿宋" w:cs="仿宋"/>
            </w:rPr>
            <w:fldChar w:fldCharType="separate"/>
          </w:r>
          <w:r>
            <w:rPr>
              <w:rFonts w:hint="eastAsia" w:ascii="仿宋" w:hAnsi="仿宋" w:eastAsia="仿宋" w:cs="仿宋"/>
            </w:rPr>
            <w:t>86</w:t>
          </w:r>
          <w:r>
            <w:rPr>
              <w:rFonts w:hint="eastAsia" w:ascii="仿宋" w:hAnsi="仿宋" w:eastAsia="仿宋" w:cs="仿宋"/>
            </w:rPr>
            <w:fldChar w:fldCharType="end"/>
          </w:r>
          <w:r>
            <w:rPr>
              <w:rFonts w:hint="eastAsia" w:ascii="仿宋" w:hAnsi="仿宋" w:eastAsia="仿宋" w:cs="仿宋"/>
            </w:rPr>
            <w:fldChar w:fldCharType="end"/>
          </w:r>
        </w:p>
        <w:p w14:paraId="10A2FB75">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_Toc30024 </w:instrText>
          </w:r>
          <w:r>
            <w:rPr>
              <w:rFonts w:hint="eastAsia" w:ascii="仿宋" w:hAnsi="仿宋" w:eastAsia="仿宋" w:cs="仿宋"/>
            </w:rPr>
            <w:fldChar w:fldCharType="separate"/>
          </w:r>
          <w:r>
            <w:rPr>
              <w:rFonts w:hint="eastAsia" w:ascii="仿宋" w:hAnsi="仿宋" w:eastAsia="仿宋" w:cs="仿宋"/>
            </w:rPr>
            <w:t>二、社区维度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_Toc30024 \h </w:instrText>
          </w:r>
          <w:r>
            <w:rPr>
              <w:rFonts w:hint="eastAsia" w:ascii="仿宋" w:hAnsi="仿宋" w:eastAsia="仿宋" w:cs="仿宋"/>
            </w:rPr>
            <w:fldChar w:fldCharType="separate"/>
          </w:r>
          <w:r>
            <w:rPr>
              <w:rFonts w:hint="eastAsia" w:ascii="仿宋" w:hAnsi="仿宋" w:eastAsia="仿宋" w:cs="仿宋"/>
            </w:rPr>
            <w:t>89</w:t>
          </w:r>
          <w:r>
            <w:rPr>
              <w:rFonts w:hint="eastAsia" w:ascii="仿宋" w:hAnsi="仿宋" w:eastAsia="仿宋" w:cs="仿宋"/>
            </w:rPr>
            <w:fldChar w:fldCharType="end"/>
          </w:r>
          <w:r>
            <w:rPr>
              <w:rFonts w:hint="eastAsia" w:ascii="仿宋" w:hAnsi="仿宋" w:eastAsia="仿宋" w:cs="仿宋"/>
            </w:rPr>
            <w:fldChar w:fldCharType="end"/>
          </w:r>
        </w:p>
        <w:p w14:paraId="23D2136A">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_Toc127 </w:instrText>
          </w:r>
          <w:r>
            <w:rPr>
              <w:rFonts w:hint="eastAsia" w:ascii="仿宋" w:hAnsi="仿宋" w:eastAsia="仿宋" w:cs="仿宋"/>
            </w:rPr>
            <w:fldChar w:fldCharType="separate"/>
          </w:r>
          <w:r>
            <w:rPr>
              <w:rFonts w:hint="eastAsia" w:ascii="仿宋" w:hAnsi="仿宋" w:eastAsia="仿宋" w:cs="仿宋"/>
            </w:rPr>
            <w:t>三、街区维度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_Toc127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14:paraId="07454892">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_Toc16212 </w:instrText>
          </w:r>
          <w:r>
            <w:rPr>
              <w:rFonts w:hint="eastAsia" w:ascii="仿宋" w:hAnsi="仿宋" w:eastAsia="仿宋" w:cs="仿宋"/>
            </w:rPr>
            <w:fldChar w:fldCharType="separate"/>
          </w:r>
          <w:r>
            <w:rPr>
              <w:rFonts w:hint="eastAsia" w:ascii="仿宋" w:hAnsi="仿宋" w:eastAsia="仿宋" w:cs="仿宋"/>
            </w:rPr>
            <w:t>四、城区维度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_Toc16212 \h </w:instrText>
          </w:r>
          <w:r>
            <w:rPr>
              <w:rFonts w:hint="eastAsia" w:ascii="仿宋" w:hAnsi="仿宋" w:eastAsia="仿宋" w:cs="仿宋"/>
            </w:rPr>
            <w:fldChar w:fldCharType="separate"/>
          </w:r>
          <w:r>
            <w:rPr>
              <w:rFonts w:hint="eastAsia" w:ascii="仿宋" w:hAnsi="仿宋" w:eastAsia="仿宋" w:cs="仿宋"/>
            </w:rPr>
            <w:t>92</w:t>
          </w:r>
          <w:r>
            <w:rPr>
              <w:rFonts w:hint="eastAsia" w:ascii="仿宋" w:hAnsi="仿宋" w:eastAsia="仿宋" w:cs="仿宋"/>
            </w:rPr>
            <w:fldChar w:fldCharType="end"/>
          </w:r>
          <w:r>
            <w:rPr>
              <w:rFonts w:hint="eastAsia" w:ascii="仿宋" w:hAnsi="仿宋" w:eastAsia="仿宋" w:cs="仿宋"/>
            </w:rPr>
            <w:fldChar w:fldCharType="end"/>
          </w:r>
        </w:p>
        <w:p w14:paraId="15862BDF">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_Toc86 </w:instrText>
          </w:r>
          <w:r>
            <w:rPr>
              <w:rFonts w:hint="eastAsia" w:ascii="仿宋" w:hAnsi="仿宋" w:eastAsia="仿宋" w:cs="仿宋"/>
            </w:rPr>
            <w:fldChar w:fldCharType="separate"/>
          </w:r>
          <w:r>
            <w:rPr>
              <w:rFonts w:hint="eastAsia" w:ascii="仿宋" w:hAnsi="仿宋" w:eastAsia="仿宋" w:cs="仿宋"/>
            </w:rPr>
            <w:t>第三章对策保障</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_Toc86 \h </w:instrText>
          </w:r>
          <w:r>
            <w:rPr>
              <w:rFonts w:hint="eastAsia" w:ascii="仿宋" w:hAnsi="仿宋" w:eastAsia="仿宋" w:cs="仿宋"/>
            </w:rPr>
            <w:fldChar w:fldCharType="separate"/>
          </w:r>
          <w:r>
            <w:rPr>
              <w:rFonts w:hint="eastAsia" w:ascii="仿宋" w:hAnsi="仿宋" w:eastAsia="仿宋" w:cs="仿宋"/>
            </w:rPr>
            <w:t>95</w:t>
          </w:r>
          <w:r>
            <w:rPr>
              <w:rFonts w:hint="eastAsia" w:ascii="仿宋" w:hAnsi="仿宋" w:eastAsia="仿宋" w:cs="仿宋"/>
            </w:rPr>
            <w:fldChar w:fldCharType="end"/>
          </w:r>
          <w:r>
            <w:rPr>
              <w:rFonts w:hint="eastAsia" w:ascii="仿宋" w:hAnsi="仿宋" w:eastAsia="仿宋" w:cs="仿宋"/>
            </w:rPr>
            <w:fldChar w:fldCharType="end"/>
          </w:r>
        </w:p>
        <w:p w14:paraId="4C0E0EF8">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_Toc10243 </w:instrText>
          </w:r>
          <w:r>
            <w:rPr>
              <w:rFonts w:hint="eastAsia" w:ascii="仿宋" w:hAnsi="仿宋" w:eastAsia="仿宋" w:cs="仿宋"/>
            </w:rPr>
            <w:fldChar w:fldCharType="separate"/>
          </w:r>
          <w:r>
            <w:rPr>
              <w:rFonts w:hint="eastAsia" w:ascii="仿宋" w:hAnsi="仿宋" w:eastAsia="仿宋" w:cs="仿宋"/>
              <w:lang w:val="zh-CN"/>
            </w:rPr>
            <w:t>一、对策建议</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_Toc10243 \h </w:instrText>
          </w:r>
          <w:r>
            <w:rPr>
              <w:rFonts w:hint="eastAsia" w:ascii="仿宋" w:hAnsi="仿宋" w:eastAsia="仿宋" w:cs="仿宋"/>
            </w:rPr>
            <w:fldChar w:fldCharType="separate"/>
          </w:r>
          <w:r>
            <w:rPr>
              <w:rFonts w:hint="eastAsia" w:ascii="仿宋" w:hAnsi="仿宋" w:eastAsia="仿宋" w:cs="仿宋"/>
            </w:rPr>
            <w:t>95</w:t>
          </w:r>
          <w:r>
            <w:rPr>
              <w:rFonts w:hint="eastAsia" w:ascii="仿宋" w:hAnsi="仿宋" w:eastAsia="仿宋" w:cs="仿宋"/>
            </w:rPr>
            <w:fldChar w:fldCharType="end"/>
          </w:r>
          <w:r>
            <w:rPr>
              <w:rFonts w:hint="eastAsia" w:ascii="仿宋" w:hAnsi="仿宋" w:eastAsia="仿宋" w:cs="仿宋"/>
            </w:rPr>
            <w:fldChar w:fldCharType="end"/>
          </w:r>
        </w:p>
        <w:p w14:paraId="761FEEFE">
          <w:pPr>
            <w:pStyle w:val="23"/>
            <w:keepNext w:val="0"/>
            <w:keepLines w:val="0"/>
            <w:pageBreakBefore w:val="0"/>
            <w:widowControl w:val="0"/>
            <w:tabs>
              <w:tab w:val="right" w:leader="dot" w:pos="8299"/>
            </w:tabs>
            <w:kinsoku/>
            <w:wordWrap/>
            <w:overflowPunct/>
            <w:topLinePunct w:val="0"/>
            <w:autoSpaceDE/>
            <w:autoSpaceDN/>
            <w:bidi w:val="0"/>
            <w:adjustRightInd/>
            <w:snapToGrid/>
            <w:ind w:left="0" w:leftChars="0" w:firstLine="640" w:firstLineChars="20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_Toc1875 </w:instrText>
          </w:r>
          <w:r>
            <w:rPr>
              <w:rFonts w:hint="eastAsia" w:ascii="仿宋" w:hAnsi="仿宋" w:eastAsia="仿宋" w:cs="仿宋"/>
            </w:rPr>
            <w:fldChar w:fldCharType="separate"/>
          </w:r>
          <w:r>
            <w:rPr>
              <w:rFonts w:hint="eastAsia" w:ascii="仿宋" w:hAnsi="仿宋" w:eastAsia="仿宋" w:cs="仿宋"/>
              <w:lang w:val="zh-CN"/>
            </w:rPr>
            <w:t>二、实施保障</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_Toc1875 \h </w:instrText>
          </w:r>
          <w:r>
            <w:rPr>
              <w:rFonts w:hint="eastAsia" w:ascii="仿宋" w:hAnsi="仿宋" w:eastAsia="仿宋" w:cs="仿宋"/>
            </w:rPr>
            <w:fldChar w:fldCharType="separate"/>
          </w:r>
          <w:r>
            <w:rPr>
              <w:rFonts w:hint="eastAsia" w:ascii="仿宋" w:hAnsi="仿宋" w:eastAsia="仿宋" w:cs="仿宋"/>
            </w:rPr>
            <w:t>101</w:t>
          </w:r>
          <w:r>
            <w:rPr>
              <w:rFonts w:hint="eastAsia" w:ascii="仿宋" w:hAnsi="仿宋" w:eastAsia="仿宋" w:cs="仿宋"/>
            </w:rPr>
            <w:fldChar w:fldCharType="end"/>
          </w:r>
          <w:r>
            <w:rPr>
              <w:rFonts w:hint="eastAsia" w:ascii="仿宋" w:hAnsi="仿宋" w:eastAsia="仿宋" w:cs="仿宋"/>
            </w:rPr>
            <w:fldChar w:fldCharType="end"/>
          </w:r>
        </w:p>
        <w:p w14:paraId="0F3F8273">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_Toc25355 </w:instrText>
          </w:r>
          <w:r>
            <w:rPr>
              <w:rFonts w:hint="eastAsia" w:ascii="仿宋" w:hAnsi="仿宋" w:eastAsia="仿宋" w:cs="仿宋"/>
            </w:rPr>
            <w:fldChar w:fldCharType="separate"/>
          </w:r>
          <w:r>
            <w:rPr>
              <w:rFonts w:hint="eastAsia" w:ascii="仿宋" w:hAnsi="仿宋" w:eastAsia="仿宋" w:cs="仿宋"/>
              <w:bCs/>
            </w:rPr>
            <w:t>附件1：廊坊市2023年体检转化应用情况及2024年工作谋划</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_Toc25355 \h </w:instrText>
          </w:r>
          <w:r>
            <w:rPr>
              <w:rFonts w:hint="eastAsia" w:ascii="仿宋" w:hAnsi="仿宋" w:eastAsia="仿宋" w:cs="仿宋"/>
            </w:rPr>
            <w:fldChar w:fldCharType="separate"/>
          </w:r>
          <w:r>
            <w:rPr>
              <w:rFonts w:hint="eastAsia" w:ascii="仿宋" w:hAnsi="仿宋" w:eastAsia="仿宋" w:cs="仿宋"/>
            </w:rPr>
            <w:t>103</w:t>
          </w:r>
          <w:r>
            <w:rPr>
              <w:rFonts w:hint="eastAsia" w:ascii="仿宋" w:hAnsi="仿宋" w:eastAsia="仿宋" w:cs="仿宋"/>
            </w:rPr>
            <w:fldChar w:fldCharType="end"/>
          </w:r>
          <w:r>
            <w:rPr>
              <w:rFonts w:hint="eastAsia" w:ascii="仿宋" w:hAnsi="仿宋" w:eastAsia="仿宋" w:cs="仿宋"/>
            </w:rPr>
            <w:fldChar w:fldCharType="end"/>
          </w:r>
        </w:p>
        <w:p w14:paraId="34382B52">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_Toc11478 </w:instrText>
          </w:r>
          <w:r>
            <w:rPr>
              <w:rFonts w:hint="eastAsia" w:ascii="仿宋" w:hAnsi="仿宋" w:eastAsia="仿宋" w:cs="仿宋"/>
            </w:rPr>
            <w:fldChar w:fldCharType="separate"/>
          </w:r>
          <w:r>
            <w:rPr>
              <w:rFonts w:hint="eastAsia" w:ascii="仿宋" w:hAnsi="仿宋" w:eastAsia="仿宋" w:cs="仿宋"/>
              <w:bCs/>
            </w:rPr>
            <w:t>附件2：城市自体检指标数据统计结果表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_Toc11478 \h </w:instrText>
          </w:r>
          <w:r>
            <w:rPr>
              <w:rFonts w:hint="eastAsia" w:ascii="仿宋" w:hAnsi="仿宋" w:eastAsia="仿宋" w:cs="仿宋"/>
            </w:rPr>
            <w:fldChar w:fldCharType="separate"/>
          </w:r>
          <w:r>
            <w:rPr>
              <w:rFonts w:hint="eastAsia" w:ascii="仿宋" w:hAnsi="仿宋" w:eastAsia="仿宋" w:cs="仿宋"/>
            </w:rPr>
            <w:t>128</w:t>
          </w:r>
          <w:r>
            <w:rPr>
              <w:rFonts w:hint="eastAsia" w:ascii="仿宋" w:hAnsi="仿宋" w:eastAsia="仿宋" w:cs="仿宋"/>
            </w:rPr>
            <w:fldChar w:fldCharType="end"/>
          </w:r>
          <w:r>
            <w:rPr>
              <w:rFonts w:hint="eastAsia" w:ascii="仿宋" w:hAnsi="仿宋" w:eastAsia="仿宋" w:cs="仿宋"/>
            </w:rPr>
            <w:fldChar w:fldCharType="end"/>
          </w:r>
        </w:p>
        <w:p w14:paraId="21B4CB26">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_Toc6862 </w:instrText>
          </w:r>
          <w:r>
            <w:rPr>
              <w:rFonts w:hint="eastAsia" w:ascii="仿宋" w:hAnsi="仿宋" w:eastAsia="仿宋" w:cs="仿宋"/>
            </w:rPr>
            <w:fldChar w:fldCharType="separate"/>
          </w:r>
          <w:r>
            <w:rPr>
              <w:rFonts w:hint="eastAsia" w:ascii="仿宋" w:hAnsi="仿宋" w:eastAsia="仿宋" w:cs="仿宋"/>
              <w:bCs/>
            </w:rPr>
            <w:t>附件3：城市体检问题清单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_Toc6862 \h </w:instrText>
          </w:r>
          <w:r>
            <w:rPr>
              <w:rFonts w:hint="eastAsia" w:ascii="仿宋" w:hAnsi="仿宋" w:eastAsia="仿宋" w:cs="仿宋"/>
            </w:rPr>
            <w:fldChar w:fldCharType="separate"/>
          </w:r>
          <w:r>
            <w:rPr>
              <w:rFonts w:hint="eastAsia" w:ascii="仿宋" w:hAnsi="仿宋" w:eastAsia="仿宋" w:cs="仿宋"/>
            </w:rPr>
            <w:t>153</w:t>
          </w:r>
          <w:r>
            <w:rPr>
              <w:rFonts w:hint="eastAsia" w:ascii="仿宋" w:hAnsi="仿宋" w:eastAsia="仿宋" w:cs="仿宋"/>
            </w:rPr>
            <w:fldChar w:fldCharType="end"/>
          </w:r>
          <w:r>
            <w:rPr>
              <w:rFonts w:hint="eastAsia" w:ascii="仿宋" w:hAnsi="仿宋" w:eastAsia="仿宋" w:cs="仿宋"/>
            </w:rPr>
            <w:fldChar w:fldCharType="end"/>
          </w:r>
        </w:p>
        <w:p w14:paraId="663B6DA6">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_Toc2126 </w:instrText>
          </w:r>
          <w:r>
            <w:rPr>
              <w:rFonts w:hint="eastAsia" w:ascii="仿宋" w:hAnsi="仿宋" w:eastAsia="仿宋" w:cs="仿宋"/>
            </w:rPr>
            <w:fldChar w:fldCharType="separate"/>
          </w:r>
          <w:r>
            <w:rPr>
              <w:rFonts w:hint="eastAsia" w:ascii="仿宋" w:hAnsi="仿宋" w:eastAsia="仿宋" w:cs="仿宋"/>
              <w:bCs/>
            </w:rPr>
            <w:t>附件4：城市体检整治清单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_Toc2126 \h </w:instrText>
          </w:r>
          <w:r>
            <w:rPr>
              <w:rFonts w:hint="eastAsia" w:ascii="仿宋" w:hAnsi="仿宋" w:eastAsia="仿宋" w:cs="仿宋"/>
            </w:rPr>
            <w:fldChar w:fldCharType="separate"/>
          </w:r>
          <w:r>
            <w:rPr>
              <w:rFonts w:hint="eastAsia" w:ascii="仿宋" w:hAnsi="仿宋" w:eastAsia="仿宋" w:cs="仿宋"/>
            </w:rPr>
            <w:t>200</w:t>
          </w:r>
          <w:r>
            <w:rPr>
              <w:rFonts w:hint="eastAsia" w:ascii="仿宋" w:hAnsi="仿宋" w:eastAsia="仿宋" w:cs="仿宋"/>
            </w:rPr>
            <w:fldChar w:fldCharType="end"/>
          </w:r>
          <w:r>
            <w:rPr>
              <w:rFonts w:hint="eastAsia" w:ascii="仿宋" w:hAnsi="仿宋" w:eastAsia="仿宋" w:cs="仿宋"/>
            </w:rPr>
            <w:fldChar w:fldCharType="end"/>
          </w:r>
        </w:p>
        <w:p w14:paraId="6BFAC771">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_Toc3396 </w:instrText>
          </w:r>
          <w:r>
            <w:rPr>
              <w:rFonts w:hint="eastAsia" w:ascii="仿宋" w:hAnsi="仿宋" w:eastAsia="仿宋" w:cs="仿宋"/>
            </w:rPr>
            <w:fldChar w:fldCharType="separate"/>
          </w:r>
          <w:r>
            <w:rPr>
              <w:rFonts w:hint="eastAsia" w:ascii="仿宋" w:hAnsi="仿宋" w:eastAsia="仿宋" w:cs="仿宋"/>
              <w:bCs/>
            </w:rPr>
            <w:t>附件5：风险隐患通知书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_Toc3396 \h </w:instrText>
          </w:r>
          <w:r>
            <w:rPr>
              <w:rFonts w:hint="eastAsia" w:ascii="仿宋" w:hAnsi="仿宋" w:eastAsia="仿宋" w:cs="仿宋"/>
            </w:rPr>
            <w:fldChar w:fldCharType="separate"/>
          </w:r>
          <w:r>
            <w:rPr>
              <w:rFonts w:hint="eastAsia" w:ascii="仿宋" w:hAnsi="仿宋" w:eastAsia="仿宋" w:cs="仿宋"/>
            </w:rPr>
            <w:t>223</w:t>
          </w:r>
          <w:r>
            <w:rPr>
              <w:rFonts w:hint="eastAsia" w:ascii="仿宋" w:hAnsi="仿宋" w:eastAsia="仿宋" w:cs="仿宋"/>
            </w:rPr>
            <w:fldChar w:fldCharType="end"/>
          </w:r>
          <w:r>
            <w:rPr>
              <w:rFonts w:hint="eastAsia" w:ascii="仿宋" w:hAnsi="仿宋" w:eastAsia="仿宋" w:cs="仿宋"/>
            </w:rPr>
            <w:fldChar w:fldCharType="end"/>
          </w:r>
        </w:p>
        <w:p w14:paraId="73CDA5EB">
          <w:pPr>
            <w:pStyle w:val="21"/>
            <w:keepNext w:val="0"/>
            <w:keepLines w:val="0"/>
            <w:pageBreakBefore w:val="0"/>
            <w:widowControl w:val="0"/>
            <w:tabs>
              <w:tab w:val="right" w:leader="dot" w:pos="8299"/>
            </w:tabs>
            <w:kinsoku/>
            <w:wordWrap/>
            <w:overflowPunct/>
            <w:topLinePunct w:val="0"/>
            <w:autoSpaceDE/>
            <w:autoSpaceDN/>
            <w:bidi w:val="0"/>
            <w:adjustRightInd/>
            <w:snapToGrid/>
            <w:ind w:left="0" w:leftChars="0" w:firstLine="0" w:firstLineChars="0"/>
            <w:textAlignment w:val="auto"/>
            <w:rPr>
              <w:rFonts w:hint="eastAsia"/>
            </w:rPr>
          </w:pPr>
          <w:r>
            <w:rPr>
              <w:rFonts w:hint="eastAsia" w:ascii="仿宋" w:hAnsi="仿宋" w:eastAsia="仿宋" w:cs="仿宋"/>
            </w:rPr>
            <w:fldChar w:fldCharType="begin"/>
          </w:r>
          <w:r>
            <w:rPr>
              <w:rFonts w:hint="eastAsia" w:ascii="仿宋" w:hAnsi="仿宋" w:eastAsia="仿宋" w:cs="仿宋"/>
            </w:rPr>
            <w:instrText xml:space="preserve"> HYPERLINK \l _Toc13395 </w:instrText>
          </w:r>
          <w:r>
            <w:rPr>
              <w:rFonts w:hint="eastAsia" w:ascii="仿宋" w:hAnsi="仿宋" w:eastAsia="仿宋" w:cs="仿宋"/>
            </w:rPr>
            <w:fldChar w:fldCharType="separate"/>
          </w:r>
          <w:r>
            <w:rPr>
              <w:rFonts w:hint="eastAsia" w:ascii="仿宋" w:hAnsi="仿宋" w:eastAsia="仿宋" w:cs="仿宋"/>
              <w:bCs/>
            </w:rPr>
            <w:t>附件6：城市更新项目库</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_Toc13395 \h </w:instrText>
          </w:r>
          <w:r>
            <w:rPr>
              <w:rFonts w:hint="eastAsia" w:ascii="仿宋" w:hAnsi="仿宋" w:eastAsia="仿宋" w:cs="仿宋"/>
            </w:rPr>
            <w:fldChar w:fldCharType="separate"/>
          </w:r>
          <w:r>
            <w:rPr>
              <w:rFonts w:hint="eastAsia" w:ascii="仿宋" w:hAnsi="仿宋" w:eastAsia="仿宋" w:cs="仿宋"/>
            </w:rPr>
            <w:t>227</w:t>
          </w:r>
          <w:r>
            <w:rPr>
              <w:rFonts w:hint="eastAsia" w:ascii="仿宋" w:hAnsi="仿宋" w:eastAsia="仿宋" w:cs="仿宋"/>
            </w:rPr>
            <w:fldChar w:fldCharType="end"/>
          </w:r>
          <w:r>
            <w:rPr>
              <w:rFonts w:hint="eastAsia" w:ascii="仿宋" w:hAnsi="仿宋" w:eastAsia="仿宋" w:cs="仿宋"/>
            </w:rPr>
            <w:fldChar w:fldCharType="end"/>
          </w:r>
          <w:r>
            <w:rPr>
              <w:rFonts w:hint="eastAsia" w:ascii="仿宋" w:hAnsi="仿宋" w:eastAsia="仿宋" w:cs="仿宋"/>
            </w:rPr>
            <w:fldChar w:fldCharType="end"/>
          </w:r>
        </w:p>
      </w:sdtContent>
    </w:sdt>
    <w:p w14:paraId="336314CB">
      <w:pPr>
        <w:pStyle w:val="2"/>
        <w:rPr>
          <w:rFonts w:hint="eastAsia"/>
        </w:rPr>
        <w:sectPr>
          <w:footerReference r:id="rId13" w:type="first"/>
          <w:headerReference r:id="rId11" w:type="default"/>
          <w:footerReference r:id="rId12" w:type="default"/>
          <w:pgSz w:w="11905" w:h="16838"/>
          <w:pgMar w:top="1440" w:right="1803" w:bottom="1440" w:left="1803" w:header="1" w:footer="567" w:gutter="0"/>
          <w:pgNumType w:start="1"/>
          <w:cols w:space="425" w:num="1"/>
          <w:docGrid w:type="lines" w:linePitch="337" w:charSpace="0"/>
        </w:sectPr>
      </w:pPr>
      <w:bookmarkStart w:id="2" w:name="_Toc28517"/>
      <w:bookmarkStart w:id="3" w:name="_Toc5738"/>
    </w:p>
    <w:bookmarkEnd w:id="2"/>
    <w:bookmarkEnd w:id="3"/>
    <w:p w14:paraId="7B21834A">
      <w:pPr>
        <w:pStyle w:val="2"/>
        <w:rPr>
          <w:rFonts w:hint="eastAsia"/>
        </w:rPr>
      </w:pPr>
      <w:bookmarkStart w:id="4" w:name="_Toc29432"/>
      <w:bookmarkStart w:id="5" w:name="_Toc31924"/>
      <w:bookmarkStart w:id="6" w:name="_Toc2180"/>
      <w:bookmarkStart w:id="7" w:name="_Toc16721"/>
      <w:r>
        <w:rPr>
          <w:rFonts w:hint="eastAsia"/>
        </w:rPr>
        <w:t>第一章背景与思路</w:t>
      </w:r>
      <w:bookmarkEnd w:id="4"/>
    </w:p>
    <w:p w14:paraId="4FB69C07">
      <w:pPr>
        <w:pStyle w:val="3"/>
        <w:rPr>
          <w:rFonts w:hint="eastAsia"/>
        </w:rPr>
      </w:pPr>
      <w:bookmarkStart w:id="8" w:name="_Toc32025"/>
      <w:r>
        <w:rPr>
          <w:rFonts w:hint="eastAsia"/>
        </w:rPr>
        <w:t>一、体检背景</w:t>
      </w:r>
      <w:bookmarkEnd w:id="5"/>
      <w:bookmarkEnd w:id="6"/>
      <w:bookmarkEnd w:id="7"/>
      <w:bookmarkEnd w:id="8"/>
    </w:p>
    <w:p w14:paraId="2B8C92FC">
      <w:pPr>
        <w:ind w:firstLine="640"/>
        <w:jc w:val="left"/>
        <w:rPr>
          <w:rFonts w:hint="eastAsia"/>
        </w:rPr>
      </w:pPr>
      <w:r>
        <w:rPr>
          <w:rFonts w:hint="eastAsia"/>
        </w:rPr>
        <w:t>为深入贯彻习近平总书记关于城市体检工作重要指示精神落实党中央、国务院关于建立城市体检评估制度的要求，结合《2024年河北省城市体检工作方案》，按照省政府工作部署和工作要求，开展本次城市体检工作。</w:t>
      </w:r>
    </w:p>
    <w:p w14:paraId="4AEF8A3D">
      <w:pPr>
        <w:pStyle w:val="4"/>
        <w:rPr>
          <w:rFonts w:hint="eastAsia"/>
        </w:rPr>
      </w:pPr>
      <w:bookmarkStart w:id="9" w:name="_Toc29497"/>
      <w:r>
        <w:rPr>
          <w:rFonts w:hint="eastAsia"/>
        </w:rPr>
        <w:t>（一）中央对高质量发展提出了新要求</w:t>
      </w:r>
      <w:bookmarkEnd w:id="9"/>
    </w:p>
    <w:p w14:paraId="629724F1">
      <w:pPr>
        <w:ind w:firstLine="640"/>
        <w:jc w:val="left"/>
        <w:rPr>
          <w:rFonts w:hint="eastAsia"/>
        </w:rPr>
      </w:pPr>
      <w:r>
        <w:rPr>
          <w:rFonts w:hint="eastAsia"/>
        </w:rPr>
        <w:t>2015年12月，中央城市工作会议提出，完善城市治理体系，提高城市治理能力，着力解决城市病等突出问题，不断提升城市环境质量、人民生活质量、城市竞争力，建设和谐宜居、富有活力、各具特色的现代化城市。城市工作要把创造优良的人居环境作为中心目标，努力把城市建设成为人与人、人与自然和谐共处的美丽家园。</w:t>
      </w:r>
    </w:p>
    <w:p w14:paraId="5B712923">
      <w:pPr>
        <w:ind w:firstLine="640"/>
        <w:jc w:val="left"/>
        <w:rPr>
          <w:rFonts w:hint="eastAsia"/>
        </w:rPr>
      </w:pPr>
      <w:r>
        <w:rPr>
          <w:rFonts w:hint="eastAsia"/>
        </w:rPr>
        <w:t>2017年2月，习近平总书记在视察北京工作时指出，要健全规划实时监测、定期评估、动态维护机制，建立“城市体检”评估机制，建设没有“城市病”的城市。</w:t>
      </w:r>
    </w:p>
    <w:p w14:paraId="1F43F9A9">
      <w:pPr>
        <w:ind w:firstLine="640"/>
        <w:jc w:val="left"/>
        <w:rPr>
          <w:rFonts w:hint="eastAsia"/>
        </w:rPr>
      </w:pPr>
      <w:r>
        <w:rPr>
          <w:rFonts w:hint="eastAsia"/>
        </w:rPr>
        <w:t>城市体检是落实2018年9月中共中央、国务院《关于推动高质量发展的意见》的重要举措；是推动城市发展由粗放型向精细化转变的重要抓手；是推进新数据、新方法与城市建设管理实践有机融合的重要任务。</w:t>
      </w:r>
    </w:p>
    <w:p w14:paraId="0DCD88FC">
      <w:pPr>
        <w:ind w:firstLine="640"/>
        <w:jc w:val="left"/>
        <w:rPr>
          <w:rFonts w:hint="eastAsia"/>
        </w:rPr>
      </w:pPr>
      <w:r>
        <w:t>2019</w:t>
      </w:r>
      <w:r>
        <w:rPr>
          <w:rFonts w:hint="eastAsia"/>
        </w:rPr>
        <w:t>年，习近平总书记在上海考察时指出：城市治理是推进国家治理体系和治理能力现代化的重要内容，城市建设要走高质量发展的路子，努力创造良好的环境。</w:t>
      </w:r>
    </w:p>
    <w:p w14:paraId="210CF50E">
      <w:pPr>
        <w:ind w:firstLine="640"/>
        <w:jc w:val="left"/>
        <w:rPr>
          <w:rFonts w:hint="eastAsia"/>
        </w:rPr>
      </w:pPr>
      <w:r>
        <w:rPr>
          <w:rFonts w:hint="eastAsia"/>
        </w:rPr>
        <w:t>2023年5月，习近平总书记考察雄安新区时提出：“着力打造一个没有‘城市病’的未来之城”，真正把高标准的城市规划蓝图变为高质量的城市发展现实画卷。</w:t>
      </w:r>
    </w:p>
    <w:p w14:paraId="0921D4D5">
      <w:pPr>
        <w:pStyle w:val="4"/>
        <w:rPr>
          <w:rFonts w:hint="eastAsia"/>
        </w:rPr>
      </w:pPr>
      <w:bookmarkStart w:id="10" w:name="_Toc30843"/>
      <w:r>
        <w:rPr>
          <w:rFonts w:hint="eastAsia"/>
        </w:rPr>
        <w:t>（二）住建部将城市体检作为重点工作持续推动</w:t>
      </w:r>
      <w:bookmarkEnd w:id="10"/>
    </w:p>
    <w:p w14:paraId="71EEB270">
      <w:pPr>
        <w:ind w:firstLine="640"/>
        <w:jc w:val="left"/>
        <w:rPr>
          <w:rFonts w:hint="eastAsia"/>
        </w:rPr>
      </w:pPr>
      <w:r>
        <w:rPr>
          <w:rFonts w:hint="eastAsia"/>
        </w:rPr>
        <w:t>2018年12月24日，全国住房和城乡建设工作会议召开，将城市体检作为2019年重点工作任务。建立没有“城市病”的城市建设管理人居环境质量评价体系；扩大城市体检评估试点范围，建立“一年一体检、五年一评估”的制度。</w:t>
      </w:r>
    </w:p>
    <w:p w14:paraId="6D406254">
      <w:pPr>
        <w:ind w:firstLine="640"/>
        <w:jc w:val="left"/>
        <w:rPr>
          <w:rFonts w:hint="eastAsia"/>
        </w:rPr>
      </w:pPr>
      <w:r>
        <w:rPr>
          <w:rFonts w:hint="eastAsia"/>
        </w:rPr>
        <w:t>2019年4月2日，住建部召开城市体检试点工作会。</w:t>
      </w:r>
    </w:p>
    <w:p w14:paraId="5A09233B">
      <w:pPr>
        <w:ind w:firstLine="640"/>
        <w:jc w:val="left"/>
        <w:rPr>
          <w:rFonts w:hint="eastAsia"/>
        </w:rPr>
      </w:pPr>
      <w:r>
        <w:rPr>
          <w:rFonts w:hint="eastAsia"/>
        </w:rPr>
        <w:t>2019年4月12日，住建部发布《关于开展城市体检试点工作的意见》（建科函〔2019〕78号）。</w:t>
      </w:r>
    </w:p>
    <w:p w14:paraId="2B996BDF">
      <w:pPr>
        <w:ind w:firstLine="640"/>
        <w:jc w:val="left"/>
        <w:rPr>
          <w:rFonts w:hint="eastAsia"/>
        </w:rPr>
      </w:pPr>
      <w:r>
        <w:rPr>
          <w:rFonts w:hint="eastAsia"/>
        </w:rPr>
        <w:t>2020年6月，住建部发布《住房和城乡建设部关于支持开展2020年城市体检工作的函》。</w:t>
      </w:r>
    </w:p>
    <w:p w14:paraId="37CC10E5">
      <w:pPr>
        <w:ind w:firstLine="640"/>
        <w:jc w:val="left"/>
        <w:rPr>
          <w:rFonts w:hint="eastAsia"/>
        </w:rPr>
      </w:pPr>
      <w:r>
        <w:rPr>
          <w:rFonts w:hint="eastAsia"/>
        </w:rPr>
        <w:t>2021年5月，《住房和城乡建设部关于开展2021年城市体检工作的通知》（建科函〔2021〕44号）。</w:t>
      </w:r>
    </w:p>
    <w:p w14:paraId="2AB0F497">
      <w:pPr>
        <w:ind w:firstLine="640"/>
        <w:jc w:val="left"/>
        <w:rPr>
          <w:rFonts w:hint="eastAsia"/>
        </w:rPr>
      </w:pPr>
      <w:r>
        <w:rPr>
          <w:rFonts w:hint="eastAsia"/>
        </w:rPr>
        <w:t>2022年7月4日，《住房和城乡建设部关于开展2022年城市体检工作的通知》（建科函〔2022〕54号）。</w:t>
      </w:r>
    </w:p>
    <w:p w14:paraId="61A3FEB3">
      <w:pPr>
        <w:ind w:firstLine="640"/>
        <w:jc w:val="left"/>
        <w:rPr>
          <w:rFonts w:hint="eastAsia"/>
        </w:rPr>
      </w:pPr>
      <w:r>
        <w:rPr>
          <w:rFonts w:hint="eastAsia"/>
        </w:rPr>
        <w:t>2023年6月14日，《全国深化城市体检工作制度机制试点动员部署会暨城市体检评估培训班》——要坚持问题导向、目标导向和结果导向。要完善城市体检指标体系、创新城市体检方式方法，走通城市体检和城市更新有机结合路径，将城市体检出来的问题作为城市更新的重点，作为制定城市更新规划和年度实施计划、生成城市更新项目库的重要依据。</w:t>
      </w:r>
    </w:p>
    <w:p w14:paraId="6B6EFB8E">
      <w:pPr>
        <w:ind w:firstLine="640"/>
        <w:jc w:val="left"/>
        <w:rPr>
          <w:rFonts w:hint="eastAsia"/>
        </w:rPr>
      </w:pPr>
      <w:r>
        <w:rPr>
          <w:rFonts w:hint="eastAsia"/>
        </w:rPr>
        <w:t>2023年11月，住建部印发《关于全面开展城市体检工作的指导意见》，在地级及以上城市全面开展城市体检工作，扎实有序推进实施城市更新行动，要求深入贯彻落实党的二十大精神，完整、准确、全面贯彻新发展理念，坚持人民城市人民建、人民城市为人民，把城市体检作为统筹城市规划、建设、管理工作的重要抓手，整体推动城市结构优化、功能完善、品质提升，打造宜居、韧性、智慧城市。坚持问题导向，划细城市体检单元，从住房到小区（社区）、街区、城区（城市），找出群众反映强烈的难点、堵点、痛点问题。坚持目标导向，把城市作为“有机生命体”，以产城融合、职住平衡、生态宜居等为目标，查找影响城市竞争力、承载力和可持续发展的短板弱项。强化结果运用，把城市体检发现的问题作为城市更新的重点，聚焦解决群众急难愁盼问题和补齐城市建设发展短板弱项，有针对性地开展城市更新，整治体检发现的问题，建立健全“发现问题—解决问题—巩固提升”的城市体检工作机制。</w:t>
      </w:r>
    </w:p>
    <w:p w14:paraId="1BB57152">
      <w:pPr>
        <w:pStyle w:val="4"/>
        <w:rPr>
          <w:rFonts w:hint="eastAsia"/>
        </w:rPr>
      </w:pPr>
      <w:bookmarkStart w:id="11" w:name="_Toc23543"/>
      <w:r>
        <w:rPr>
          <w:rFonts w:hint="eastAsia"/>
        </w:rPr>
        <w:t>（三）省委省政府高度重视城市体检工作</w:t>
      </w:r>
      <w:bookmarkEnd w:id="11"/>
    </w:p>
    <w:p w14:paraId="1AC91EA6">
      <w:pPr>
        <w:ind w:firstLine="640"/>
        <w:jc w:val="left"/>
        <w:rPr>
          <w:rFonts w:hint="eastAsia"/>
        </w:rPr>
      </w:pPr>
      <w:r>
        <w:rPr>
          <w:rFonts w:hint="eastAsia"/>
        </w:rPr>
        <w:t>2021年2月19日，河北省政府工作报告指出，开展城市更新行动和城市体检试点。</w:t>
      </w:r>
    </w:p>
    <w:p w14:paraId="30A98133">
      <w:pPr>
        <w:ind w:firstLine="640"/>
        <w:jc w:val="left"/>
        <w:rPr>
          <w:rFonts w:hint="eastAsia"/>
        </w:rPr>
      </w:pPr>
      <w:r>
        <w:rPr>
          <w:rFonts w:hint="eastAsia"/>
        </w:rPr>
        <w:t>河北省住建厅积极启动2021年省级城市体检试点工作。于2021年3月15日，河北省城市建设管理工作领导小组印发《2021年河北省城市体检试点工作方案》，确立了首批8个试点城市——唐山市、邢台市、邯郸市、迁安市、黄骅市、高阳县、宁晋县、鸡泽县。</w:t>
      </w:r>
    </w:p>
    <w:p w14:paraId="71CE5286">
      <w:pPr>
        <w:ind w:firstLine="640"/>
        <w:jc w:val="left"/>
        <w:rPr>
          <w:rFonts w:hint="eastAsia"/>
        </w:rPr>
      </w:pPr>
      <w:r>
        <w:rPr>
          <w:rFonts w:hint="eastAsia"/>
        </w:rPr>
        <w:t>2022年3月18日，河北省住建厅组织召开2022年全省城市体检工作总结部署会议，总结2021年城市体检试点工作，查找工作中的短板和弱项，研究部署2022年城市体检工作，印发了《2022年河北省城市体检工作方案》。7月14日印发了《2022年河北省城市体检指标体系》。</w:t>
      </w:r>
    </w:p>
    <w:p w14:paraId="1340C615">
      <w:pPr>
        <w:ind w:firstLine="640"/>
        <w:jc w:val="left"/>
        <w:rPr>
          <w:rFonts w:hint="eastAsia"/>
        </w:rPr>
      </w:pPr>
      <w:r>
        <w:rPr>
          <w:rFonts w:hint="eastAsia"/>
        </w:rPr>
        <w:t>会议要求，各地要切实转变思想认识，主动作为，强化弱项，高标准高质量完成今年城市体检工作。一是抓扩面。今年我省扩大了城市体检范围，在设区市全面开展城市体检的基础上，增加两个省直管县和20个县（市）。各市要督促没有参与到城市体检工作的所辖县超前谋划，明年争取全省县城体检全覆盖。2021年的8个试点城市要对城市体检结果进行成效评估，同时开展排水防涝专项体检，对涉及民生工程、燃气安全等重点指标开展精准体检。二是抓提质。要科学选定专业过硬的第三方联合体技术支撑团队，提升复核质量。各市县要制定具有本地特色的城市体检工作方案以及指标体系，创新开展排水防涝专项体检，系统谋划提升城市排水防涝能力。要主动对标对表，学习借鉴省内外先进地区的成熟经验。三是抓增效。河北省住房和城乡建设厅将对各市县自体检工作进行督导调研，对城市体检工作进展情况和完成质量进行不定期评估。各市县要将城市体检与县城建设提质升级有机结合，在专项政策制定中要充分吸纳城市体检成果，以城市体检评估结果为基础，有针对性地谋划城市更新项目，加快形成“开工一批、建设一批、竣工一批、储备一批”的良性循环机制，持续完善城市功能，提升城市品位。</w:t>
      </w:r>
    </w:p>
    <w:p w14:paraId="36FBE095">
      <w:pPr>
        <w:ind w:firstLine="640"/>
        <w:jc w:val="left"/>
        <w:rPr>
          <w:rFonts w:hint="eastAsia"/>
        </w:rPr>
      </w:pPr>
      <w:r>
        <w:rPr>
          <w:rFonts w:hint="eastAsia"/>
        </w:rPr>
        <w:t>2023年8月2日省住房城乡建设厅在武安市召开2023年河北省城市体检培训会。本次培训重点解读了《河北省城市自体检工作技术指南（2023版）》《2023年河北省社会调查方法》等，唐山市相关工作负责人介绍了国家城市体检试点城市工作经验。</w:t>
      </w:r>
    </w:p>
    <w:p w14:paraId="77E37C82">
      <w:pPr>
        <w:ind w:firstLine="640"/>
        <w:jc w:val="left"/>
        <w:rPr>
          <w:rFonts w:hint="eastAsia"/>
        </w:rPr>
      </w:pPr>
      <w:r>
        <w:rPr>
          <w:rFonts w:hint="eastAsia"/>
        </w:rPr>
        <w:t>会议要求，各市县要及时传达培训会议精神，落实最新工作要求，规范开展城市自体检和社会调查工作。要主动对标对表，学习试点城市先进经验，学以致用，因地制宜全面推进本地城市体检工作。参会人员表示，此次培训内容丰富，具有很强的针对性、指导性和实用性，将以此次培训会为契机，针对体检出的问题制定补短板的对策措施，推动建设没有“城市病”的城市，促进城市建设高质量发展。</w:t>
      </w:r>
    </w:p>
    <w:p w14:paraId="6D2C72E5">
      <w:pPr>
        <w:ind w:firstLine="640"/>
        <w:jc w:val="left"/>
        <w:rPr>
          <w:rFonts w:hint="eastAsia"/>
        </w:rPr>
      </w:pPr>
      <w:r>
        <w:rPr>
          <w:rFonts w:hint="eastAsia"/>
        </w:rPr>
        <w:t>2024年3月省住房城乡建设厅印发《2024年城市体检工作方案》，《方案》明确，城市体检的主要目标是从住房、小区（社区）、街区、城区（城市）四个维度，找出群众反映强烈的难点、堵点、痛点问题，把体检发现的问题作为城市更新的重点，扎实有序实施城市更新行动，建立健全“发现问题—解决问题—巩固提升”的城市体检工作机制，打造宜居、韧性、智慧城市。</w:t>
      </w:r>
    </w:p>
    <w:p w14:paraId="5D40BC24">
      <w:pPr>
        <w:pStyle w:val="3"/>
        <w:rPr>
          <w:rFonts w:hint="eastAsia"/>
        </w:rPr>
      </w:pPr>
      <w:bookmarkStart w:id="12" w:name="_Toc17635"/>
      <w:bookmarkStart w:id="13" w:name="_Toc28316"/>
      <w:bookmarkStart w:id="14" w:name="_Toc6426"/>
      <w:bookmarkStart w:id="15" w:name="_Toc671"/>
      <w:r>
        <w:rPr>
          <w:rFonts w:hint="eastAsia"/>
        </w:rPr>
        <w:t>二、体检范围</w:t>
      </w:r>
      <w:bookmarkEnd w:id="12"/>
      <w:bookmarkEnd w:id="13"/>
      <w:bookmarkEnd w:id="14"/>
      <w:bookmarkEnd w:id="15"/>
    </w:p>
    <w:p w14:paraId="177EA226">
      <w:pPr>
        <w:ind w:firstLine="640"/>
        <w:jc w:val="left"/>
        <w:rPr>
          <w:rFonts w:hint="eastAsia"/>
        </w:rPr>
      </w:pPr>
      <w:r>
        <w:rPr>
          <w:rFonts w:hint="eastAsia"/>
        </w:rPr>
        <w:t>本次体检范围为廊坊市主城区，包括广阳区、安次区、开发区；体检基期为2023年，同时在有条件的前提下分析2021年至2022年的指标变化情况。体检指标统计口径主要包含以下三个层次：</w:t>
      </w:r>
    </w:p>
    <w:p w14:paraId="701F42F3">
      <w:pPr>
        <w:ind w:firstLine="640"/>
        <w:jc w:val="left"/>
        <w:rPr>
          <w:rFonts w:hint="eastAsia"/>
        </w:rPr>
      </w:pPr>
      <w:r>
        <w:rPr>
          <w:rFonts w:hint="eastAsia"/>
        </w:rPr>
        <w:t>1.市域：指廊坊市行政区划范围，面积6419平方公里，常住人口547.83万人。</w:t>
      </w:r>
    </w:p>
    <w:p w14:paraId="7A58587D">
      <w:pPr>
        <w:ind w:firstLine="640"/>
        <w:jc w:val="left"/>
        <w:rPr>
          <w:rFonts w:hint="eastAsia"/>
        </w:rPr>
      </w:pPr>
      <w:r>
        <w:rPr>
          <w:rFonts w:hint="eastAsia"/>
        </w:rPr>
        <w:t>2.市辖区：包括广阳区、安次区、经济技术开发区行政区划范围。面积1031.66平方公里，常住人口113.04万人。</w:t>
      </w:r>
    </w:p>
    <w:p w14:paraId="2A47A920">
      <w:pPr>
        <w:ind w:firstLine="640"/>
        <w:jc w:val="left"/>
        <w:rPr>
          <w:rFonts w:hint="eastAsia"/>
        </w:rPr>
      </w:pPr>
      <w:r>
        <w:rPr>
          <w:rFonts w:hint="eastAsia"/>
        </w:rPr>
        <w:t>3.市辖区建成区：指城市市辖区内经过征用的土地和实际建设发展起来的非农业生产建设地段。面积75.77平方公里，这也是本次城市体检的核心范围。</w:t>
      </w:r>
    </w:p>
    <w:p w14:paraId="1A2FF1E4">
      <w:pPr>
        <w:spacing w:line="240" w:lineRule="auto"/>
        <w:ind w:firstLine="0" w:firstLineChars="0"/>
        <w:jc w:val="center"/>
        <w:rPr>
          <w:rFonts w:hint="eastAsia"/>
        </w:rPr>
      </w:pPr>
      <w:r>
        <w:drawing>
          <wp:inline distT="0" distB="0" distL="114300" distR="114300">
            <wp:extent cx="5039995" cy="3564890"/>
            <wp:effectExtent l="0" t="0" r="8255" b="1651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21"/>
                    <a:stretch>
                      <a:fillRect/>
                    </a:stretch>
                  </pic:blipFill>
                  <pic:spPr>
                    <a:xfrm>
                      <a:off x="0" y="0"/>
                      <a:ext cx="5039995" cy="3564890"/>
                    </a:xfrm>
                    <a:prstGeom prst="rect">
                      <a:avLst/>
                    </a:prstGeom>
                    <a:noFill/>
                    <a:ln w="9525">
                      <a:noFill/>
                    </a:ln>
                  </pic:spPr>
                </pic:pic>
              </a:graphicData>
            </a:graphic>
          </wp:inline>
        </w:drawing>
      </w:r>
    </w:p>
    <w:p w14:paraId="3C5F7352">
      <w:pPr>
        <w:adjustRightInd w:val="0"/>
        <w:snapToGrid w:val="0"/>
        <w:spacing w:line="240" w:lineRule="auto"/>
        <w:ind w:firstLine="0" w:firstLineChars="0"/>
        <w:jc w:val="center"/>
        <w:rPr>
          <w:rFonts w:ascii="Calibri" w:hAnsi="Calibri" w:cs="Times New Roman"/>
          <w:sz w:val="22"/>
          <w:szCs w:val="22"/>
        </w:rPr>
      </w:pPr>
      <w:r>
        <w:rPr>
          <w:rStyle w:val="66"/>
          <w:rFonts w:hint="default"/>
        </w:rPr>
        <w:t>廊坊市建成区边界范围图</w:t>
      </w:r>
    </w:p>
    <w:p w14:paraId="34D7F32C">
      <w:pPr>
        <w:pStyle w:val="3"/>
        <w:keepNext/>
        <w:keepLines/>
        <w:widowControl w:val="0"/>
        <w:rPr>
          <w:rFonts w:hint="eastAsia"/>
        </w:rPr>
      </w:pPr>
      <w:bookmarkStart w:id="16" w:name="_Toc30190"/>
      <w:bookmarkStart w:id="17" w:name="_Toc26737"/>
      <w:bookmarkStart w:id="18" w:name="_Toc30321"/>
      <w:r>
        <w:rPr>
          <w:rFonts w:hint="eastAsia"/>
        </w:rPr>
        <w:t>三、技术路线</w:t>
      </w:r>
      <w:bookmarkEnd w:id="16"/>
      <w:bookmarkEnd w:id="17"/>
      <w:bookmarkEnd w:id="18"/>
    </w:p>
    <w:p w14:paraId="5B98A56A">
      <w:pPr>
        <w:ind w:firstLine="640"/>
        <w:jc w:val="left"/>
        <w:rPr>
          <w:rFonts w:hint="eastAsia"/>
        </w:rPr>
      </w:pPr>
      <w:r>
        <w:rPr>
          <w:rFonts w:hint="eastAsia"/>
        </w:rPr>
        <w:t>本次体检坚持目标导向和问题导向，以“京津冀协同发展”为目标、查找廊坊城市实际运行中的问题为抓手、突出廊坊特色为遵循，结合市委市政府近期重点工作，以河北省城市体检指标库为框架，构建由必选指标组成的廊坊市城市体检指标体系，扎实开展住房、社区、街区、城区四维度体检。同步开展社会调查分析，强化纵横向比较、主客观结合分析和空间分析，从更大区域视角审视廊坊城市人居环境状况，找病症寻病因，精准确定问题领域、差距、空间和原因。强化问题分级治理，分类施策。明确治理责任，细化风险隐患，科学编制问题清单、治理清单和风险隐患通知书。紧密对接衔接市县国土空间规划、国民经济和社会发展十四五规划、近期行动计划，针对性提出治理对策和城市更新建议，解决群众急难愁盼问题和提高城市竞争力、承载力和可持续发展能力，扎实抓好问题整改，高效推进城市更新行动，助力廊坊市城市宜居韧性智慧城市建设。</w:t>
      </w:r>
    </w:p>
    <w:p w14:paraId="0A0EC9D3">
      <w:pPr>
        <w:pStyle w:val="3"/>
        <w:rPr>
          <w:rFonts w:hint="eastAsia"/>
        </w:rPr>
      </w:pPr>
      <w:bookmarkStart w:id="19" w:name="_Toc11493"/>
      <w:bookmarkStart w:id="20" w:name="_Toc23289"/>
      <w:bookmarkStart w:id="21" w:name="_Toc17593"/>
      <w:r>
        <w:rPr>
          <w:rFonts w:hint="eastAsia"/>
        </w:rPr>
        <w:t>四、2024年廊坊市城市体检指标体系</w:t>
      </w:r>
      <w:bookmarkEnd w:id="19"/>
      <w:bookmarkEnd w:id="20"/>
      <w:bookmarkEnd w:id="21"/>
    </w:p>
    <w:p w14:paraId="74614FDB">
      <w:pPr>
        <w:ind w:firstLine="640"/>
        <w:rPr>
          <w:rFonts w:hint="eastAsia"/>
        </w:rPr>
      </w:pPr>
      <w:r>
        <w:rPr>
          <w:rFonts w:hint="eastAsia"/>
        </w:rPr>
        <w:t>今年河北省体检指标体系共177项，其中必选63项，可选127项。廊坊市以《2024年河北省城市自体检指标体系（市级）》为基础，聚焦群众急难愁盼问题，结合廊坊市发展实际和城市管理需要，选取了必选指标63项，另外制定了可选指标5项，廊坊市特色指标1项，完整社区专项体检15项、燃气安全专项体检12项。</w:t>
      </w:r>
    </w:p>
    <w:p w14:paraId="54418B34">
      <w:pPr>
        <w:ind w:firstLine="640"/>
        <w:rPr>
          <w:rFonts w:hint="eastAsia"/>
        </w:rPr>
      </w:pPr>
      <w:r>
        <w:rPr>
          <w:rFonts w:hint="eastAsia"/>
        </w:rPr>
        <w:t>可选指标、特色指标的制定的原则主要考虑三个方面。一是底线安全。制定了城镇既有管道燃气用户安全装置加装率；二是结合廊坊市智慧化转型、实际居民需求。制定了城市重要管网检测监控覆盖率、重点城市设计覆盖率、完整社区覆盖率、社区便民服务设施覆盖率等指标；三是结合廊坊市特色工作。制定了市政管网智能化检测率、人均公园绿地面积等指标。</w:t>
      </w:r>
    </w:p>
    <w:p w14:paraId="71863376">
      <w:pPr>
        <w:ind w:firstLine="640"/>
        <w:rPr>
          <w:rFonts w:hint="eastAsia"/>
        </w:rPr>
      </w:pPr>
      <w:r>
        <w:rPr>
          <w:rFonts w:hint="eastAsia"/>
        </w:rPr>
        <w:t>专项体检选取的是“完整社区专项体检”“燃气安全专项体检”。按照省厅要求的指标学分制使用方法，自体检指标库基础学分101分，附加学分20分，满足基础学分≥90分，且附加学分≥10分的要求。</w:t>
      </w:r>
    </w:p>
    <w:p w14:paraId="44713372">
      <w:pPr>
        <w:pStyle w:val="48"/>
        <w:outlineLvl w:val="9"/>
        <w:rPr>
          <w:rFonts w:hint="eastAsia"/>
        </w:rPr>
      </w:pPr>
      <w:r>
        <w:rPr>
          <w:rFonts w:hint="eastAsia"/>
        </w:rPr>
        <w:t>2024年廊坊市城市体检指标表</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456"/>
        <w:gridCol w:w="526"/>
        <w:gridCol w:w="1050"/>
        <w:gridCol w:w="2238"/>
        <w:gridCol w:w="2253"/>
        <w:gridCol w:w="1288"/>
      </w:tblGrid>
      <w:tr w14:paraId="246B8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trPr>
        <w:tc>
          <w:tcPr>
            <w:tcW w:w="319" w:type="pct"/>
            <w:shd w:val="clear" w:color="auto" w:fill="auto"/>
            <w:vAlign w:val="center"/>
          </w:tcPr>
          <w:p w14:paraId="45CF86BD">
            <w:pPr>
              <w:pStyle w:val="41"/>
              <w:rPr>
                <w:rFonts w:hint="eastAsia" w:ascii="方正黑体_GBK" w:hAnsi="方正黑体_GBK" w:eastAsia="方正黑体_GBK" w:cs="方正黑体_GBK"/>
              </w:rPr>
            </w:pPr>
            <w:r>
              <w:rPr>
                <w:rFonts w:hint="eastAsia" w:ascii="方正黑体_GBK" w:hAnsi="方正黑体_GBK" w:eastAsia="方正黑体_GBK" w:cs="方正黑体_GBK"/>
              </w:rPr>
              <w:t>维度</w:t>
            </w:r>
          </w:p>
        </w:tc>
        <w:tc>
          <w:tcPr>
            <w:tcW w:w="196" w:type="pct"/>
            <w:shd w:val="clear" w:color="auto" w:fill="auto"/>
            <w:vAlign w:val="center"/>
          </w:tcPr>
          <w:p w14:paraId="4570D0D5">
            <w:pPr>
              <w:pStyle w:val="41"/>
              <w:rPr>
                <w:rFonts w:hint="eastAsia" w:ascii="方正黑体_GBK" w:hAnsi="方正黑体_GBK" w:eastAsia="方正黑体_GBK" w:cs="方正黑体_GBK"/>
              </w:rPr>
            </w:pPr>
            <w:r>
              <w:rPr>
                <w:rFonts w:hint="eastAsia" w:ascii="方正黑体_GBK" w:hAnsi="方正黑体_GBK" w:eastAsia="方正黑体_GBK" w:cs="方正黑体_GBK"/>
              </w:rPr>
              <w:t>二级维度</w:t>
            </w:r>
          </w:p>
        </w:tc>
        <w:tc>
          <w:tcPr>
            <w:tcW w:w="160" w:type="pct"/>
            <w:shd w:val="clear" w:color="auto" w:fill="auto"/>
            <w:vAlign w:val="center"/>
          </w:tcPr>
          <w:p w14:paraId="140862DC">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序号</w:t>
            </w:r>
          </w:p>
        </w:tc>
        <w:tc>
          <w:tcPr>
            <w:tcW w:w="849" w:type="pct"/>
            <w:shd w:val="clear" w:color="auto" w:fill="auto"/>
            <w:vAlign w:val="center"/>
          </w:tcPr>
          <w:p w14:paraId="20C53F7B">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w:t>
            </w:r>
          </w:p>
        </w:tc>
        <w:tc>
          <w:tcPr>
            <w:tcW w:w="902" w:type="pct"/>
            <w:shd w:val="clear" w:color="auto" w:fill="auto"/>
            <w:vAlign w:val="center"/>
          </w:tcPr>
          <w:p w14:paraId="4A2115F1">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分解指标</w:t>
            </w:r>
          </w:p>
        </w:tc>
        <w:tc>
          <w:tcPr>
            <w:tcW w:w="1220" w:type="pct"/>
            <w:shd w:val="clear" w:color="auto" w:fill="auto"/>
            <w:vAlign w:val="center"/>
          </w:tcPr>
          <w:p w14:paraId="7253AA98">
            <w:pPr>
              <w:pStyle w:val="41"/>
              <w:rPr>
                <w:rFonts w:hint="eastAsia" w:ascii="方正黑体_GBK" w:hAnsi="方正黑体_GBK" w:eastAsia="方正黑体_GBK" w:cs="方正黑体_GBK"/>
              </w:rPr>
            </w:pPr>
            <w:r>
              <w:rPr>
                <w:rFonts w:hint="eastAsia" w:ascii="方正黑体_GBK" w:hAnsi="方正黑体_GBK" w:eastAsia="方正黑体_GBK" w:cs="方正黑体_GBK"/>
              </w:rPr>
              <w:t>体检内容</w:t>
            </w:r>
          </w:p>
        </w:tc>
        <w:tc>
          <w:tcPr>
            <w:tcW w:w="1351" w:type="pct"/>
            <w:shd w:val="clear" w:color="auto" w:fill="auto"/>
            <w:vAlign w:val="center"/>
          </w:tcPr>
          <w:p w14:paraId="0EC4869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数据获取</w:t>
            </w:r>
          </w:p>
        </w:tc>
      </w:tr>
      <w:tr w14:paraId="49DC9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restart"/>
            <w:shd w:val="clear" w:color="auto" w:fill="auto"/>
            <w:vAlign w:val="center"/>
          </w:tcPr>
          <w:p w14:paraId="4CBC56B2">
            <w:pPr>
              <w:pStyle w:val="41"/>
              <w:rPr>
                <w:rFonts w:hint="eastAsia"/>
              </w:rPr>
            </w:pPr>
            <w:r>
              <w:rPr>
                <w:rFonts w:hint="eastAsia"/>
              </w:rPr>
              <w:t>住房</w:t>
            </w:r>
          </w:p>
        </w:tc>
        <w:tc>
          <w:tcPr>
            <w:tcW w:w="196" w:type="pct"/>
            <w:vMerge w:val="restart"/>
            <w:shd w:val="clear" w:color="auto" w:fill="auto"/>
            <w:vAlign w:val="center"/>
          </w:tcPr>
          <w:p w14:paraId="7056CCE4">
            <w:pPr>
              <w:pStyle w:val="41"/>
              <w:rPr>
                <w:rFonts w:hint="eastAsia"/>
              </w:rPr>
            </w:pPr>
            <w:r>
              <w:rPr>
                <w:rFonts w:hint="eastAsia"/>
              </w:rPr>
              <w:t>安全耐久</w:t>
            </w:r>
          </w:p>
        </w:tc>
        <w:tc>
          <w:tcPr>
            <w:tcW w:w="160" w:type="pct"/>
            <w:vMerge w:val="restart"/>
            <w:shd w:val="clear" w:color="auto" w:fill="auto"/>
            <w:vAlign w:val="center"/>
          </w:tcPr>
          <w:p w14:paraId="4CFF4C0D">
            <w:pPr>
              <w:pStyle w:val="41"/>
              <w:rPr>
                <w:rFonts w:hint="eastAsia"/>
              </w:rPr>
            </w:pPr>
            <w:r>
              <w:rPr>
                <w:rFonts w:hint="eastAsia"/>
              </w:rPr>
              <w:t>1</w:t>
            </w:r>
          </w:p>
        </w:tc>
        <w:tc>
          <w:tcPr>
            <w:tcW w:w="849" w:type="pct"/>
            <w:vMerge w:val="restart"/>
            <w:shd w:val="clear" w:color="auto" w:fill="auto"/>
            <w:vAlign w:val="center"/>
          </w:tcPr>
          <w:p w14:paraId="7915670F">
            <w:pPr>
              <w:pStyle w:val="41"/>
              <w:rPr>
                <w:rFonts w:hint="eastAsia"/>
              </w:rPr>
            </w:pPr>
            <w:r>
              <w:rPr>
                <w:rFonts w:hint="eastAsia"/>
              </w:rPr>
              <w:t>☆</w:t>
            </w:r>
            <w:r>
              <w:t>存在结构安全隐患的住宅数量（栋）</w:t>
            </w:r>
          </w:p>
        </w:tc>
        <w:tc>
          <w:tcPr>
            <w:tcW w:w="902" w:type="pct"/>
            <w:shd w:val="clear" w:color="auto" w:fill="auto"/>
            <w:vAlign w:val="center"/>
          </w:tcPr>
          <w:p w14:paraId="451FB092">
            <w:pPr>
              <w:pStyle w:val="41"/>
              <w:rPr>
                <w:rFonts w:hint="eastAsia"/>
              </w:rPr>
            </w:pPr>
            <w:r>
              <w:rPr>
                <w:rFonts w:hint="eastAsia"/>
              </w:rPr>
              <w:t>1.1承重墙体、楼板、结构梁开裂且裂缝较深、清晰可见的住宅数量。</w:t>
            </w:r>
          </w:p>
        </w:tc>
        <w:tc>
          <w:tcPr>
            <w:tcW w:w="1220" w:type="pct"/>
            <w:vMerge w:val="restart"/>
            <w:shd w:val="clear" w:color="auto" w:fill="auto"/>
            <w:vAlign w:val="center"/>
          </w:tcPr>
          <w:p w14:paraId="6BC5B045">
            <w:pPr>
              <w:pStyle w:val="41"/>
              <w:rPr>
                <w:rFonts w:hint="eastAsia"/>
              </w:rPr>
            </w:pPr>
            <w:r>
              <w:rPr>
                <w:rFonts w:hint="eastAsia"/>
              </w:rPr>
              <w:t>依托第一次全国自然灾害综合风险普查房屋建筑和市政设施调查数据成果，对住宅结构安全状况进行初步筛查，查找住宅的结构安全问题。</w:t>
            </w:r>
          </w:p>
        </w:tc>
        <w:tc>
          <w:tcPr>
            <w:tcW w:w="1351" w:type="pct"/>
            <w:vMerge w:val="restart"/>
            <w:shd w:val="clear" w:color="auto" w:fill="auto"/>
            <w:vAlign w:val="center"/>
          </w:tcPr>
          <w:p w14:paraId="1A08421A">
            <w:pPr>
              <w:pStyle w:val="41"/>
              <w:rPr>
                <w:rFonts w:hint="eastAsia"/>
              </w:rPr>
            </w:pPr>
            <w:r>
              <w:rPr>
                <w:rFonts w:hint="eastAsia"/>
              </w:rPr>
              <w:t>市住建局、小区物业、社区管理员现场调研填报、专业机构检测</w:t>
            </w:r>
          </w:p>
        </w:tc>
      </w:tr>
      <w:tr w14:paraId="38F91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F78A856">
            <w:pPr>
              <w:pStyle w:val="41"/>
              <w:rPr>
                <w:rFonts w:hint="eastAsia"/>
              </w:rPr>
            </w:pPr>
          </w:p>
        </w:tc>
        <w:tc>
          <w:tcPr>
            <w:tcW w:w="196" w:type="pct"/>
            <w:vMerge w:val="continue"/>
            <w:shd w:val="clear" w:color="auto" w:fill="auto"/>
            <w:vAlign w:val="center"/>
          </w:tcPr>
          <w:p w14:paraId="42DEBDBD">
            <w:pPr>
              <w:pStyle w:val="41"/>
              <w:rPr>
                <w:rFonts w:hint="eastAsia"/>
              </w:rPr>
            </w:pPr>
          </w:p>
        </w:tc>
        <w:tc>
          <w:tcPr>
            <w:tcW w:w="160" w:type="pct"/>
            <w:vMerge w:val="continue"/>
            <w:shd w:val="clear" w:color="auto" w:fill="auto"/>
            <w:vAlign w:val="center"/>
          </w:tcPr>
          <w:p w14:paraId="7621D4F9">
            <w:pPr>
              <w:pStyle w:val="41"/>
              <w:rPr>
                <w:rFonts w:hint="eastAsia"/>
              </w:rPr>
            </w:pPr>
          </w:p>
        </w:tc>
        <w:tc>
          <w:tcPr>
            <w:tcW w:w="849" w:type="pct"/>
            <w:vMerge w:val="continue"/>
            <w:shd w:val="clear" w:color="auto" w:fill="auto"/>
            <w:vAlign w:val="center"/>
          </w:tcPr>
          <w:p w14:paraId="0AF44215">
            <w:pPr>
              <w:pStyle w:val="41"/>
              <w:rPr>
                <w:rFonts w:hint="eastAsia"/>
              </w:rPr>
            </w:pPr>
          </w:p>
        </w:tc>
        <w:tc>
          <w:tcPr>
            <w:tcW w:w="902" w:type="pct"/>
            <w:shd w:val="clear" w:color="auto" w:fill="auto"/>
            <w:vAlign w:val="center"/>
          </w:tcPr>
          <w:p w14:paraId="5797C937">
            <w:pPr>
              <w:pStyle w:val="41"/>
              <w:rPr>
                <w:rFonts w:hint="eastAsia"/>
              </w:rPr>
            </w:pPr>
            <w:r>
              <w:rPr>
                <w:rFonts w:hint="eastAsia"/>
              </w:rPr>
              <w:t>1.2违规拆除结构承重构件的住宅数量</w:t>
            </w:r>
          </w:p>
        </w:tc>
        <w:tc>
          <w:tcPr>
            <w:tcW w:w="1220" w:type="pct"/>
            <w:vMerge w:val="continue"/>
            <w:shd w:val="clear" w:color="auto" w:fill="auto"/>
            <w:vAlign w:val="center"/>
          </w:tcPr>
          <w:p w14:paraId="750F158C">
            <w:pPr>
              <w:pStyle w:val="41"/>
              <w:rPr>
                <w:rFonts w:hint="eastAsia"/>
              </w:rPr>
            </w:pPr>
          </w:p>
        </w:tc>
        <w:tc>
          <w:tcPr>
            <w:tcW w:w="1351" w:type="pct"/>
            <w:vMerge w:val="continue"/>
            <w:shd w:val="clear" w:color="auto" w:fill="auto"/>
            <w:vAlign w:val="center"/>
          </w:tcPr>
          <w:p w14:paraId="5EBAA281">
            <w:pPr>
              <w:pStyle w:val="41"/>
              <w:rPr>
                <w:rFonts w:hint="eastAsia"/>
              </w:rPr>
            </w:pPr>
          </w:p>
        </w:tc>
      </w:tr>
      <w:tr w14:paraId="30C9A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72B57E7">
            <w:pPr>
              <w:pStyle w:val="41"/>
              <w:rPr>
                <w:rFonts w:hint="eastAsia"/>
              </w:rPr>
            </w:pPr>
          </w:p>
        </w:tc>
        <w:tc>
          <w:tcPr>
            <w:tcW w:w="196" w:type="pct"/>
            <w:vMerge w:val="continue"/>
            <w:shd w:val="clear" w:color="auto" w:fill="auto"/>
            <w:vAlign w:val="center"/>
          </w:tcPr>
          <w:p w14:paraId="64D8233D">
            <w:pPr>
              <w:pStyle w:val="41"/>
              <w:rPr>
                <w:rFonts w:hint="eastAsia"/>
              </w:rPr>
            </w:pPr>
          </w:p>
        </w:tc>
        <w:tc>
          <w:tcPr>
            <w:tcW w:w="160" w:type="pct"/>
            <w:vMerge w:val="continue"/>
            <w:shd w:val="clear" w:color="auto" w:fill="auto"/>
            <w:vAlign w:val="center"/>
          </w:tcPr>
          <w:p w14:paraId="52CCD1B2">
            <w:pPr>
              <w:pStyle w:val="41"/>
              <w:rPr>
                <w:rFonts w:hint="eastAsia"/>
              </w:rPr>
            </w:pPr>
          </w:p>
        </w:tc>
        <w:tc>
          <w:tcPr>
            <w:tcW w:w="849" w:type="pct"/>
            <w:vMerge w:val="continue"/>
            <w:shd w:val="clear" w:color="auto" w:fill="auto"/>
            <w:vAlign w:val="center"/>
          </w:tcPr>
          <w:p w14:paraId="16958125">
            <w:pPr>
              <w:pStyle w:val="41"/>
              <w:rPr>
                <w:rFonts w:hint="eastAsia"/>
              </w:rPr>
            </w:pPr>
          </w:p>
        </w:tc>
        <w:tc>
          <w:tcPr>
            <w:tcW w:w="902" w:type="pct"/>
            <w:shd w:val="clear" w:color="auto" w:fill="auto"/>
            <w:vAlign w:val="center"/>
          </w:tcPr>
          <w:p w14:paraId="00881601">
            <w:pPr>
              <w:pStyle w:val="41"/>
              <w:rPr>
                <w:rFonts w:hint="eastAsia"/>
              </w:rPr>
            </w:pPr>
            <w:r>
              <w:rPr>
                <w:rFonts w:hint="eastAsia"/>
              </w:rPr>
              <w:t>1.3砖混结构主体出现砖体缺棱掉角、存在裂缝、砂浆饱满度差，呈粉末状，砖与砖浆之间存在较大缝隙的住宅数量。</w:t>
            </w:r>
          </w:p>
        </w:tc>
        <w:tc>
          <w:tcPr>
            <w:tcW w:w="1220" w:type="pct"/>
            <w:vMerge w:val="continue"/>
            <w:shd w:val="clear" w:color="auto" w:fill="auto"/>
            <w:vAlign w:val="center"/>
          </w:tcPr>
          <w:p w14:paraId="7FC0C242">
            <w:pPr>
              <w:pStyle w:val="41"/>
              <w:rPr>
                <w:rFonts w:hint="eastAsia"/>
              </w:rPr>
            </w:pPr>
          </w:p>
        </w:tc>
        <w:tc>
          <w:tcPr>
            <w:tcW w:w="1351" w:type="pct"/>
            <w:vMerge w:val="continue"/>
            <w:shd w:val="clear" w:color="auto" w:fill="auto"/>
            <w:vAlign w:val="center"/>
          </w:tcPr>
          <w:p w14:paraId="20E94A07">
            <w:pPr>
              <w:pStyle w:val="41"/>
              <w:rPr>
                <w:rFonts w:hint="eastAsia"/>
              </w:rPr>
            </w:pPr>
          </w:p>
        </w:tc>
      </w:tr>
      <w:tr w14:paraId="3663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3A6DC7D">
            <w:pPr>
              <w:pStyle w:val="41"/>
              <w:rPr>
                <w:rFonts w:hint="eastAsia"/>
              </w:rPr>
            </w:pPr>
          </w:p>
        </w:tc>
        <w:tc>
          <w:tcPr>
            <w:tcW w:w="196" w:type="pct"/>
            <w:vMerge w:val="continue"/>
            <w:shd w:val="clear" w:color="auto" w:fill="auto"/>
            <w:vAlign w:val="center"/>
          </w:tcPr>
          <w:p w14:paraId="73656F1D">
            <w:pPr>
              <w:pStyle w:val="41"/>
              <w:rPr>
                <w:rFonts w:hint="eastAsia"/>
              </w:rPr>
            </w:pPr>
          </w:p>
        </w:tc>
        <w:tc>
          <w:tcPr>
            <w:tcW w:w="160" w:type="pct"/>
            <w:vMerge w:val="continue"/>
            <w:shd w:val="clear" w:color="auto" w:fill="auto"/>
            <w:vAlign w:val="center"/>
          </w:tcPr>
          <w:p w14:paraId="1564A539">
            <w:pPr>
              <w:pStyle w:val="41"/>
              <w:rPr>
                <w:rFonts w:hint="eastAsia"/>
              </w:rPr>
            </w:pPr>
          </w:p>
        </w:tc>
        <w:tc>
          <w:tcPr>
            <w:tcW w:w="849" w:type="pct"/>
            <w:vMerge w:val="continue"/>
            <w:shd w:val="clear" w:color="auto" w:fill="auto"/>
            <w:vAlign w:val="center"/>
          </w:tcPr>
          <w:p w14:paraId="51232E95">
            <w:pPr>
              <w:pStyle w:val="41"/>
              <w:rPr>
                <w:rFonts w:hint="eastAsia"/>
              </w:rPr>
            </w:pPr>
          </w:p>
        </w:tc>
        <w:tc>
          <w:tcPr>
            <w:tcW w:w="902" w:type="pct"/>
            <w:shd w:val="clear" w:color="auto" w:fill="auto"/>
            <w:vAlign w:val="center"/>
          </w:tcPr>
          <w:p w14:paraId="4DBEF0C8">
            <w:pPr>
              <w:pStyle w:val="41"/>
              <w:rPr>
                <w:rFonts w:hint="eastAsia"/>
              </w:rPr>
            </w:pPr>
            <w:r>
              <w:rPr>
                <w:rFonts w:hint="eastAsia"/>
              </w:rPr>
              <w:t>1.4违规拆除外窗窗下墙体加建阳台，违规加建悬挑飘窗的住宅数量。</w:t>
            </w:r>
          </w:p>
        </w:tc>
        <w:tc>
          <w:tcPr>
            <w:tcW w:w="1220" w:type="pct"/>
            <w:vMerge w:val="continue"/>
            <w:shd w:val="clear" w:color="auto" w:fill="auto"/>
            <w:vAlign w:val="center"/>
          </w:tcPr>
          <w:p w14:paraId="3127FCA7">
            <w:pPr>
              <w:pStyle w:val="41"/>
              <w:rPr>
                <w:rFonts w:hint="eastAsia"/>
              </w:rPr>
            </w:pPr>
          </w:p>
        </w:tc>
        <w:tc>
          <w:tcPr>
            <w:tcW w:w="1351" w:type="pct"/>
            <w:vMerge w:val="continue"/>
            <w:shd w:val="clear" w:color="auto" w:fill="auto"/>
            <w:vAlign w:val="center"/>
          </w:tcPr>
          <w:p w14:paraId="66145DE5">
            <w:pPr>
              <w:pStyle w:val="41"/>
              <w:rPr>
                <w:rFonts w:hint="eastAsia"/>
              </w:rPr>
            </w:pPr>
          </w:p>
        </w:tc>
      </w:tr>
      <w:tr w14:paraId="2FBD7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F551045">
            <w:pPr>
              <w:pStyle w:val="41"/>
              <w:rPr>
                <w:rFonts w:hint="eastAsia"/>
              </w:rPr>
            </w:pPr>
          </w:p>
        </w:tc>
        <w:tc>
          <w:tcPr>
            <w:tcW w:w="196" w:type="pct"/>
            <w:vMerge w:val="continue"/>
            <w:shd w:val="clear" w:color="auto" w:fill="auto"/>
            <w:vAlign w:val="center"/>
          </w:tcPr>
          <w:p w14:paraId="4D5DD299">
            <w:pPr>
              <w:pStyle w:val="41"/>
              <w:rPr>
                <w:rFonts w:hint="eastAsia"/>
              </w:rPr>
            </w:pPr>
          </w:p>
        </w:tc>
        <w:tc>
          <w:tcPr>
            <w:tcW w:w="160" w:type="pct"/>
            <w:vMerge w:val="restart"/>
            <w:shd w:val="clear" w:color="auto" w:fill="auto"/>
            <w:vAlign w:val="center"/>
          </w:tcPr>
          <w:p w14:paraId="236525E1">
            <w:pPr>
              <w:pStyle w:val="41"/>
              <w:rPr>
                <w:rFonts w:hint="eastAsia"/>
              </w:rPr>
            </w:pPr>
            <w:r>
              <w:rPr>
                <w:rFonts w:hint="eastAsia"/>
              </w:rPr>
              <w:t>2</w:t>
            </w:r>
          </w:p>
        </w:tc>
        <w:tc>
          <w:tcPr>
            <w:tcW w:w="849" w:type="pct"/>
            <w:vMerge w:val="restart"/>
            <w:shd w:val="clear" w:color="auto" w:fill="auto"/>
            <w:vAlign w:val="center"/>
          </w:tcPr>
          <w:p w14:paraId="7A6AEA99">
            <w:pPr>
              <w:pStyle w:val="41"/>
              <w:rPr>
                <w:rFonts w:hint="eastAsia"/>
              </w:rPr>
            </w:pPr>
            <w:r>
              <w:rPr>
                <w:rFonts w:hint="eastAsia"/>
              </w:rPr>
              <w:t>存在燃气安全隐患的住宅数量（栋）</w:t>
            </w:r>
          </w:p>
        </w:tc>
        <w:tc>
          <w:tcPr>
            <w:tcW w:w="902" w:type="pct"/>
            <w:shd w:val="clear" w:color="auto" w:fill="auto"/>
            <w:vAlign w:val="center"/>
          </w:tcPr>
          <w:p w14:paraId="72B6E2D2">
            <w:pPr>
              <w:pStyle w:val="41"/>
              <w:rPr>
                <w:rFonts w:hint="eastAsia"/>
              </w:rPr>
            </w:pPr>
            <w:r>
              <w:rPr>
                <w:rFonts w:hint="eastAsia"/>
              </w:rPr>
              <w:t>2.1住宅燃气立管、引入管、水平管运行年限满20年，且存在锈蚀严重、破损等安全隐患。</w:t>
            </w:r>
          </w:p>
        </w:tc>
        <w:tc>
          <w:tcPr>
            <w:tcW w:w="1220" w:type="pct"/>
            <w:vMerge w:val="restart"/>
            <w:shd w:val="clear" w:color="auto" w:fill="auto"/>
            <w:vAlign w:val="center"/>
          </w:tcPr>
          <w:p w14:paraId="6D287A36">
            <w:pPr>
              <w:pStyle w:val="41"/>
              <w:rPr>
                <w:rFonts w:hint="eastAsia"/>
              </w:rPr>
            </w:pPr>
            <w:r>
              <w:rPr>
                <w:rFonts w:hint="eastAsia"/>
              </w:rPr>
              <w:t>查找既有住宅中运行年限满20年，经评估存在安全隐患的立管（含引入管、水平平管），以及居民用户存在使用橡胶管、未安装安全装置等隐患问题。</w:t>
            </w:r>
          </w:p>
        </w:tc>
        <w:tc>
          <w:tcPr>
            <w:tcW w:w="1351" w:type="pct"/>
            <w:vMerge w:val="restart"/>
            <w:shd w:val="clear" w:color="auto" w:fill="auto"/>
            <w:vAlign w:val="center"/>
          </w:tcPr>
          <w:p w14:paraId="44E5676C">
            <w:pPr>
              <w:pStyle w:val="41"/>
              <w:rPr>
                <w:rFonts w:hint="eastAsia"/>
              </w:rPr>
            </w:pPr>
            <w:r>
              <w:rPr>
                <w:rFonts w:hint="eastAsia"/>
              </w:rPr>
              <w:t>市城管局、专业机构入户检测</w:t>
            </w:r>
          </w:p>
        </w:tc>
      </w:tr>
      <w:tr w14:paraId="51610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1F85021">
            <w:pPr>
              <w:pStyle w:val="41"/>
              <w:rPr>
                <w:rFonts w:hint="eastAsia"/>
              </w:rPr>
            </w:pPr>
          </w:p>
        </w:tc>
        <w:tc>
          <w:tcPr>
            <w:tcW w:w="196" w:type="pct"/>
            <w:vMerge w:val="continue"/>
            <w:shd w:val="clear" w:color="auto" w:fill="auto"/>
            <w:vAlign w:val="center"/>
          </w:tcPr>
          <w:p w14:paraId="7E26C01A">
            <w:pPr>
              <w:pStyle w:val="41"/>
              <w:rPr>
                <w:rFonts w:hint="eastAsia"/>
              </w:rPr>
            </w:pPr>
          </w:p>
        </w:tc>
        <w:tc>
          <w:tcPr>
            <w:tcW w:w="160" w:type="pct"/>
            <w:vMerge w:val="continue"/>
            <w:shd w:val="clear" w:color="auto" w:fill="auto"/>
            <w:vAlign w:val="center"/>
          </w:tcPr>
          <w:p w14:paraId="2FA4958A">
            <w:pPr>
              <w:pStyle w:val="41"/>
              <w:rPr>
                <w:rFonts w:hint="eastAsia"/>
              </w:rPr>
            </w:pPr>
          </w:p>
        </w:tc>
        <w:tc>
          <w:tcPr>
            <w:tcW w:w="849" w:type="pct"/>
            <w:vMerge w:val="continue"/>
            <w:shd w:val="clear" w:color="auto" w:fill="auto"/>
            <w:vAlign w:val="center"/>
          </w:tcPr>
          <w:p w14:paraId="58099EC8">
            <w:pPr>
              <w:pStyle w:val="41"/>
              <w:rPr>
                <w:rFonts w:hint="eastAsia"/>
              </w:rPr>
            </w:pPr>
          </w:p>
        </w:tc>
        <w:tc>
          <w:tcPr>
            <w:tcW w:w="902" w:type="pct"/>
            <w:shd w:val="clear" w:color="auto" w:fill="auto"/>
            <w:vAlign w:val="center"/>
          </w:tcPr>
          <w:p w14:paraId="041D3BB9">
            <w:pPr>
              <w:pStyle w:val="41"/>
              <w:rPr>
                <w:rFonts w:hint="eastAsia"/>
              </w:rPr>
            </w:pPr>
            <w:r>
              <w:rPr>
                <w:rFonts w:hint="eastAsia"/>
              </w:rPr>
              <w:t>2.2户内燃气橡胶软管存在变硬变脆、龟裂、明显缺损、油污严重等老化破损现象或使用不合格产品，一年内未经燃气公司查验，存在燃气泄漏风险。</w:t>
            </w:r>
          </w:p>
        </w:tc>
        <w:tc>
          <w:tcPr>
            <w:tcW w:w="1220" w:type="pct"/>
            <w:vMerge w:val="continue"/>
            <w:shd w:val="clear" w:color="auto" w:fill="auto"/>
            <w:vAlign w:val="center"/>
          </w:tcPr>
          <w:p w14:paraId="7088CC3F">
            <w:pPr>
              <w:pStyle w:val="41"/>
              <w:rPr>
                <w:rFonts w:hint="eastAsia"/>
              </w:rPr>
            </w:pPr>
          </w:p>
        </w:tc>
        <w:tc>
          <w:tcPr>
            <w:tcW w:w="1351" w:type="pct"/>
            <w:vMerge w:val="continue"/>
            <w:shd w:val="clear" w:color="auto" w:fill="auto"/>
            <w:vAlign w:val="center"/>
          </w:tcPr>
          <w:p w14:paraId="4B1074E3">
            <w:pPr>
              <w:pStyle w:val="41"/>
              <w:rPr>
                <w:rFonts w:hint="eastAsia"/>
              </w:rPr>
            </w:pPr>
          </w:p>
        </w:tc>
      </w:tr>
      <w:tr w14:paraId="6AE2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24EB440">
            <w:pPr>
              <w:pStyle w:val="41"/>
              <w:rPr>
                <w:rFonts w:hint="eastAsia"/>
              </w:rPr>
            </w:pPr>
          </w:p>
        </w:tc>
        <w:tc>
          <w:tcPr>
            <w:tcW w:w="196" w:type="pct"/>
            <w:vMerge w:val="continue"/>
            <w:shd w:val="clear" w:color="auto" w:fill="auto"/>
            <w:vAlign w:val="center"/>
          </w:tcPr>
          <w:p w14:paraId="7065C38E">
            <w:pPr>
              <w:pStyle w:val="41"/>
              <w:rPr>
                <w:rFonts w:hint="eastAsia"/>
              </w:rPr>
            </w:pPr>
          </w:p>
        </w:tc>
        <w:tc>
          <w:tcPr>
            <w:tcW w:w="160" w:type="pct"/>
            <w:vMerge w:val="continue"/>
            <w:shd w:val="clear" w:color="auto" w:fill="auto"/>
            <w:vAlign w:val="center"/>
          </w:tcPr>
          <w:p w14:paraId="0B0C034B">
            <w:pPr>
              <w:pStyle w:val="41"/>
              <w:rPr>
                <w:rFonts w:hint="eastAsia"/>
              </w:rPr>
            </w:pPr>
          </w:p>
        </w:tc>
        <w:tc>
          <w:tcPr>
            <w:tcW w:w="849" w:type="pct"/>
            <w:vMerge w:val="continue"/>
            <w:shd w:val="clear" w:color="auto" w:fill="auto"/>
            <w:vAlign w:val="center"/>
          </w:tcPr>
          <w:p w14:paraId="66E70C84">
            <w:pPr>
              <w:pStyle w:val="41"/>
              <w:rPr>
                <w:rFonts w:hint="eastAsia"/>
              </w:rPr>
            </w:pPr>
          </w:p>
        </w:tc>
        <w:tc>
          <w:tcPr>
            <w:tcW w:w="902" w:type="pct"/>
            <w:shd w:val="clear" w:color="auto" w:fill="auto"/>
            <w:vAlign w:val="center"/>
          </w:tcPr>
          <w:p w14:paraId="48D80D9A">
            <w:pPr>
              <w:pStyle w:val="41"/>
              <w:rPr>
                <w:rFonts w:hint="eastAsia"/>
              </w:rPr>
            </w:pPr>
            <w:r>
              <w:rPr>
                <w:rFonts w:hint="eastAsia"/>
              </w:rPr>
              <w:t>2.3住户私改私接燃气管道，燃气器具无熄火保护装置，未安装燃气自闭阀，未安装燃气报警器。</w:t>
            </w:r>
          </w:p>
        </w:tc>
        <w:tc>
          <w:tcPr>
            <w:tcW w:w="1220" w:type="pct"/>
            <w:vMerge w:val="continue"/>
            <w:shd w:val="clear" w:color="auto" w:fill="auto"/>
            <w:vAlign w:val="center"/>
          </w:tcPr>
          <w:p w14:paraId="238EAB22">
            <w:pPr>
              <w:pStyle w:val="41"/>
              <w:rPr>
                <w:rFonts w:hint="eastAsia"/>
              </w:rPr>
            </w:pPr>
          </w:p>
        </w:tc>
        <w:tc>
          <w:tcPr>
            <w:tcW w:w="1351" w:type="pct"/>
            <w:vMerge w:val="continue"/>
            <w:shd w:val="clear" w:color="auto" w:fill="auto"/>
            <w:vAlign w:val="center"/>
          </w:tcPr>
          <w:p w14:paraId="3347F731">
            <w:pPr>
              <w:pStyle w:val="41"/>
              <w:rPr>
                <w:rFonts w:hint="eastAsia"/>
              </w:rPr>
            </w:pPr>
          </w:p>
        </w:tc>
      </w:tr>
      <w:tr w14:paraId="689A2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D38B14A">
            <w:pPr>
              <w:pStyle w:val="41"/>
              <w:rPr>
                <w:rFonts w:hint="eastAsia"/>
              </w:rPr>
            </w:pPr>
          </w:p>
        </w:tc>
        <w:tc>
          <w:tcPr>
            <w:tcW w:w="196" w:type="pct"/>
            <w:vMerge w:val="continue"/>
            <w:shd w:val="clear" w:color="auto" w:fill="auto"/>
            <w:vAlign w:val="center"/>
          </w:tcPr>
          <w:p w14:paraId="22F62359">
            <w:pPr>
              <w:pStyle w:val="41"/>
              <w:rPr>
                <w:rFonts w:hint="eastAsia"/>
              </w:rPr>
            </w:pPr>
          </w:p>
        </w:tc>
        <w:tc>
          <w:tcPr>
            <w:tcW w:w="160" w:type="pct"/>
            <w:vMerge w:val="restart"/>
            <w:shd w:val="clear" w:color="auto" w:fill="auto"/>
            <w:vAlign w:val="center"/>
          </w:tcPr>
          <w:p w14:paraId="57B6E167">
            <w:pPr>
              <w:pStyle w:val="41"/>
              <w:rPr>
                <w:rFonts w:hint="eastAsia"/>
              </w:rPr>
            </w:pPr>
            <w:r>
              <w:rPr>
                <w:rFonts w:hint="eastAsia"/>
              </w:rPr>
              <w:t>3</w:t>
            </w:r>
          </w:p>
        </w:tc>
        <w:tc>
          <w:tcPr>
            <w:tcW w:w="849" w:type="pct"/>
            <w:vMerge w:val="restart"/>
            <w:shd w:val="clear" w:color="auto" w:fill="auto"/>
            <w:vAlign w:val="center"/>
          </w:tcPr>
          <w:p w14:paraId="1DF1FE9E">
            <w:pPr>
              <w:pStyle w:val="41"/>
              <w:rPr>
                <w:rFonts w:hint="eastAsia"/>
              </w:rPr>
            </w:pPr>
            <w:r>
              <w:rPr>
                <w:rFonts w:hint="eastAsia"/>
              </w:rPr>
              <w:t>存在楼道安全隐患的住宅数量（栋）</w:t>
            </w:r>
          </w:p>
        </w:tc>
        <w:tc>
          <w:tcPr>
            <w:tcW w:w="902" w:type="pct"/>
            <w:shd w:val="clear" w:color="auto" w:fill="auto"/>
            <w:vAlign w:val="center"/>
          </w:tcPr>
          <w:p w14:paraId="67C1B0D6">
            <w:pPr>
              <w:pStyle w:val="41"/>
              <w:rPr>
                <w:rFonts w:hint="eastAsia"/>
              </w:rPr>
            </w:pPr>
            <w:r>
              <w:rPr>
                <w:rFonts w:hint="eastAsia"/>
              </w:rPr>
              <w:t>3.1楼梯踏步缺损、楼梯扶手松动损坏、照明损坏缺失、安全护栏松动损坏或缺失的住宅数量</w:t>
            </w:r>
          </w:p>
        </w:tc>
        <w:tc>
          <w:tcPr>
            <w:tcW w:w="1220" w:type="pct"/>
            <w:vMerge w:val="restart"/>
            <w:shd w:val="clear" w:color="auto" w:fill="auto"/>
            <w:vAlign w:val="center"/>
          </w:tcPr>
          <w:p w14:paraId="0CA9FFDA">
            <w:pPr>
              <w:pStyle w:val="41"/>
              <w:rPr>
                <w:rFonts w:hint="eastAsia"/>
              </w:rPr>
            </w:pPr>
            <w:r>
              <w:rPr>
                <w:rFonts w:hint="eastAsia"/>
              </w:rPr>
              <w:t>查找既有住宅中楼梯踏步、扶手、照明、安全护栏等设施损坏，通风井道堵塞、排风烟道堵塞或倒风串味，防火门损坏或无法关闭、高层消火栓缺失或无水、灭火器缺失、安全出口或消防疏散指示灯损坏，以及占用疏散楼梯、楼道、管道井堆放杂物，公共楼道停放自行车、电动自行车以及违规充电等问题。</w:t>
            </w:r>
          </w:p>
        </w:tc>
        <w:tc>
          <w:tcPr>
            <w:tcW w:w="1351" w:type="pct"/>
            <w:vMerge w:val="restart"/>
            <w:shd w:val="clear" w:color="auto" w:fill="auto"/>
            <w:vAlign w:val="center"/>
          </w:tcPr>
          <w:p w14:paraId="70C8F634">
            <w:pPr>
              <w:pStyle w:val="41"/>
              <w:rPr>
                <w:rFonts w:hint="eastAsia"/>
              </w:rPr>
            </w:pPr>
            <w:r>
              <w:rPr>
                <w:rFonts w:hint="eastAsia"/>
              </w:rPr>
              <w:t>市住建局、小区物业、社区管理员现场调研填报、专业机构检测</w:t>
            </w:r>
          </w:p>
        </w:tc>
      </w:tr>
      <w:tr w14:paraId="039F27BD">
        <w:tblPrEx>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D218FB9">
            <w:pPr>
              <w:pStyle w:val="41"/>
              <w:rPr>
                <w:rFonts w:hint="eastAsia"/>
              </w:rPr>
            </w:pPr>
          </w:p>
        </w:tc>
        <w:tc>
          <w:tcPr>
            <w:tcW w:w="196" w:type="pct"/>
            <w:vMerge w:val="continue"/>
            <w:shd w:val="clear" w:color="auto" w:fill="auto"/>
            <w:vAlign w:val="center"/>
          </w:tcPr>
          <w:p w14:paraId="0B9394CF">
            <w:pPr>
              <w:pStyle w:val="41"/>
              <w:rPr>
                <w:rFonts w:hint="eastAsia"/>
              </w:rPr>
            </w:pPr>
          </w:p>
        </w:tc>
        <w:tc>
          <w:tcPr>
            <w:tcW w:w="160" w:type="pct"/>
            <w:vMerge w:val="continue"/>
            <w:shd w:val="clear" w:color="auto" w:fill="auto"/>
            <w:vAlign w:val="center"/>
          </w:tcPr>
          <w:p w14:paraId="37C0928E">
            <w:pPr>
              <w:pStyle w:val="41"/>
              <w:rPr>
                <w:rFonts w:hint="eastAsia"/>
              </w:rPr>
            </w:pPr>
          </w:p>
        </w:tc>
        <w:tc>
          <w:tcPr>
            <w:tcW w:w="849" w:type="pct"/>
            <w:vMerge w:val="continue"/>
            <w:shd w:val="clear" w:color="auto" w:fill="auto"/>
            <w:vAlign w:val="center"/>
          </w:tcPr>
          <w:p w14:paraId="71C324C1">
            <w:pPr>
              <w:pStyle w:val="41"/>
              <w:rPr>
                <w:rFonts w:hint="eastAsia"/>
              </w:rPr>
            </w:pPr>
          </w:p>
        </w:tc>
        <w:tc>
          <w:tcPr>
            <w:tcW w:w="902" w:type="pct"/>
            <w:shd w:val="clear" w:color="auto" w:fill="auto"/>
            <w:vAlign w:val="center"/>
          </w:tcPr>
          <w:p w14:paraId="6665F1C7">
            <w:pPr>
              <w:pStyle w:val="41"/>
              <w:rPr>
                <w:rFonts w:hint="eastAsia"/>
              </w:rPr>
            </w:pPr>
            <w:r>
              <w:rPr>
                <w:rFonts w:hint="eastAsia"/>
              </w:rPr>
              <w:t>3.2通风井道、排风烟道等堵塞，造成通风不畅、异味串味的住宅数量</w:t>
            </w:r>
          </w:p>
        </w:tc>
        <w:tc>
          <w:tcPr>
            <w:tcW w:w="1220" w:type="pct"/>
            <w:vMerge w:val="continue"/>
            <w:shd w:val="clear" w:color="auto" w:fill="auto"/>
            <w:vAlign w:val="center"/>
          </w:tcPr>
          <w:p w14:paraId="6FF94E42">
            <w:pPr>
              <w:pStyle w:val="41"/>
              <w:rPr>
                <w:rFonts w:hint="eastAsia"/>
              </w:rPr>
            </w:pPr>
          </w:p>
        </w:tc>
        <w:tc>
          <w:tcPr>
            <w:tcW w:w="1351" w:type="pct"/>
            <w:vMerge w:val="continue"/>
            <w:shd w:val="clear" w:color="auto" w:fill="auto"/>
            <w:vAlign w:val="center"/>
          </w:tcPr>
          <w:p w14:paraId="4A3C3A8E">
            <w:pPr>
              <w:pStyle w:val="41"/>
              <w:rPr>
                <w:rFonts w:hint="eastAsia"/>
              </w:rPr>
            </w:pPr>
          </w:p>
        </w:tc>
      </w:tr>
      <w:tr w14:paraId="26A1A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BC44273">
            <w:pPr>
              <w:pStyle w:val="41"/>
              <w:rPr>
                <w:rFonts w:hint="eastAsia"/>
              </w:rPr>
            </w:pPr>
          </w:p>
        </w:tc>
        <w:tc>
          <w:tcPr>
            <w:tcW w:w="196" w:type="pct"/>
            <w:vMerge w:val="continue"/>
            <w:shd w:val="clear" w:color="auto" w:fill="auto"/>
            <w:vAlign w:val="center"/>
          </w:tcPr>
          <w:p w14:paraId="0335DF84">
            <w:pPr>
              <w:pStyle w:val="41"/>
              <w:rPr>
                <w:rFonts w:hint="eastAsia"/>
              </w:rPr>
            </w:pPr>
          </w:p>
        </w:tc>
        <w:tc>
          <w:tcPr>
            <w:tcW w:w="160" w:type="pct"/>
            <w:vMerge w:val="continue"/>
            <w:shd w:val="clear" w:color="auto" w:fill="auto"/>
            <w:vAlign w:val="center"/>
          </w:tcPr>
          <w:p w14:paraId="44CC8519">
            <w:pPr>
              <w:pStyle w:val="41"/>
              <w:rPr>
                <w:rFonts w:hint="eastAsia"/>
              </w:rPr>
            </w:pPr>
          </w:p>
        </w:tc>
        <w:tc>
          <w:tcPr>
            <w:tcW w:w="849" w:type="pct"/>
            <w:vMerge w:val="continue"/>
            <w:shd w:val="clear" w:color="auto" w:fill="auto"/>
            <w:vAlign w:val="center"/>
          </w:tcPr>
          <w:p w14:paraId="751AE81F">
            <w:pPr>
              <w:pStyle w:val="41"/>
              <w:rPr>
                <w:rFonts w:hint="eastAsia"/>
              </w:rPr>
            </w:pPr>
          </w:p>
        </w:tc>
        <w:tc>
          <w:tcPr>
            <w:tcW w:w="902" w:type="pct"/>
            <w:shd w:val="clear" w:color="auto" w:fill="auto"/>
            <w:vAlign w:val="center"/>
          </w:tcPr>
          <w:p w14:paraId="2447EE84">
            <w:pPr>
              <w:pStyle w:val="41"/>
              <w:rPr>
                <w:rFonts w:hint="eastAsia"/>
              </w:rPr>
            </w:pPr>
            <w:r>
              <w:rPr>
                <w:rFonts w:hint="eastAsia"/>
              </w:rPr>
              <w:t>3.3防火门缺失、损坏、无法关闭的住宅数量</w:t>
            </w:r>
          </w:p>
        </w:tc>
        <w:tc>
          <w:tcPr>
            <w:tcW w:w="1220" w:type="pct"/>
            <w:vMerge w:val="continue"/>
            <w:shd w:val="clear" w:color="auto" w:fill="auto"/>
            <w:vAlign w:val="center"/>
          </w:tcPr>
          <w:p w14:paraId="7695FE2A">
            <w:pPr>
              <w:pStyle w:val="41"/>
              <w:rPr>
                <w:rFonts w:hint="eastAsia"/>
              </w:rPr>
            </w:pPr>
          </w:p>
        </w:tc>
        <w:tc>
          <w:tcPr>
            <w:tcW w:w="1351" w:type="pct"/>
            <w:vMerge w:val="continue"/>
            <w:shd w:val="clear" w:color="auto" w:fill="auto"/>
            <w:vAlign w:val="center"/>
          </w:tcPr>
          <w:p w14:paraId="734484A5">
            <w:pPr>
              <w:pStyle w:val="41"/>
              <w:rPr>
                <w:rFonts w:hint="eastAsia"/>
              </w:rPr>
            </w:pPr>
          </w:p>
        </w:tc>
      </w:tr>
      <w:tr w14:paraId="22C78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210254C">
            <w:pPr>
              <w:pStyle w:val="41"/>
              <w:rPr>
                <w:rFonts w:hint="eastAsia"/>
              </w:rPr>
            </w:pPr>
          </w:p>
        </w:tc>
        <w:tc>
          <w:tcPr>
            <w:tcW w:w="196" w:type="pct"/>
            <w:vMerge w:val="continue"/>
            <w:shd w:val="clear" w:color="auto" w:fill="auto"/>
            <w:vAlign w:val="center"/>
          </w:tcPr>
          <w:p w14:paraId="6073901A">
            <w:pPr>
              <w:pStyle w:val="41"/>
              <w:rPr>
                <w:rFonts w:hint="eastAsia"/>
              </w:rPr>
            </w:pPr>
          </w:p>
        </w:tc>
        <w:tc>
          <w:tcPr>
            <w:tcW w:w="160" w:type="pct"/>
            <w:vMerge w:val="continue"/>
            <w:shd w:val="clear" w:color="auto" w:fill="auto"/>
            <w:vAlign w:val="center"/>
          </w:tcPr>
          <w:p w14:paraId="4C6C17D3">
            <w:pPr>
              <w:pStyle w:val="41"/>
              <w:rPr>
                <w:rFonts w:hint="eastAsia"/>
              </w:rPr>
            </w:pPr>
          </w:p>
        </w:tc>
        <w:tc>
          <w:tcPr>
            <w:tcW w:w="849" w:type="pct"/>
            <w:vMerge w:val="continue"/>
            <w:shd w:val="clear" w:color="auto" w:fill="auto"/>
            <w:vAlign w:val="center"/>
          </w:tcPr>
          <w:p w14:paraId="69DAE672">
            <w:pPr>
              <w:pStyle w:val="41"/>
              <w:rPr>
                <w:rFonts w:hint="eastAsia"/>
              </w:rPr>
            </w:pPr>
          </w:p>
        </w:tc>
        <w:tc>
          <w:tcPr>
            <w:tcW w:w="902" w:type="pct"/>
            <w:shd w:val="clear" w:color="auto" w:fill="auto"/>
            <w:vAlign w:val="center"/>
          </w:tcPr>
          <w:p w14:paraId="0DC799BB">
            <w:pPr>
              <w:pStyle w:val="41"/>
              <w:rPr>
                <w:rFonts w:hint="eastAsia"/>
              </w:rPr>
            </w:pPr>
            <w:r>
              <w:rPr>
                <w:rFonts w:hint="eastAsia"/>
              </w:rPr>
              <w:t>3.4消火栓无日常维护、老化损坏的住宅数量</w:t>
            </w:r>
          </w:p>
        </w:tc>
        <w:tc>
          <w:tcPr>
            <w:tcW w:w="1220" w:type="pct"/>
            <w:vMerge w:val="continue"/>
            <w:shd w:val="clear" w:color="auto" w:fill="auto"/>
            <w:vAlign w:val="center"/>
          </w:tcPr>
          <w:p w14:paraId="3D614724">
            <w:pPr>
              <w:pStyle w:val="41"/>
              <w:rPr>
                <w:rFonts w:hint="eastAsia"/>
              </w:rPr>
            </w:pPr>
          </w:p>
        </w:tc>
        <w:tc>
          <w:tcPr>
            <w:tcW w:w="1351" w:type="pct"/>
            <w:vMerge w:val="continue"/>
            <w:shd w:val="clear" w:color="auto" w:fill="auto"/>
            <w:vAlign w:val="center"/>
          </w:tcPr>
          <w:p w14:paraId="57F3105C">
            <w:pPr>
              <w:pStyle w:val="41"/>
              <w:rPr>
                <w:rFonts w:hint="eastAsia"/>
              </w:rPr>
            </w:pPr>
          </w:p>
        </w:tc>
      </w:tr>
      <w:tr w14:paraId="1826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AF667FB">
            <w:pPr>
              <w:pStyle w:val="41"/>
              <w:rPr>
                <w:rFonts w:hint="eastAsia"/>
              </w:rPr>
            </w:pPr>
          </w:p>
        </w:tc>
        <w:tc>
          <w:tcPr>
            <w:tcW w:w="196" w:type="pct"/>
            <w:vMerge w:val="continue"/>
            <w:shd w:val="clear" w:color="auto" w:fill="auto"/>
            <w:vAlign w:val="center"/>
          </w:tcPr>
          <w:p w14:paraId="39FFF6A1">
            <w:pPr>
              <w:pStyle w:val="41"/>
              <w:rPr>
                <w:rFonts w:hint="eastAsia"/>
              </w:rPr>
            </w:pPr>
          </w:p>
        </w:tc>
        <w:tc>
          <w:tcPr>
            <w:tcW w:w="160" w:type="pct"/>
            <w:vMerge w:val="continue"/>
            <w:shd w:val="clear" w:color="auto" w:fill="auto"/>
            <w:vAlign w:val="center"/>
          </w:tcPr>
          <w:p w14:paraId="2BA54E4A">
            <w:pPr>
              <w:pStyle w:val="41"/>
              <w:rPr>
                <w:rFonts w:hint="eastAsia"/>
              </w:rPr>
            </w:pPr>
          </w:p>
        </w:tc>
        <w:tc>
          <w:tcPr>
            <w:tcW w:w="849" w:type="pct"/>
            <w:vMerge w:val="continue"/>
            <w:shd w:val="clear" w:color="auto" w:fill="auto"/>
            <w:vAlign w:val="center"/>
          </w:tcPr>
          <w:p w14:paraId="7FB93183">
            <w:pPr>
              <w:pStyle w:val="41"/>
              <w:rPr>
                <w:rFonts w:hint="eastAsia"/>
              </w:rPr>
            </w:pPr>
          </w:p>
        </w:tc>
        <w:tc>
          <w:tcPr>
            <w:tcW w:w="902" w:type="pct"/>
            <w:shd w:val="clear" w:color="auto" w:fill="auto"/>
            <w:vAlign w:val="center"/>
          </w:tcPr>
          <w:p w14:paraId="7EAD7D79">
            <w:pPr>
              <w:pStyle w:val="41"/>
              <w:rPr>
                <w:rFonts w:hint="eastAsia"/>
              </w:rPr>
            </w:pPr>
            <w:r>
              <w:rPr>
                <w:rFonts w:hint="eastAsia"/>
              </w:rPr>
              <w:t>3.5灭火器缺失、未设置灭火器保护设施的住宅数量</w:t>
            </w:r>
          </w:p>
        </w:tc>
        <w:tc>
          <w:tcPr>
            <w:tcW w:w="1220" w:type="pct"/>
            <w:vMerge w:val="continue"/>
            <w:shd w:val="clear" w:color="auto" w:fill="auto"/>
            <w:vAlign w:val="center"/>
          </w:tcPr>
          <w:p w14:paraId="60B39A25">
            <w:pPr>
              <w:pStyle w:val="41"/>
              <w:rPr>
                <w:rFonts w:hint="eastAsia"/>
              </w:rPr>
            </w:pPr>
          </w:p>
        </w:tc>
        <w:tc>
          <w:tcPr>
            <w:tcW w:w="1351" w:type="pct"/>
            <w:vMerge w:val="continue"/>
            <w:shd w:val="clear" w:color="auto" w:fill="auto"/>
            <w:vAlign w:val="center"/>
          </w:tcPr>
          <w:p w14:paraId="652D5BC6">
            <w:pPr>
              <w:pStyle w:val="41"/>
              <w:rPr>
                <w:rFonts w:hint="eastAsia"/>
              </w:rPr>
            </w:pPr>
          </w:p>
        </w:tc>
      </w:tr>
      <w:tr w14:paraId="26B09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F170DD9">
            <w:pPr>
              <w:pStyle w:val="41"/>
              <w:rPr>
                <w:rFonts w:hint="eastAsia"/>
              </w:rPr>
            </w:pPr>
          </w:p>
        </w:tc>
        <w:tc>
          <w:tcPr>
            <w:tcW w:w="196" w:type="pct"/>
            <w:vMerge w:val="continue"/>
            <w:shd w:val="clear" w:color="auto" w:fill="auto"/>
            <w:vAlign w:val="center"/>
          </w:tcPr>
          <w:p w14:paraId="527AFC2C">
            <w:pPr>
              <w:pStyle w:val="41"/>
              <w:rPr>
                <w:rFonts w:hint="eastAsia"/>
              </w:rPr>
            </w:pPr>
          </w:p>
        </w:tc>
        <w:tc>
          <w:tcPr>
            <w:tcW w:w="160" w:type="pct"/>
            <w:vMerge w:val="continue"/>
            <w:shd w:val="clear" w:color="auto" w:fill="auto"/>
            <w:vAlign w:val="center"/>
          </w:tcPr>
          <w:p w14:paraId="5329029E">
            <w:pPr>
              <w:pStyle w:val="41"/>
              <w:rPr>
                <w:rFonts w:hint="eastAsia"/>
              </w:rPr>
            </w:pPr>
          </w:p>
        </w:tc>
        <w:tc>
          <w:tcPr>
            <w:tcW w:w="849" w:type="pct"/>
            <w:vMerge w:val="continue"/>
            <w:shd w:val="clear" w:color="auto" w:fill="auto"/>
            <w:vAlign w:val="center"/>
          </w:tcPr>
          <w:p w14:paraId="6756510C">
            <w:pPr>
              <w:pStyle w:val="41"/>
              <w:rPr>
                <w:rFonts w:hint="eastAsia"/>
              </w:rPr>
            </w:pPr>
          </w:p>
        </w:tc>
        <w:tc>
          <w:tcPr>
            <w:tcW w:w="902" w:type="pct"/>
            <w:shd w:val="clear" w:color="auto" w:fill="auto"/>
            <w:vAlign w:val="center"/>
          </w:tcPr>
          <w:p w14:paraId="7570178B">
            <w:pPr>
              <w:pStyle w:val="41"/>
              <w:rPr>
                <w:rFonts w:hint="eastAsia"/>
              </w:rPr>
            </w:pPr>
            <w:r>
              <w:rPr>
                <w:rFonts w:hint="eastAsia"/>
              </w:rPr>
              <w:t>3.6消防安全出口指示灯损坏或者缺失的住宅数量</w:t>
            </w:r>
          </w:p>
        </w:tc>
        <w:tc>
          <w:tcPr>
            <w:tcW w:w="1220" w:type="pct"/>
            <w:vMerge w:val="continue"/>
            <w:shd w:val="clear" w:color="auto" w:fill="auto"/>
            <w:vAlign w:val="center"/>
          </w:tcPr>
          <w:p w14:paraId="684415B2">
            <w:pPr>
              <w:pStyle w:val="41"/>
              <w:rPr>
                <w:rFonts w:hint="eastAsia"/>
              </w:rPr>
            </w:pPr>
          </w:p>
        </w:tc>
        <w:tc>
          <w:tcPr>
            <w:tcW w:w="1351" w:type="pct"/>
            <w:vMerge w:val="continue"/>
            <w:shd w:val="clear" w:color="auto" w:fill="auto"/>
            <w:vAlign w:val="center"/>
          </w:tcPr>
          <w:p w14:paraId="17014494">
            <w:pPr>
              <w:pStyle w:val="41"/>
              <w:rPr>
                <w:rFonts w:hint="eastAsia"/>
              </w:rPr>
            </w:pPr>
          </w:p>
        </w:tc>
      </w:tr>
      <w:tr w14:paraId="7E901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319" w:type="pct"/>
            <w:vMerge w:val="continue"/>
            <w:shd w:val="clear" w:color="auto" w:fill="auto"/>
            <w:vAlign w:val="center"/>
          </w:tcPr>
          <w:p w14:paraId="60DE4BBC">
            <w:pPr>
              <w:pStyle w:val="41"/>
              <w:rPr>
                <w:rFonts w:hint="eastAsia"/>
              </w:rPr>
            </w:pPr>
          </w:p>
        </w:tc>
        <w:tc>
          <w:tcPr>
            <w:tcW w:w="196" w:type="pct"/>
            <w:vMerge w:val="continue"/>
            <w:shd w:val="clear" w:color="auto" w:fill="auto"/>
            <w:vAlign w:val="center"/>
          </w:tcPr>
          <w:p w14:paraId="4B0C57CB">
            <w:pPr>
              <w:pStyle w:val="41"/>
              <w:rPr>
                <w:rFonts w:hint="eastAsia"/>
              </w:rPr>
            </w:pPr>
          </w:p>
        </w:tc>
        <w:tc>
          <w:tcPr>
            <w:tcW w:w="160" w:type="pct"/>
            <w:vMerge w:val="continue"/>
            <w:shd w:val="clear" w:color="auto" w:fill="auto"/>
            <w:vAlign w:val="center"/>
          </w:tcPr>
          <w:p w14:paraId="3390E130">
            <w:pPr>
              <w:pStyle w:val="41"/>
              <w:rPr>
                <w:rFonts w:hint="eastAsia"/>
              </w:rPr>
            </w:pPr>
          </w:p>
        </w:tc>
        <w:tc>
          <w:tcPr>
            <w:tcW w:w="849" w:type="pct"/>
            <w:vMerge w:val="continue"/>
            <w:shd w:val="clear" w:color="auto" w:fill="auto"/>
            <w:vAlign w:val="center"/>
          </w:tcPr>
          <w:p w14:paraId="581BAB21">
            <w:pPr>
              <w:pStyle w:val="41"/>
              <w:rPr>
                <w:rFonts w:hint="eastAsia"/>
              </w:rPr>
            </w:pPr>
          </w:p>
        </w:tc>
        <w:tc>
          <w:tcPr>
            <w:tcW w:w="902" w:type="pct"/>
            <w:shd w:val="clear" w:color="auto" w:fill="auto"/>
            <w:vAlign w:val="center"/>
          </w:tcPr>
          <w:p w14:paraId="3880EFC6">
            <w:pPr>
              <w:pStyle w:val="41"/>
              <w:rPr>
                <w:rFonts w:hint="eastAsia"/>
              </w:rPr>
            </w:pPr>
            <w:r>
              <w:rPr>
                <w:rFonts w:hint="eastAsia"/>
              </w:rPr>
              <w:t>3.7住户占用疏散楼梯、楼道、管道井等公共空间，用于堆放杂物的住宅数量</w:t>
            </w:r>
          </w:p>
        </w:tc>
        <w:tc>
          <w:tcPr>
            <w:tcW w:w="1220" w:type="pct"/>
            <w:vMerge w:val="continue"/>
            <w:shd w:val="clear" w:color="auto" w:fill="auto"/>
            <w:vAlign w:val="center"/>
          </w:tcPr>
          <w:p w14:paraId="457B5027">
            <w:pPr>
              <w:pStyle w:val="41"/>
              <w:rPr>
                <w:rFonts w:hint="eastAsia"/>
              </w:rPr>
            </w:pPr>
          </w:p>
        </w:tc>
        <w:tc>
          <w:tcPr>
            <w:tcW w:w="1351" w:type="pct"/>
            <w:vMerge w:val="continue"/>
            <w:shd w:val="clear" w:color="auto" w:fill="auto"/>
            <w:vAlign w:val="center"/>
          </w:tcPr>
          <w:p w14:paraId="26BEBE1D">
            <w:pPr>
              <w:pStyle w:val="41"/>
              <w:rPr>
                <w:rFonts w:hint="eastAsia"/>
              </w:rPr>
            </w:pPr>
          </w:p>
        </w:tc>
      </w:tr>
      <w:tr w14:paraId="27809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A06D820">
            <w:pPr>
              <w:pStyle w:val="41"/>
              <w:rPr>
                <w:rFonts w:hint="eastAsia"/>
              </w:rPr>
            </w:pPr>
          </w:p>
        </w:tc>
        <w:tc>
          <w:tcPr>
            <w:tcW w:w="196" w:type="pct"/>
            <w:vMerge w:val="continue"/>
            <w:shd w:val="clear" w:color="auto" w:fill="auto"/>
            <w:vAlign w:val="center"/>
          </w:tcPr>
          <w:p w14:paraId="739E4B2B">
            <w:pPr>
              <w:pStyle w:val="41"/>
              <w:rPr>
                <w:rFonts w:hint="eastAsia"/>
              </w:rPr>
            </w:pPr>
          </w:p>
        </w:tc>
        <w:tc>
          <w:tcPr>
            <w:tcW w:w="160" w:type="pct"/>
            <w:vMerge w:val="restart"/>
            <w:shd w:val="clear" w:color="auto" w:fill="auto"/>
            <w:vAlign w:val="center"/>
          </w:tcPr>
          <w:p w14:paraId="1AB6A117">
            <w:pPr>
              <w:pStyle w:val="41"/>
              <w:rPr>
                <w:rFonts w:hint="eastAsia"/>
              </w:rPr>
            </w:pPr>
            <w:r>
              <w:rPr>
                <w:rFonts w:hint="eastAsia"/>
              </w:rPr>
              <w:t>4</w:t>
            </w:r>
          </w:p>
        </w:tc>
        <w:tc>
          <w:tcPr>
            <w:tcW w:w="849" w:type="pct"/>
            <w:vMerge w:val="restart"/>
            <w:shd w:val="clear" w:color="auto" w:fill="auto"/>
            <w:vAlign w:val="center"/>
          </w:tcPr>
          <w:p w14:paraId="6B4EBB8E">
            <w:pPr>
              <w:pStyle w:val="41"/>
              <w:rPr>
                <w:rFonts w:hint="eastAsia"/>
              </w:rPr>
            </w:pPr>
            <w:r>
              <w:rPr>
                <w:rFonts w:hint="eastAsia"/>
              </w:rPr>
              <w:t>存在围护安全隐患的住宅数量（栋）</w:t>
            </w:r>
          </w:p>
        </w:tc>
        <w:tc>
          <w:tcPr>
            <w:tcW w:w="902" w:type="pct"/>
            <w:shd w:val="clear" w:color="auto" w:fill="auto"/>
            <w:vAlign w:val="center"/>
          </w:tcPr>
          <w:p w14:paraId="467E2C60">
            <w:pPr>
              <w:pStyle w:val="41"/>
              <w:rPr>
                <w:rFonts w:hint="eastAsia"/>
              </w:rPr>
            </w:pPr>
            <w:r>
              <w:rPr>
                <w:rFonts w:hint="eastAsia"/>
              </w:rPr>
              <w:t>4.1外墙装饰材料和保温材料开裂、损坏、脱落的住宅数量</w:t>
            </w:r>
          </w:p>
        </w:tc>
        <w:tc>
          <w:tcPr>
            <w:tcW w:w="1220" w:type="pct"/>
            <w:vMerge w:val="restart"/>
            <w:shd w:val="clear" w:color="auto" w:fill="auto"/>
            <w:vAlign w:val="center"/>
          </w:tcPr>
          <w:p w14:paraId="71792707">
            <w:pPr>
              <w:pStyle w:val="41"/>
              <w:rPr>
                <w:rFonts w:hint="eastAsia"/>
              </w:rPr>
            </w:pPr>
            <w:r>
              <w:rPr>
                <w:rFonts w:hint="eastAsia"/>
              </w:rPr>
              <w:t>查找既有住宅中存在外墙保温材料、装饰材料、悬挂设施、门窗玻璃等破损、脱落等安全风险，以及存在屋顶、外墙、地下室渗漏积水等问题。</w:t>
            </w:r>
          </w:p>
        </w:tc>
        <w:tc>
          <w:tcPr>
            <w:tcW w:w="1351" w:type="pct"/>
            <w:vMerge w:val="restart"/>
            <w:shd w:val="clear" w:color="auto" w:fill="auto"/>
            <w:vAlign w:val="center"/>
          </w:tcPr>
          <w:p w14:paraId="4FDB34AC">
            <w:pPr>
              <w:pStyle w:val="41"/>
              <w:rPr>
                <w:rFonts w:hint="eastAsia"/>
              </w:rPr>
            </w:pPr>
            <w:r>
              <w:rPr>
                <w:rFonts w:hint="eastAsia"/>
              </w:rPr>
              <w:t>市住建局、小区物业、社区管理员现场调研填报、专业机构检测</w:t>
            </w:r>
          </w:p>
        </w:tc>
      </w:tr>
      <w:tr w14:paraId="033D0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A5B1F11">
            <w:pPr>
              <w:pStyle w:val="41"/>
              <w:rPr>
                <w:rFonts w:hint="eastAsia"/>
              </w:rPr>
            </w:pPr>
          </w:p>
        </w:tc>
        <w:tc>
          <w:tcPr>
            <w:tcW w:w="196" w:type="pct"/>
            <w:vMerge w:val="continue"/>
            <w:shd w:val="clear" w:color="auto" w:fill="auto"/>
            <w:vAlign w:val="center"/>
          </w:tcPr>
          <w:p w14:paraId="64C385CC">
            <w:pPr>
              <w:pStyle w:val="41"/>
              <w:rPr>
                <w:rFonts w:hint="eastAsia"/>
              </w:rPr>
            </w:pPr>
          </w:p>
        </w:tc>
        <w:tc>
          <w:tcPr>
            <w:tcW w:w="160" w:type="pct"/>
            <w:vMerge w:val="continue"/>
            <w:shd w:val="clear" w:color="auto" w:fill="auto"/>
            <w:vAlign w:val="center"/>
          </w:tcPr>
          <w:p w14:paraId="3BF0CCE9">
            <w:pPr>
              <w:pStyle w:val="41"/>
              <w:rPr>
                <w:rFonts w:hint="eastAsia"/>
              </w:rPr>
            </w:pPr>
          </w:p>
        </w:tc>
        <w:tc>
          <w:tcPr>
            <w:tcW w:w="849" w:type="pct"/>
            <w:vMerge w:val="continue"/>
            <w:shd w:val="clear" w:color="auto" w:fill="auto"/>
            <w:vAlign w:val="center"/>
          </w:tcPr>
          <w:p w14:paraId="1FF1CC68">
            <w:pPr>
              <w:pStyle w:val="41"/>
              <w:rPr>
                <w:rFonts w:hint="eastAsia"/>
              </w:rPr>
            </w:pPr>
          </w:p>
        </w:tc>
        <w:tc>
          <w:tcPr>
            <w:tcW w:w="902" w:type="pct"/>
            <w:shd w:val="clear" w:color="auto" w:fill="auto"/>
            <w:vAlign w:val="center"/>
          </w:tcPr>
          <w:p w14:paraId="1A3B6961">
            <w:pPr>
              <w:pStyle w:val="41"/>
              <w:rPr>
                <w:rFonts w:hint="eastAsia"/>
              </w:rPr>
            </w:pPr>
            <w:r>
              <w:rPr>
                <w:rFonts w:hint="eastAsia"/>
              </w:rPr>
              <w:t>4.2外墙悬挂设施不规范（如过大、过高）或损坏松脱的住宅数量</w:t>
            </w:r>
          </w:p>
        </w:tc>
        <w:tc>
          <w:tcPr>
            <w:tcW w:w="1220" w:type="pct"/>
            <w:vMerge w:val="continue"/>
            <w:shd w:val="clear" w:color="auto" w:fill="auto"/>
            <w:vAlign w:val="center"/>
          </w:tcPr>
          <w:p w14:paraId="74467F88">
            <w:pPr>
              <w:pStyle w:val="41"/>
              <w:rPr>
                <w:rFonts w:hint="eastAsia"/>
              </w:rPr>
            </w:pPr>
          </w:p>
        </w:tc>
        <w:tc>
          <w:tcPr>
            <w:tcW w:w="1351" w:type="pct"/>
            <w:vMerge w:val="continue"/>
            <w:shd w:val="clear" w:color="auto" w:fill="auto"/>
            <w:vAlign w:val="center"/>
          </w:tcPr>
          <w:p w14:paraId="4F9787AE">
            <w:pPr>
              <w:pStyle w:val="41"/>
              <w:rPr>
                <w:rFonts w:hint="eastAsia"/>
              </w:rPr>
            </w:pPr>
          </w:p>
        </w:tc>
      </w:tr>
      <w:tr w14:paraId="7660B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65DCCE0">
            <w:pPr>
              <w:pStyle w:val="41"/>
              <w:rPr>
                <w:rFonts w:hint="eastAsia"/>
              </w:rPr>
            </w:pPr>
          </w:p>
        </w:tc>
        <w:tc>
          <w:tcPr>
            <w:tcW w:w="196" w:type="pct"/>
            <w:vMerge w:val="continue"/>
            <w:shd w:val="clear" w:color="auto" w:fill="auto"/>
            <w:vAlign w:val="center"/>
          </w:tcPr>
          <w:p w14:paraId="67898AF6">
            <w:pPr>
              <w:pStyle w:val="41"/>
              <w:rPr>
                <w:rFonts w:hint="eastAsia"/>
              </w:rPr>
            </w:pPr>
          </w:p>
        </w:tc>
        <w:tc>
          <w:tcPr>
            <w:tcW w:w="160" w:type="pct"/>
            <w:vMerge w:val="continue"/>
            <w:shd w:val="clear" w:color="auto" w:fill="auto"/>
            <w:vAlign w:val="center"/>
          </w:tcPr>
          <w:p w14:paraId="22A4EB31">
            <w:pPr>
              <w:pStyle w:val="41"/>
              <w:rPr>
                <w:rFonts w:hint="eastAsia"/>
              </w:rPr>
            </w:pPr>
          </w:p>
        </w:tc>
        <w:tc>
          <w:tcPr>
            <w:tcW w:w="849" w:type="pct"/>
            <w:vMerge w:val="continue"/>
            <w:shd w:val="clear" w:color="auto" w:fill="auto"/>
            <w:vAlign w:val="center"/>
          </w:tcPr>
          <w:p w14:paraId="2BDF78E4">
            <w:pPr>
              <w:pStyle w:val="41"/>
              <w:rPr>
                <w:rFonts w:hint="eastAsia"/>
              </w:rPr>
            </w:pPr>
          </w:p>
        </w:tc>
        <w:tc>
          <w:tcPr>
            <w:tcW w:w="902" w:type="pct"/>
            <w:shd w:val="clear" w:color="auto" w:fill="auto"/>
            <w:vAlign w:val="center"/>
          </w:tcPr>
          <w:p w14:paraId="372D7E3F">
            <w:pPr>
              <w:pStyle w:val="41"/>
              <w:rPr>
                <w:rFonts w:hint="eastAsia"/>
              </w:rPr>
            </w:pPr>
            <w:r>
              <w:rPr>
                <w:rFonts w:hint="eastAsia"/>
              </w:rPr>
              <w:t>4.3门窗玻璃存在破损、脱落的住宅数量</w:t>
            </w:r>
          </w:p>
        </w:tc>
        <w:tc>
          <w:tcPr>
            <w:tcW w:w="1220" w:type="pct"/>
            <w:vMerge w:val="continue"/>
            <w:shd w:val="clear" w:color="auto" w:fill="auto"/>
            <w:vAlign w:val="center"/>
          </w:tcPr>
          <w:p w14:paraId="6751124C">
            <w:pPr>
              <w:pStyle w:val="41"/>
              <w:rPr>
                <w:rFonts w:hint="eastAsia"/>
              </w:rPr>
            </w:pPr>
          </w:p>
        </w:tc>
        <w:tc>
          <w:tcPr>
            <w:tcW w:w="1351" w:type="pct"/>
            <w:vMerge w:val="continue"/>
            <w:shd w:val="clear" w:color="auto" w:fill="auto"/>
            <w:vAlign w:val="center"/>
          </w:tcPr>
          <w:p w14:paraId="2C37DE87">
            <w:pPr>
              <w:pStyle w:val="41"/>
              <w:rPr>
                <w:rFonts w:hint="eastAsia"/>
              </w:rPr>
            </w:pPr>
          </w:p>
        </w:tc>
      </w:tr>
      <w:tr w14:paraId="0EE50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664737D">
            <w:pPr>
              <w:pStyle w:val="41"/>
              <w:rPr>
                <w:rFonts w:hint="eastAsia"/>
              </w:rPr>
            </w:pPr>
          </w:p>
        </w:tc>
        <w:tc>
          <w:tcPr>
            <w:tcW w:w="196" w:type="pct"/>
            <w:vMerge w:val="continue"/>
            <w:shd w:val="clear" w:color="auto" w:fill="auto"/>
            <w:vAlign w:val="center"/>
          </w:tcPr>
          <w:p w14:paraId="06AF7761">
            <w:pPr>
              <w:pStyle w:val="41"/>
              <w:rPr>
                <w:rFonts w:hint="eastAsia"/>
              </w:rPr>
            </w:pPr>
          </w:p>
        </w:tc>
        <w:tc>
          <w:tcPr>
            <w:tcW w:w="160" w:type="pct"/>
            <w:vMerge w:val="continue"/>
            <w:shd w:val="clear" w:color="auto" w:fill="auto"/>
            <w:vAlign w:val="center"/>
          </w:tcPr>
          <w:p w14:paraId="1483662F">
            <w:pPr>
              <w:pStyle w:val="41"/>
              <w:rPr>
                <w:rFonts w:hint="eastAsia"/>
              </w:rPr>
            </w:pPr>
          </w:p>
        </w:tc>
        <w:tc>
          <w:tcPr>
            <w:tcW w:w="849" w:type="pct"/>
            <w:vMerge w:val="continue"/>
            <w:shd w:val="clear" w:color="auto" w:fill="auto"/>
            <w:vAlign w:val="center"/>
          </w:tcPr>
          <w:p w14:paraId="0FF3D76B">
            <w:pPr>
              <w:pStyle w:val="41"/>
              <w:rPr>
                <w:rFonts w:hint="eastAsia"/>
              </w:rPr>
            </w:pPr>
          </w:p>
        </w:tc>
        <w:tc>
          <w:tcPr>
            <w:tcW w:w="902" w:type="pct"/>
            <w:shd w:val="clear" w:color="auto" w:fill="auto"/>
            <w:vAlign w:val="center"/>
          </w:tcPr>
          <w:p w14:paraId="189BDC25">
            <w:pPr>
              <w:pStyle w:val="41"/>
              <w:rPr>
                <w:rFonts w:hint="eastAsia"/>
              </w:rPr>
            </w:pPr>
            <w:r>
              <w:rPr>
                <w:rFonts w:hint="eastAsia"/>
              </w:rPr>
              <w:t>4.4屋面排水不畅、漏水的住宅数量</w:t>
            </w:r>
          </w:p>
        </w:tc>
        <w:tc>
          <w:tcPr>
            <w:tcW w:w="1220" w:type="pct"/>
            <w:vMerge w:val="continue"/>
            <w:shd w:val="clear" w:color="auto" w:fill="auto"/>
            <w:vAlign w:val="center"/>
          </w:tcPr>
          <w:p w14:paraId="2E593ABA">
            <w:pPr>
              <w:pStyle w:val="41"/>
              <w:rPr>
                <w:rFonts w:hint="eastAsia"/>
              </w:rPr>
            </w:pPr>
          </w:p>
        </w:tc>
        <w:tc>
          <w:tcPr>
            <w:tcW w:w="1351" w:type="pct"/>
            <w:vMerge w:val="continue"/>
            <w:shd w:val="clear" w:color="auto" w:fill="auto"/>
            <w:vAlign w:val="center"/>
          </w:tcPr>
          <w:p w14:paraId="302ECFC2">
            <w:pPr>
              <w:pStyle w:val="41"/>
              <w:rPr>
                <w:rFonts w:hint="eastAsia"/>
              </w:rPr>
            </w:pPr>
          </w:p>
        </w:tc>
      </w:tr>
      <w:tr w14:paraId="3DAF9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319" w:type="pct"/>
            <w:vMerge w:val="continue"/>
            <w:shd w:val="clear" w:color="auto" w:fill="auto"/>
            <w:vAlign w:val="center"/>
          </w:tcPr>
          <w:p w14:paraId="0309C4FA">
            <w:pPr>
              <w:pStyle w:val="41"/>
              <w:rPr>
                <w:rFonts w:hint="eastAsia"/>
              </w:rPr>
            </w:pPr>
          </w:p>
        </w:tc>
        <w:tc>
          <w:tcPr>
            <w:tcW w:w="196" w:type="pct"/>
            <w:vMerge w:val="continue"/>
            <w:shd w:val="clear" w:color="auto" w:fill="auto"/>
            <w:vAlign w:val="center"/>
          </w:tcPr>
          <w:p w14:paraId="28D6686A">
            <w:pPr>
              <w:pStyle w:val="41"/>
              <w:rPr>
                <w:rFonts w:hint="eastAsia"/>
              </w:rPr>
            </w:pPr>
          </w:p>
        </w:tc>
        <w:tc>
          <w:tcPr>
            <w:tcW w:w="160" w:type="pct"/>
            <w:vMerge w:val="continue"/>
            <w:shd w:val="clear" w:color="auto" w:fill="auto"/>
            <w:vAlign w:val="center"/>
          </w:tcPr>
          <w:p w14:paraId="447069D3">
            <w:pPr>
              <w:pStyle w:val="41"/>
              <w:rPr>
                <w:rFonts w:hint="eastAsia"/>
              </w:rPr>
            </w:pPr>
          </w:p>
        </w:tc>
        <w:tc>
          <w:tcPr>
            <w:tcW w:w="849" w:type="pct"/>
            <w:vMerge w:val="continue"/>
            <w:shd w:val="clear" w:color="auto" w:fill="auto"/>
            <w:vAlign w:val="center"/>
          </w:tcPr>
          <w:p w14:paraId="2798A0CA">
            <w:pPr>
              <w:pStyle w:val="41"/>
              <w:rPr>
                <w:rFonts w:hint="eastAsia"/>
              </w:rPr>
            </w:pPr>
          </w:p>
        </w:tc>
        <w:tc>
          <w:tcPr>
            <w:tcW w:w="902" w:type="pct"/>
            <w:shd w:val="clear" w:color="auto" w:fill="auto"/>
            <w:vAlign w:val="center"/>
          </w:tcPr>
          <w:p w14:paraId="255D36C2">
            <w:pPr>
              <w:pStyle w:val="41"/>
              <w:rPr>
                <w:rFonts w:hint="eastAsia"/>
              </w:rPr>
            </w:pPr>
            <w:r>
              <w:rPr>
                <w:rFonts w:hint="eastAsia"/>
              </w:rPr>
              <w:t>4.5外墙内侧、地下室渗水漏水的住宅数量</w:t>
            </w:r>
          </w:p>
        </w:tc>
        <w:tc>
          <w:tcPr>
            <w:tcW w:w="1220" w:type="pct"/>
            <w:vMerge w:val="continue"/>
            <w:shd w:val="clear" w:color="auto" w:fill="auto"/>
            <w:vAlign w:val="center"/>
          </w:tcPr>
          <w:p w14:paraId="040A6DFF">
            <w:pPr>
              <w:pStyle w:val="41"/>
              <w:rPr>
                <w:rFonts w:hint="eastAsia"/>
              </w:rPr>
            </w:pPr>
          </w:p>
        </w:tc>
        <w:tc>
          <w:tcPr>
            <w:tcW w:w="1351" w:type="pct"/>
            <w:vMerge w:val="continue"/>
            <w:shd w:val="clear" w:color="auto" w:fill="auto"/>
            <w:vAlign w:val="center"/>
          </w:tcPr>
          <w:p w14:paraId="1F2A87FC">
            <w:pPr>
              <w:pStyle w:val="41"/>
              <w:rPr>
                <w:rFonts w:hint="eastAsia"/>
              </w:rPr>
            </w:pPr>
          </w:p>
        </w:tc>
      </w:tr>
      <w:tr w14:paraId="2B877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485CA8A">
            <w:pPr>
              <w:pStyle w:val="41"/>
              <w:rPr>
                <w:rFonts w:hint="eastAsia"/>
              </w:rPr>
            </w:pPr>
          </w:p>
        </w:tc>
        <w:tc>
          <w:tcPr>
            <w:tcW w:w="196" w:type="pct"/>
            <w:vMerge w:val="restart"/>
            <w:shd w:val="clear" w:color="auto" w:fill="auto"/>
            <w:vAlign w:val="center"/>
          </w:tcPr>
          <w:p w14:paraId="6BB7D058">
            <w:pPr>
              <w:pStyle w:val="41"/>
              <w:rPr>
                <w:rFonts w:hint="eastAsia"/>
              </w:rPr>
            </w:pPr>
            <w:r>
              <w:rPr>
                <w:rFonts w:hint="eastAsia"/>
              </w:rPr>
              <w:t>功能完备</w:t>
            </w:r>
          </w:p>
        </w:tc>
        <w:tc>
          <w:tcPr>
            <w:tcW w:w="160" w:type="pct"/>
            <w:vMerge w:val="restart"/>
            <w:shd w:val="clear" w:color="auto" w:fill="auto"/>
            <w:vAlign w:val="center"/>
          </w:tcPr>
          <w:p w14:paraId="05C0B35D">
            <w:pPr>
              <w:pStyle w:val="41"/>
              <w:rPr>
                <w:rFonts w:hint="eastAsia"/>
              </w:rPr>
            </w:pPr>
            <w:r>
              <w:rPr>
                <w:rFonts w:hint="eastAsia"/>
              </w:rPr>
              <w:t>5</w:t>
            </w:r>
          </w:p>
        </w:tc>
        <w:tc>
          <w:tcPr>
            <w:tcW w:w="849" w:type="pct"/>
            <w:vMerge w:val="restart"/>
            <w:shd w:val="clear" w:color="auto" w:fill="auto"/>
            <w:vAlign w:val="center"/>
          </w:tcPr>
          <w:p w14:paraId="4CAD9FC5">
            <w:pPr>
              <w:pStyle w:val="41"/>
              <w:rPr>
                <w:rFonts w:hint="eastAsia"/>
              </w:rPr>
            </w:pPr>
            <w:r>
              <w:rPr>
                <w:rFonts w:hint="eastAsia"/>
              </w:rPr>
              <w:t>非成套住宅数量（栋）</w:t>
            </w:r>
          </w:p>
        </w:tc>
        <w:tc>
          <w:tcPr>
            <w:tcW w:w="902" w:type="pct"/>
            <w:shd w:val="clear" w:color="auto" w:fill="auto"/>
            <w:vAlign w:val="center"/>
          </w:tcPr>
          <w:p w14:paraId="3BD7301E">
            <w:pPr>
              <w:pStyle w:val="41"/>
              <w:rPr>
                <w:rFonts w:hint="eastAsia"/>
              </w:rPr>
            </w:pPr>
            <w:r>
              <w:rPr>
                <w:rFonts w:hint="eastAsia"/>
              </w:rPr>
              <w:t>5.1没有独立厨房、卫生间等基本功能空间的住宅数量</w:t>
            </w:r>
          </w:p>
        </w:tc>
        <w:tc>
          <w:tcPr>
            <w:tcW w:w="1220" w:type="pct"/>
            <w:vMerge w:val="restart"/>
            <w:shd w:val="clear" w:color="auto" w:fill="auto"/>
            <w:vAlign w:val="center"/>
          </w:tcPr>
          <w:p w14:paraId="495DC9C9">
            <w:pPr>
              <w:pStyle w:val="41"/>
              <w:rPr>
                <w:rFonts w:hint="eastAsia"/>
              </w:rPr>
            </w:pPr>
            <w:r>
              <w:rPr>
                <w:rFonts w:hint="eastAsia"/>
              </w:rPr>
              <w:t>按照《住宅性能评定标准》要求，调查既有住宅中没有厨房、卫生间等基本功能空间的情况。</w:t>
            </w:r>
          </w:p>
        </w:tc>
        <w:tc>
          <w:tcPr>
            <w:tcW w:w="1351" w:type="pct"/>
            <w:vMerge w:val="restart"/>
            <w:shd w:val="clear" w:color="auto" w:fill="auto"/>
            <w:vAlign w:val="center"/>
          </w:tcPr>
          <w:p w14:paraId="2E130A86">
            <w:pPr>
              <w:pStyle w:val="41"/>
              <w:rPr>
                <w:rFonts w:hint="eastAsia"/>
              </w:rPr>
            </w:pPr>
            <w:r>
              <w:rPr>
                <w:rFonts w:hint="eastAsia"/>
              </w:rPr>
              <w:t>市住建局、小区物业、社区管理员现场调研填报、专业机构检测</w:t>
            </w:r>
          </w:p>
        </w:tc>
      </w:tr>
      <w:tr w14:paraId="69ACE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7C93222">
            <w:pPr>
              <w:pStyle w:val="41"/>
              <w:rPr>
                <w:rFonts w:hint="eastAsia"/>
              </w:rPr>
            </w:pPr>
          </w:p>
        </w:tc>
        <w:tc>
          <w:tcPr>
            <w:tcW w:w="196" w:type="pct"/>
            <w:vMerge w:val="continue"/>
            <w:shd w:val="clear" w:color="auto" w:fill="auto"/>
            <w:vAlign w:val="center"/>
          </w:tcPr>
          <w:p w14:paraId="4C95032A">
            <w:pPr>
              <w:pStyle w:val="41"/>
              <w:rPr>
                <w:rFonts w:hint="eastAsia"/>
              </w:rPr>
            </w:pPr>
          </w:p>
        </w:tc>
        <w:tc>
          <w:tcPr>
            <w:tcW w:w="160" w:type="pct"/>
            <w:vMerge w:val="continue"/>
            <w:shd w:val="clear" w:color="auto" w:fill="auto"/>
            <w:vAlign w:val="center"/>
          </w:tcPr>
          <w:p w14:paraId="0BA740AC">
            <w:pPr>
              <w:pStyle w:val="41"/>
              <w:rPr>
                <w:rFonts w:hint="eastAsia"/>
              </w:rPr>
            </w:pPr>
          </w:p>
        </w:tc>
        <w:tc>
          <w:tcPr>
            <w:tcW w:w="849" w:type="pct"/>
            <w:vMerge w:val="continue"/>
            <w:shd w:val="clear" w:color="auto" w:fill="auto"/>
            <w:vAlign w:val="center"/>
          </w:tcPr>
          <w:p w14:paraId="2A68B4DE">
            <w:pPr>
              <w:pStyle w:val="41"/>
              <w:rPr>
                <w:rFonts w:hint="eastAsia"/>
              </w:rPr>
            </w:pPr>
          </w:p>
        </w:tc>
        <w:tc>
          <w:tcPr>
            <w:tcW w:w="902" w:type="pct"/>
            <w:shd w:val="clear" w:color="auto" w:fill="auto"/>
            <w:vAlign w:val="center"/>
          </w:tcPr>
          <w:p w14:paraId="0DEF6CD6">
            <w:pPr>
              <w:pStyle w:val="41"/>
              <w:rPr>
                <w:rFonts w:hint="eastAsia"/>
              </w:rPr>
            </w:pPr>
            <w:r>
              <w:rPr>
                <w:rFonts w:hint="eastAsia"/>
              </w:rPr>
              <w:t>5.2既有住宅在采光、通风等性能方面不达标的住宅数量</w:t>
            </w:r>
          </w:p>
        </w:tc>
        <w:tc>
          <w:tcPr>
            <w:tcW w:w="1220" w:type="pct"/>
            <w:vMerge w:val="continue"/>
            <w:shd w:val="clear" w:color="auto" w:fill="auto"/>
            <w:vAlign w:val="center"/>
          </w:tcPr>
          <w:p w14:paraId="352F0C75">
            <w:pPr>
              <w:pStyle w:val="41"/>
              <w:rPr>
                <w:rFonts w:hint="eastAsia"/>
              </w:rPr>
            </w:pPr>
          </w:p>
        </w:tc>
        <w:tc>
          <w:tcPr>
            <w:tcW w:w="1351" w:type="pct"/>
            <w:vMerge w:val="continue"/>
            <w:shd w:val="clear" w:color="auto" w:fill="auto"/>
            <w:vAlign w:val="center"/>
          </w:tcPr>
          <w:p w14:paraId="68FDBF9D">
            <w:pPr>
              <w:pStyle w:val="41"/>
              <w:rPr>
                <w:rFonts w:hint="eastAsia"/>
              </w:rPr>
            </w:pPr>
          </w:p>
        </w:tc>
      </w:tr>
      <w:tr w14:paraId="60F5E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8EB001C">
            <w:pPr>
              <w:pStyle w:val="41"/>
              <w:rPr>
                <w:rFonts w:hint="eastAsia"/>
              </w:rPr>
            </w:pPr>
          </w:p>
        </w:tc>
        <w:tc>
          <w:tcPr>
            <w:tcW w:w="196" w:type="pct"/>
            <w:vMerge w:val="continue"/>
            <w:shd w:val="clear" w:color="auto" w:fill="auto"/>
            <w:vAlign w:val="center"/>
          </w:tcPr>
          <w:p w14:paraId="5A7006C4">
            <w:pPr>
              <w:pStyle w:val="41"/>
              <w:rPr>
                <w:rFonts w:hint="eastAsia"/>
              </w:rPr>
            </w:pPr>
          </w:p>
        </w:tc>
        <w:tc>
          <w:tcPr>
            <w:tcW w:w="160" w:type="pct"/>
            <w:vMerge w:val="restart"/>
            <w:shd w:val="clear" w:color="auto" w:fill="auto"/>
            <w:vAlign w:val="center"/>
          </w:tcPr>
          <w:p w14:paraId="16C069D1">
            <w:pPr>
              <w:pStyle w:val="41"/>
              <w:rPr>
                <w:rFonts w:hint="eastAsia"/>
              </w:rPr>
            </w:pPr>
            <w:r>
              <w:rPr>
                <w:rFonts w:hint="eastAsia"/>
              </w:rPr>
              <w:t>6</w:t>
            </w:r>
          </w:p>
        </w:tc>
        <w:tc>
          <w:tcPr>
            <w:tcW w:w="849" w:type="pct"/>
            <w:vMerge w:val="restart"/>
            <w:shd w:val="clear" w:color="auto" w:fill="auto"/>
            <w:vAlign w:val="center"/>
          </w:tcPr>
          <w:p w14:paraId="6EA83DE1">
            <w:pPr>
              <w:pStyle w:val="41"/>
              <w:rPr>
                <w:rFonts w:hint="eastAsia"/>
              </w:rPr>
            </w:pPr>
            <w:r>
              <w:rPr>
                <w:rFonts w:hint="eastAsia"/>
              </w:rPr>
              <w:t>☆</w:t>
            </w:r>
            <w:r>
              <w:t>存在管线管道破损的住宅数量（栋）</w:t>
            </w:r>
          </w:p>
        </w:tc>
        <w:tc>
          <w:tcPr>
            <w:tcW w:w="902" w:type="pct"/>
            <w:shd w:val="clear" w:color="auto" w:fill="auto"/>
            <w:vAlign w:val="center"/>
          </w:tcPr>
          <w:p w14:paraId="475AE177">
            <w:pPr>
              <w:pStyle w:val="41"/>
              <w:rPr>
                <w:rFonts w:hint="eastAsia"/>
              </w:rPr>
            </w:pPr>
            <w:r>
              <w:rPr>
                <w:rFonts w:hint="eastAsia"/>
              </w:rPr>
              <w:t>6.1给水管线跑冒滴漏、排水管线老化破损、渗漏堵塞的住宅数量</w:t>
            </w:r>
          </w:p>
        </w:tc>
        <w:tc>
          <w:tcPr>
            <w:tcW w:w="1220" w:type="pct"/>
            <w:vMerge w:val="restart"/>
            <w:shd w:val="clear" w:color="auto" w:fill="auto"/>
            <w:vAlign w:val="center"/>
          </w:tcPr>
          <w:p w14:paraId="04886E79">
            <w:pPr>
              <w:pStyle w:val="41"/>
              <w:rPr>
                <w:rFonts w:hint="eastAsia"/>
              </w:rPr>
            </w:pPr>
            <w:r>
              <w:rPr>
                <w:rFonts w:hint="eastAsia"/>
              </w:rPr>
              <w:t>查找既有住宅中给水、排水、供热、供电、通信等管线管道和设施设备老化破损、跑冒滴漏、供给不足、管道堵塞等问题。</w:t>
            </w:r>
          </w:p>
        </w:tc>
        <w:tc>
          <w:tcPr>
            <w:tcW w:w="1351" w:type="pct"/>
            <w:vMerge w:val="restart"/>
            <w:shd w:val="clear" w:color="auto" w:fill="auto"/>
            <w:vAlign w:val="center"/>
          </w:tcPr>
          <w:p w14:paraId="0102BC14">
            <w:pPr>
              <w:pStyle w:val="41"/>
              <w:rPr>
                <w:rFonts w:hint="eastAsia"/>
              </w:rPr>
            </w:pPr>
            <w:r>
              <w:rPr>
                <w:rFonts w:hint="eastAsia"/>
              </w:rPr>
              <w:t>市城管局、小区物业、社区管理员现场调研填报、专业机构检测</w:t>
            </w:r>
          </w:p>
        </w:tc>
      </w:tr>
      <w:tr w14:paraId="35AEA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5A56E71">
            <w:pPr>
              <w:pStyle w:val="41"/>
              <w:rPr>
                <w:rFonts w:hint="eastAsia"/>
              </w:rPr>
            </w:pPr>
          </w:p>
        </w:tc>
        <w:tc>
          <w:tcPr>
            <w:tcW w:w="196" w:type="pct"/>
            <w:vMerge w:val="continue"/>
            <w:shd w:val="clear" w:color="auto" w:fill="auto"/>
            <w:vAlign w:val="center"/>
          </w:tcPr>
          <w:p w14:paraId="468ABEAA">
            <w:pPr>
              <w:pStyle w:val="41"/>
              <w:rPr>
                <w:rFonts w:hint="eastAsia"/>
              </w:rPr>
            </w:pPr>
          </w:p>
        </w:tc>
        <w:tc>
          <w:tcPr>
            <w:tcW w:w="160" w:type="pct"/>
            <w:vMerge w:val="continue"/>
            <w:shd w:val="clear" w:color="auto" w:fill="auto"/>
            <w:vAlign w:val="center"/>
          </w:tcPr>
          <w:p w14:paraId="53C162E3">
            <w:pPr>
              <w:pStyle w:val="41"/>
              <w:rPr>
                <w:rFonts w:hint="eastAsia"/>
              </w:rPr>
            </w:pPr>
          </w:p>
        </w:tc>
        <w:tc>
          <w:tcPr>
            <w:tcW w:w="849" w:type="pct"/>
            <w:vMerge w:val="continue"/>
            <w:shd w:val="clear" w:color="auto" w:fill="auto"/>
            <w:vAlign w:val="center"/>
          </w:tcPr>
          <w:p w14:paraId="3CFB8438">
            <w:pPr>
              <w:pStyle w:val="41"/>
              <w:rPr>
                <w:rFonts w:hint="eastAsia"/>
              </w:rPr>
            </w:pPr>
          </w:p>
        </w:tc>
        <w:tc>
          <w:tcPr>
            <w:tcW w:w="902" w:type="pct"/>
            <w:shd w:val="clear" w:color="auto" w:fill="auto"/>
            <w:vAlign w:val="center"/>
          </w:tcPr>
          <w:p w14:paraId="180C2573">
            <w:pPr>
              <w:pStyle w:val="41"/>
              <w:rPr>
                <w:rFonts w:hint="eastAsia"/>
              </w:rPr>
            </w:pPr>
            <w:r>
              <w:rPr>
                <w:rFonts w:hint="eastAsia"/>
              </w:rPr>
              <w:t>6.2因供暖管道漏水、压力不足等原因导致采暖季温度不达标的住宅数量</w:t>
            </w:r>
          </w:p>
        </w:tc>
        <w:tc>
          <w:tcPr>
            <w:tcW w:w="1220" w:type="pct"/>
            <w:vMerge w:val="continue"/>
            <w:shd w:val="clear" w:color="auto" w:fill="auto"/>
            <w:vAlign w:val="center"/>
          </w:tcPr>
          <w:p w14:paraId="25055CBC">
            <w:pPr>
              <w:pStyle w:val="41"/>
              <w:rPr>
                <w:rFonts w:hint="eastAsia"/>
              </w:rPr>
            </w:pPr>
          </w:p>
        </w:tc>
        <w:tc>
          <w:tcPr>
            <w:tcW w:w="1351" w:type="pct"/>
            <w:vMerge w:val="continue"/>
            <w:shd w:val="clear" w:color="auto" w:fill="auto"/>
            <w:vAlign w:val="center"/>
          </w:tcPr>
          <w:p w14:paraId="59C3555D">
            <w:pPr>
              <w:pStyle w:val="41"/>
              <w:rPr>
                <w:rFonts w:hint="eastAsia"/>
              </w:rPr>
            </w:pPr>
          </w:p>
        </w:tc>
      </w:tr>
      <w:tr w14:paraId="11602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90B2B58">
            <w:pPr>
              <w:pStyle w:val="41"/>
              <w:rPr>
                <w:rFonts w:hint="eastAsia"/>
              </w:rPr>
            </w:pPr>
          </w:p>
        </w:tc>
        <w:tc>
          <w:tcPr>
            <w:tcW w:w="196" w:type="pct"/>
            <w:vMerge w:val="continue"/>
            <w:shd w:val="clear" w:color="auto" w:fill="auto"/>
            <w:vAlign w:val="center"/>
          </w:tcPr>
          <w:p w14:paraId="0C8A806D">
            <w:pPr>
              <w:pStyle w:val="41"/>
              <w:rPr>
                <w:rFonts w:hint="eastAsia"/>
              </w:rPr>
            </w:pPr>
          </w:p>
        </w:tc>
        <w:tc>
          <w:tcPr>
            <w:tcW w:w="160" w:type="pct"/>
            <w:vMerge w:val="continue"/>
            <w:shd w:val="clear" w:color="auto" w:fill="auto"/>
            <w:vAlign w:val="center"/>
          </w:tcPr>
          <w:p w14:paraId="386D8494">
            <w:pPr>
              <w:pStyle w:val="41"/>
              <w:rPr>
                <w:rFonts w:hint="eastAsia"/>
              </w:rPr>
            </w:pPr>
          </w:p>
        </w:tc>
        <w:tc>
          <w:tcPr>
            <w:tcW w:w="849" w:type="pct"/>
            <w:vMerge w:val="continue"/>
            <w:shd w:val="clear" w:color="auto" w:fill="auto"/>
            <w:vAlign w:val="center"/>
          </w:tcPr>
          <w:p w14:paraId="5C83F755">
            <w:pPr>
              <w:pStyle w:val="41"/>
              <w:rPr>
                <w:rFonts w:hint="eastAsia"/>
              </w:rPr>
            </w:pPr>
          </w:p>
        </w:tc>
        <w:tc>
          <w:tcPr>
            <w:tcW w:w="902" w:type="pct"/>
            <w:shd w:val="clear" w:color="auto" w:fill="auto"/>
            <w:vAlign w:val="center"/>
          </w:tcPr>
          <w:p w14:paraId="4DB4625A">
            <w:pPr>
              <w:pStyle w:val="41"/>
              <w:rPr>
                <w:rFonts w:hint="eastAsia"/>
              </w:rPr>
            </w:pPr>
            <w:r>
              <w:rPr>
                <w:rFonts w:hint="eastAsia"/>
              </w:rPr>
              <w:t>6.3电力电信管线老化破损及裸露、私搭乱接的住宅数量</w:t>
            </w:r>
          </w:p>
        </w:tc>
        <w:tc>
          <w:tcPr>
            <w:tcW w:w="1220" w:type="pct"/>
            <w:vMerge w:val="continue"/>
            <w:shd w:val="clear" w:color="auto" w:fill="auto"/>
            <w:vAlign w:val="center"/>
          </w:tcPr>
          <w:p w14:paraId="1C2DF4CF">
            <w:pPr>
              <w:pStyle w:val="41"/>
              <w:rPr>
                <w:rFonts w:hint="eastAsia"/>
              </w:rPr>
            </w:pPr>
          </w:p>
        </w:tc>
        <w:tc>
          <w:tcPr>
            <w:tcW w:w="1351" w:type="pct"/>
            <w:vMerge w:val="continue"/>
            <w:shd w:val="clear" w:color="auto" w:fill="auto"/>
            <w:vAlign w:val="center"/>
          </w:tcPr>
          <w:p w14:paraId="2A156212">
            <w:pPr>
              <w:pStyle w:val="41"/>
              <w:rPr>
                <w:rFonts w:hint="eastAsia"/>
              </w:rPr>
            </w:pPr>
          </w:p>
        </w:tc>
      </w:tr>
      <w:tr w14:paraId="0193C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FE6D1D6">
            <w:pPr>
              <w:pStyle w:val="41"/>
              <w:rPr>
                <w:rFonts w:hint="eastAsia"/>
              </w:rPr>
            </w:pPr>
          </w:p>
        </w:tc>
        <w:tc>
          <w:tcPr>
            <w:tcW w:w="196" w:type="pct"/>
            <w:vMerge w:val="continue"/>
            <w:shd w:val="clear" w:color="auto" w:fill="auto"/>
            <w:vAlign w:val="center"/>
          </w:tcPr>
          <w:p w14:paraId="450CC194">
            <w:pPr>
              <w:pStyle w:val="41"/>
              <w:rPr>
                <w:rFonts w:hint="eastAsia"/>
              </w:rPr>
            </w:pPr>
          </w:p>
        </w:tc>
        <w:tc>
          <w:tcPr>
            <w:tcW w:w="160" w:type="pct"/>
            <w:vMerge w:val="restart"/>
            <w:shd w:val="clear" w:color="auto" w:fill="auto"/>
            <w:vAlign w:val="center"/>
          </w:tcPr>
          <w:p w14:paraId="156B2582">
            <w:pPr>
              <w:pStyle w:val="41"/>
              <w:rPr>
                <w:rFonts w:hint="eastAsia"/>
              </w:rPr>
            </w:pPr>
            <w:r>
              <w:rPr>
                <w:rFonts w:hint="eastAsia"/>
              </w:rPr>
              <w:t>7</w:t>
            </w:r>
          </w:p>
        </w:tc>
        <w:tc>
          <w:tcPr>
            <w:tcW w:w="849" w:type="pct"/>
            <w:vMerge w:val="restart"/>
            <w:shd w:val="clear" w:color="auto" w:fill="auto"/>
            <w:vAlign w:val="center"/>
          </w:tcPr>
          <w:p w14:paraId="4A8A9E6E">
            <w:pPr>
              <w:pStyle w:val="41"/>
              <w:rPr>
                <w:rFonts w:hint="eastAsia"/>
              </w:rPr>
            </w:pPr>
            <w:r>
              <w:rPr>
                <w:rFonts w:hint="eastAsia"/>
              </w:rPr>
              <w:t>☆</w:t>
            </w:r>
            <w:r>
              <w:t>入户水质不达标的住宅数量（栋）</w:t>
            </w:r>
          </w:p>
        </w:tc>
        <w:tc>
          <w:tcPr>
            <w:tcW w:w="902" w:type="pct"/>
            <w:shd w:val="clear" w:color="auto" w:fill="auto"/>
            <w:vAlign w:val="center"/>
          </w:tcPr>
          <w:p w14:paraId="42ECB043">
            <w:pPr>
              <w:pStyle w:val="41"/>
              <w:rPr>
                <w:rFonts w:hint="eastAsia"/>
              </w:rPr>
            </w:pPr>
            <w:r>
              <w:rPr>
                <w:rFonts w:hint="eastAsia"/>
              </w:rPr>
              <w:t>7.1管道等供水设施不符合卫生和安全规范等，导致户内龙头水质污染的住宅数量。</w:t>
            </w:r>
          </w:p>
        </w:tc>
        <w:tc>
          <w:tcPr>
            <w:tcW w:w="1220" w:type="pct"/>
            <w:vMerge w:val="restart"/>
            <w:shd w:val="clear" w:color="auto" w:fill="auto"/>
            <w:vAlign w:val="center"/>
          </w:tcPr>
          <w:p w14:paraId="0D32CD10">
            <w:pPr>
              <w:pStyle w:val="41"/>
              <w:rPr>
                <w:rFonts w:hint="eastAsia"/>
              </w:rPr>
            </w:pPr>
            <w:r>
              <w:rPr>
                <w:rFonts w:hint="eastAsia"/>
              </w:rPr>
              <w:t>按照《生活饮用水卫生标准》要求，查找既有住宅由于管道锈蚀、水箱污染等造成水质不达标的原因及问题。</w:t>
            </w:r>
          </w:p>
        </w:tc>
        <w:tc>
          <w:tcPr>
            <w:tcW w:w="1351" w:type="pct"/>
            <w:vMerge w:val="restart"/>
            <w:shd w:val="clear" w:color="auto" w:fill="auto"/>
            <w:vAlign w:val="center"/>
          </w:tcPr>
          <w:p w14:paraId="70F1A6AB">
            <w:pPr>
              <w:pStyle w:val="41"/>
              <w:rPr>
                <w:rFonts w:hint="eastAsia"/>
              </w:rPr>
            </w:pPr>
            <w:r>
              <w:rPr>
                <w:rFonts w:hint="eastAsia"/>
              </w:rPr>
              <w:t>市城管局、专业机构入户检测</w:t>
            </w:r>
          </w:p>
        </w:tc>
      </w:tr>
      <w:tr w14:paraId="5D595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E878D63">
            <w:pPr>
              <w:pStyle w:val="41"/>
              <w:rPr>
                <w:rFonts w:hint="eastAsia"/>
              </w:rPr>
            </w:pPr>
          </w:p>
        </w:tc>
        <w:tc>
          <w:tcPr>
            <w:tcW w:w="196" w:type="pct"/>
            <w:vMerge w:val="continue"/>
            <w:shd w:val="clear" w:color="auto" w:fill="auto"/>
            <w:vAlign w:val="center"/>
          </w:tcPr>
          <w:p w14:paraId="5147DDF1">
            <w:pPr>
              <w:pStyle w:val="41"/>
              <w:rPr>
                <w:rFonts w:hint="eastAsia"/>
              </w:rPr>
            </w:pPr>
          </w:p>
        </w:tc>
        <w:tc>
          <w:tcPr>
            <w:tcW w:w="160" w:type="pct"/>
            <w:vMerge w:val="continue"/>
            <w:shd w:val="clear" w:color="auto" w:fill="auto"/>
            <w:vAlign w:val="center"/>
          </w:tcPr>
          <w:p w14:paraId="4D1A36C3">
            <w:pPr>
              <w:pStyle w:val="41"/>
              <w:rPr>
                <w:rFonts w:hint="eastAsia"/>
              </w:rPr>
            </w:pPr>
          </w:p>
        </w:tc>
        <w:tc>
          <w:tcPr>
            <w:tcW w:w="849" w:type="pct"/>
            <w:vMerge w:val="continue"/>
            <w:shd w:val="clear" w:color="auto" w:fill="auto"/>
            <w:vAlign w:val="center"/>
          </w:tcPr>
          <w:p w14:paraId="01B3AEA9">
            <w:pPr>
              <w:pStyle w:val="41"/>
              <w:rPr>
                <w:rFonts w:hint="eastAsia"/>
              </w:rPr>
            </w:pPr>
          </w:p>
        </w:tc>
        <w:tc>
          <w:tcPr>
            <w:tcW w:w="902" w:type="pct"/>
            <w:shd w:val="clear" w:color="auto" w:fill="auto"/>
            <w:vAlign w:val="center"/>
          </w:tcPr>
          <w:p w14:paraId="6540385F">
            <w:pPr>
              <w:pStyle w:val="41"/>
              <w:rPr>
                <w:rFonts w:hint="eastAsia"/>
              </w:rPr>
            </w:pPr>
            <w:r>
              <w:rPr>
                <w:rFonts w:hint="eastAsia"/>
              </w:rPr>
              <w:t>7.2经专业机构检测，不满足生活饮用水水质标准住宅数量。</w:t>
            </w:r>
          </w:p>
        </w:tc>
        <w:tc>
          <w:tcPr>
            <w:tcW w:w="1220" w:type="pct"/>
            <w:vMerge w:val="continue"/>
            <w:shd w:val="clear" w:color="auto" w:fill="auto"/>
            <w:vAlign w:val="center"/>
          </w:tcPr>
          <w:p w14:paraId="6BBF9071">
            <w:pPr>
              <w:pStyle w:val="41"/>
              <w:rPr>
                <w:rFonts w:hint="eastAsia"/>
              </w:rPr>
            </w:pPr>
          </w:p>
        </w:tc>
        <w:tc>
          <w:tcPr>
            <w:tcW w:w="1351" w:type="pct"/>
            <w:vMerge w:val="continue"/>
            <w:shd w:val="clear" w:color="auto" w:fill="auto"/>
            <w:vAlign w:val="center"/>
          </w:tcPr>
          <w:p w14:paraId="2F154087">
            <w:pPr>
              <w:pStyle w:val="41"/>
              <w:rPr>
                <w:rFonts w:hint="eastAsia"/>
              </w:rPr>
            </w:pPr>
          </w:p>
        </w:tc>
      </w:tr>
      <w:tr w14:paraId="4C306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6623C0D">
            <w:pPr>
              <w:pStyle w:val="41"/>
              <w:rPr>
                <w:rFonts w:hint="eastAsia"/>
              </w:rPr>
            </w:pPr>
          </w:p>
        </w:tc>
        <w:tc>
          <w:tcPr>
            <w:tcW w:w="196" w:type="pct"/>
            <w:vMerge w:val="continue"/>
            <w:shd w:val="clear" w:color="auto" w:fill="auto"/>
            <w:vAlign w:val="center"/>
          </w:tcPr>
          <w:p w14:paraId="41A69351">
            <w:pPr>
              <w:pStyle w:val="41"/>
              <w:rPr>
                <w:rFonts w:hint="eastAsia"/>
              </w:rPr>
            </w:pPr>
          </w:p>
        </w:tc>
        <w:tc>
          <w:tcPr>
            <w:tcW w:w="160" w:type="pct"/>
            <w:vMerge w:val="restart"/>
            <w:shd w:val="clear" w:color="auto" w:fill="auto"/>
            <w:vAlign w:val="center"/>
          </w:tcPr>
          <w:p w14:paraId="2E6E670A">
            <w:pPr>
              <w:pStyle w:val="41"/>
              <w:rPr>
                <w:rFonts w:hint="eastAsia"/>
              </w:rPr>
            </w:pPr>
            <w:r>
              <w:rPr>
                <w:rFonts w:hint="eastAsia"/>
              </w:rPr>
              <w:t>8</w:t>
            </w:r>
          </w:p>
        </w:tc>
        <w:tc>
          <w:tcPr>
            <w:tcW w:w="849" w:type="pct"/>
            <w:vMerge w:val="restart"/>
            <w:shd w:val="clear" w:color="auto" w:fill="auto"/>
            <w:vAlign w:val="center"/>
          </w:tcPr>
          <w:p w14:paraId="5C73B197">
            <w:pPr>
              <w:pStyle w:val="41"/>
              <w:rPr>
                <w:rFonts w:hint="eastAsia"/>
              </w:rPr>
            </w:pPr>
            <w:r>
              <w:rPr>
                <w:rFonts w:hint="eastAsia"/>
              </w:rPr>
              <w:t>需要进行适老化改造的住宅数量（栋）</w:t>
            </w:r>
          </w:p>
        </w:tc>
        <w:tc>
          <w:tcPr>
            <w:tcW w:w="902" w:type="pct"/>
            <w:shd w:val="clear" w:color="auto" w:fill="auto"/>
            <w:vAlign w:val="center"/>
          </w:tcPr>
          <w:p w14:paraId="5D70C838">
            <w:pPr>
              <w:pStyle w:val="41"/>
              <w:rPr>
                <w:rFonts w:hint="eastAsia"/>
              </w:rPr>
            </w:pPr>
            <w:r>
              <w:rPr>
                <w:rFonts w:hint="eastAsia"/>
              </w:rPr>
              <w:t>8.1多层住宅中建成时未安装电梯，具备加装电梯条件但尚未进行加装改造的住宅数量</w:t>
            </w:r>
          </w:p>
        </w:tc>
        <w:tc>
          <w:tcPr>
            <w:tcW w:w="1220" w:type="pct"/>
            <w:vMerge w:val="restart"/>
            <w:shd w:val="clear" w:color="auto" w:fill="auto"/>
            <w:vAlign w:val="center"/>
          </w:tcPr>
          <w:p w14:paraId="4ABDE86E">
            <w:pPr>
              <w:pStyle w:val="41"/>
              <w:rPr>
                <w:rFonts w:hint="eastAsia"/>
              </w:rPr>
            </w:pPr>
            <w:r>
              <w:rPr>
                <w:rFonts w:hint="eastAsia"/>
              </w:rPr>
              <w:t>查找建成时未安装电梯的多层住宅中具备加装电梯条件、但尚未加装改造的问题。具备条件的，可按照《无障碍设计规范》、既有住宅适老化改造相关标准要求，查找住宅出入口、门厅等公用区域以及住宅户内适老设施建设短板。</w:t>
            </w:r>
          </w:p>
        </w:tc>
        <w:tc>
          <w:tcPr>
            <w:tcW w:w="1351" w:type="pct"/>
            <w:vMerge w:val="restart"/>
            <w:shd w:val="clear" w:color="auto" w:fill="auto"/>
            <w:vAlign w:val="center"/>
          </w:tcPr>
          <w:p w14:paraId="728AA6DD">
            <w:pPr>
              <w:pStyle w:val="41"/>
              <w:rPr>
                <w:rFonts w:hint="eastAsia"/>
              </w:rPr>
            </w:pPr>
            <w:r>
              <w:rPr>
                <w:rFonts w:hint="eastAsia"/>
              </w:rPr>
              <w:t>市住建局、小区物业、社区管理员现场调研填报、专业机构检测</w:t>
            </w:r>
          </w:p>
        </w:tc>
      </w:tr>
      <w:tr w14:paraId="7ECDF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765D8AC">
            <w:pPr>
              <w:pStyle w:val="41"/>
              <w:rPr>
                <w:rFonts w:hint="eastAsia"/>
              </w:rPr>
            </w:pPr>
          </w:p>
        </w:tc>
        <w:tc>
          <w:tcPr>
            <w:tcW w:w="196" w:type="pct"/>
            <w:vMerge w:val="continue"/>
            <w:shd w:val="clear" w:color="auto" w:fill="auto"/>
            <w:vAlign w:val="center"/>
          </w:tcPr>
          <w:p w14:paraId="19364103">
            <w:pPr>
              <w:pStyle w:val="41"/>
              <w:rPr>
                <w:rFonts w:hint="eastAsia"/>
              </w:rPr>
            </w:pPr>
          </w:p>
        </w:tc>
        <w:tc>
          <w:tcPr>
            <w:tcW w:w="160" w:type="pct"/>
            <w:vMerge w:val="continue"/>
            <w:shd w:val="clear" w:color="auto" w:fill="auto"/>
            <w:vAlign w:val="center"/>
          </w:tcPr>
          <w:p w14:paraId="5168D3C0">
            <w:pPr>
              <w:pStyle w:val="41"/>
              <w:rPr>
                <w:rFonts w:hint="eastAsia"/>
              </w:rPr>
            </w:pPr>
          </w:p>
        </w:tc>
        <w:tc>
          <w:tcPr>
            <w:tcW w:w="849" w:type="pct"/>
            <w:vMerge w:val="continue"/>
            <w:shd w:val="clear" w:color="auto" w:fill="auto"/>
            <w:vAlign w:val="center"/>
          </w:tcPr>
          <w:p w14:paraId="3D90476A">
            <w:pPr>
              <w:pStyle w:val="41"/>
              <w:rPr>
                <w:rFonts w:hint="eastAsia"/>
              </w:rPr>
            </w:pPr>
          </w:p>
        </w:tc>
        <w:tc>
          <w:tcPr>
            <w:tcW w:w="902" w:type="pct"/>
            <w:shd w:val="clear" w:color="auto" w:fill="auto"/>
            <w:vAlign w:val="center"/>
          </w:tcPr>
          <w:p w14:paraId="63107F1A">
            <w:pPr>
              <w:pStyle w:val="41"/>
              <w:rPr>
                <w:rFonts w:hint="eastAsia"/>
              </w:rPr>
            </w:pPr>
            <w:r>
              <w:rPr>
                <w:rFonts w:hint="eastAsia"/>
              </w:rPr>
              <w:t>8.2住宅单元出入口和通道未进行无障碍改造、地面防滑处理的住宅数量</w:t>
            </w:r>
          </w:p>
        </w:tc>
        <w:tc>
          <w:tcPr>
            <w:tcW w:w="1220" w:type="pct"/>
            <w:vMerge w:val="continue"/>
            <w:shd w:val="clear" w:color="auto" w:fill="auto"/>
            <w:vAlign w:val="center"/>
          </w:tcPr>
          <w:p w14:paraId="0AE9013C">
            <w:pPr>
              <w:pStyle w:val="41"/>
              <w:rPr>
                <w:rFonts w:hint="eastAsia"/>
              </w:rPr>
            </w:pPr>
          </w:p>
        </w:tc>
        <w:tc>
          <w:tcPr>
            <w:tcW w:w="1351" w:type="pct"/>
            <w:vMerge w:val="continue"/>
            <w:shd w:val="clear" w:color="auto" w:fill="auto"/>
            <w:vAlign w:val="center"/>
          </w:tcPr>
          <w:p w14:paraId="27E106C8">
            <w:pPr>
              <w:pStyle w:val="41"/>
              <w:rPr>
                <w:rFonts w:hint="eastAsia"/>
              </w:rPr>
            </w:pPr>
          </w:p>
        </w:tc>
      </w:tr>
      <w:tr w14:paraId="2836B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DCB12C5">
            <w:pPr>
              <w:pStyle w:val="41"/>
              <w:rPr>
                <w:rFonts w:hint="eastAsia"/>
              </w:rPr>
            </w:pPr>
          </w:p>
        </w:tc>
        <w:tc>
          <w:tcPr>
            <w:tcW w:w="196" w:type="pct"/>
            <w:vMerge w:val="continue"/>
            <w:shd w:val="clear" w:color="auto" w:fill="auto"/>
            <w:vAlign w:val="center"/>
          </w:tcPr>
          <w:p w14:paraId="329BDEC4">
            <w:pPr>
              <w:pStyle w:val="41"/>
              <w:rPr>
                <w:rFonts w:hint="eastAsia"/>
              </w:rPr>
            </w:pPr>
          </w:p>
        </w:tc>
        <w:tc>
          <w:tcPr>
            <w:tcW w:w="160" w:type="pct"/>
            <w:vMerge w:val="continue"/>
            <w:shd w:val="clear" w:color="auto" w:fill="auto"/>
            <w:vAlign w:val="center"/>
          </w:tcPr>
          <w:p w14:paraId="20BDDED2">
            <w:pPr>
              <w:pStyle w:val="41"/>
              <w:rPr>
                <w:rFonts w:hint="eastAsia"/>
              </w:rPr>
            </w:pPr>
          </w:p>
        </w:tc>
        <w:tc>
          <w:tcPr>
            <w:tcW w:w="849" w:type="pct"/>
            <w:vMerge w:val="continue"/>
            <w:shd w:val="clear" w:color="auto" w:fill="auto"/>
            <w:vAlign w:val="center"/>
          </w:tcPr>
          <w:p w14:paraId="2F19DB0F">
            <w:pPr>
              <w:pStyle w:val="41"/>
              <w:rPr>
                <w:rFonts w:hint="eastAsia"/>
              </w:rPr>
            </w:pPr>
          </w:p>
        </w:tc>
        <w:tc>
          <w:tcPr>
            <w:tcW w:w="902" w:type="pct"/>
            <w:shd w:val="clear" w:color="auto" w:fill="auto"/>
            <w:vAlign w:val="center"/>
          </w:tcPr>
          <w:p w14:paraId="0DF58DD8">
            <w:pPr>
              <w:pStyle w:val="41"/>
              <w:rPr>
                <w:rFonts w:hint="eastAsia"/>
              </w:rPr>
            </w:pPr>
            <w:r>
              <w:rPr>
                <w:rFonts w:hint="eastAsia"/>
              </w:rPr>
              <w:t>8.3楼梯间未沿墙加装扶手的住宅数量</w:t>
            </w:r>
          </w:p>
        </w:tc>
        <w:tc>
          <w:tcPr>
            <w:tcW w:w="1220" w:type="pct"/>
            <w:vMerge w:val="continue"/>
            <w:shd w:val="clear" w:color="auto" w:fill="auto"/>
            <w:vAlign w:val="center"/>
          </w:tcPr>
          <w:p w14:paraId="204F3E35">
            <w:pPr>
              <w:pStyle w:val="41"/>
              <w:rPr>
                <w:rFonts w:hint="eastAsia"/>
              </w:rPr>
            </w:pPr>
          </w:p>
        </w:tc>
        <w:tc>
          <w:tcPr>
            <w:tcW w:w="1351" w:type="pct"/>
            <w:vMerge w:val="continue"/>
            <w:shd w:val="clear" w:color="auto" w:fill="auto"/>
            <w:vAlign w:val="center"/>
          </w:tcPr>
          <w:p w14:paraId="1B124D93">
            <w:pPr>
              <w:pStyle w:val="41"/>
              <w:rPr>
                <w:rFonts w:hint="eastAsia"/>
              </w:rPr>
            </w:pPr>
          </w:p>
        </w:tc>
      </w:tr>
      <w:tr w14:paraId="56E3A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70F7FDB">
            <w:pPr>
              <w:pStyle w:val="41"/>
              <w:rPr>
                <w:rFonts w:hint="eastAsia"/>
              </w:rPr>
            </w:pPr>
          </w:p>
        </w:tc>
        <w:tc>
          <w:tcPr>
            <w:tcW w:w="196" w:type="pct"/>
            <w:vMerge w:val="continue"/>
            <w:shd w:val="clear" w:color="auto" w:fill="auto"/>
            <w:vAlign w:val="center"/>
          </w:tcPr>
          <w:p w14:paraId="08A8D78B">
            <w:pPr>
              <w:pStyle w:val="41"/>
              <w:rPr>
                <w:rFonts w:hint="eastAsia"/>
              </w:rPr>
            </w:pPr>
          </w:p>
        </w:tc>
        <w:tc>
          <w:tcPr>
            <w:tcW w:w="160" w:type="pct"/>
            <w:vMerge w:val="continue"/>
            <w:shd w:val="clear" w:color="auto" w:fill="auto"/>
            <w:vAlign w:val="center"/>
          </w:tcPr>
          <w:p w14:paraId="5061A0F3">
            <w:pPr>
              <w:pStyle w:val="41"/>
              <w:rPr>
                <w:rFonts w:hint="eastAsia"/>
              </w:rPr>
            </w:pPr>
          </w:p>
        </w:tc>
        <w:tc>
          <w:tcPr>
            <w:tcW w:w="849" w:type="pct"/>
            <w:vMerge w:val="continue"/>
            <w:shd w:val="clear" w:color="auto" w:fill="auto"/>
            <w:vAlign w:val="center"/>
          </w:tcPr>
          <w:p w14:paraId="4C685F9F">
            <w:pPr>
              <w:pStyle w:val="41"/>
              <w:rPr>
                <w:rFonts w:hint="eastAsia"/>
              </w:rPr>
            </w:pPr>
          </w:p>
        </w:tc>
        <w:tc>
          <w:tcPr>
            <w:tcW w:w="902" w:type="pct"/>
            <w:shd w:val="clear" w:color="auto" w:fill="auto"/>
            <w:vAlign w:val="center"/>
          </w:tcPr>
          <w:p w14:paraId="5B292C54">
            <w:pPr>
              <w:pStyle w:val="41"/>
              <w:rPr>
                <w:rFonts w:hint="eastAsia"/>
              </w:rPr>
            </w:pPr>
            <w:r>
              <w:rPr>
                <w:rFonts w:hint="eastAsia"/>
              </w:rPr>
              <w:t>8.4特殊困难老年人家庭未实施适老化改造的住宅数量</w:t>
            </w:r>
          </w:p>
        </w:tc>
        <w:tc>
          <w:tcPr>
            <w:tcW w:w="1220" w:type="pct"/>
            <w:vMerge w:val="continue"/>
            <w:shd w:val="clear" w:color="auto" w:fill="auto"/>
            <w:vAlign w:val="center"/>
          </w:tcPr>
          <w:p w14:paraId="55967CFD">
            <w:pPr>
              <w:pStyle w:val="41"/>
              <w:rPr>
                <w:rFonts w:hint="eastAsia"/>
              </w:rPr>
            </w:pPr>
          </w:p>
        </w:tc>
        <w:tc>
          <w:tcPr>
            <w:tcW w:w="1351" w:type="pct"/>
            <w:vMerge w:val="continue"/>
            <w:shd w:val="clear" w:color="auto" w:fill="auto"/>
            <w:vAlign w:val="center"/>
          </w:tcPr>
          <w:p w14:paraId="0945D406">
            <w:pPr>
              <w:pStyle w:val="41"/>
              <w:rPr>
                <w:rFonts w:hint="eastAsia"/>
              </w:rPr>
            </w:pPr>
          </w:p>
        </w:tc>
      </w:tr>
      <w:tr w14:paraId="6A258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319" w:type="pct"/>
            <w:vMerge w:val="continue"/>
            <w:shd w:val="clear" w:color="auto" w:fill="auto"/>
            <w:vAlign w:val="center"/>
          </w:tcPr>
          <w:p w14:paraId="75F2FE63">
            <w:pPr>
              <w:pStyle w:val="41"/>
              <w:rPr>
                <w:rFonts w:hint="eastAsia"/>
              </w:rPr>
            </w:pPr>
          </w:p>
        </w:tc>
        <w:tc>
          <w:tcPr>
            <w:tcW w:w="196" w:type="pct"/>
            <w:vMerge w:val="restart"/>
            <w:shd w:val="clear" w:color="auto" w:fill="auto"/>
            <w:vAlign w:val="center"/>
          </w:tcPr>
          <w:p w14:paraId="061625E9">
            <w:pPr>
              <w:pStyle w:val="41"/>
              <w:rPr>
                <w:rFonts w:hint="eastAsia"/>
              </w:rPr>
            </w:pPr>
            <w:r>
              <w:rPr>
                <w:rFonts w:hint="eastAsia"/>
              </w:rPr>
              <w:t>绿色智能</w:t>
            </w:r>
          </w:p>
        </w:tc>
        <w:tc>
          <w:tcPr>
            <w:tcW w:w="160" w:type="pct"/>
            <w:shd w:val="clear" w:color="auto" w:fill="auto"/>
            <w:vAlign w:val="center"/>
          </w:tcPr>
          <w:p w14:paraId="1AB91E8F">
            <w:pPr>
              <w:pStyle w:val="41"/>
              <w:rPr>
                <w:rFonts w:hint="eastAsia"/>
              </w:rPr>
            </w:pPr>
            <w:r>
              <w:rPr>
                <w:rFonts w:hint="eastAsia"/>
              </w:rPr>
              <w:t>9</w:t>
            </w:r>
          </w:p>
        </w:tc>
        <w:tc>
          <w:tcPr>
            <w:tcW w:w="849" w:type="pct"/>
            <w:shd w:val="clear" w:color="auto" w:fill="auto"/>
            <w:vAlign w:val="center"/>
          </w:tcPr>
          <w:p w14:paraId="4AD60F4B">
            <w:pPr>
              <w:pStyle w:val="41"/>
              <w:rPr>
                <w:rFonts w:hint="eastAsia"/>
              </w:rPr>
            </w:pPr>
            <w:r>
              <w:rPr>
                <w:rFonts w:hint="eastAsia"/>
              </w:rPr>
              <w:t>需要进行节能改造的住宅数量（栋）</w:t>
            </w:r>
          </w:p>
        </w:tc>
        <w:tc>
          <w:tcPr>
            <w:tcW w:w="902" w:type="pct"/>
            <w:shd w:val="clear" w:color="auto" w:fill="auto"/>
            <w:vAlign w:val="center"/>
          </w:tcPr>
          <w:p w14:paraId="111584B2">
            <w:pPr>
              <w:pStyle w:val="41"/>
              <w:rPr>
                <w:rFonts w:hint="eastAsia"/>
              </w:rPr>
            </w:pPr>
            <w:r>
              <w:rPr>
                <w:rFonts w:hint="eastAsia"/>
              </w:rPr>
              <w:t>9.1具备节能改造价值但尚未进行节能改造的住宅数量</w:t>
            </w:r>
          </w:p>
        </w:tc>
        <w:tc>
          <w:tcPr>
            <w:tcW w:w="1220" w:type="pct"/>
            <w:shd w:val="clear" w:color="auto" w:fill="auto"/>
            <w:vAlign w:val="center"/>
          </w:tcPr>
          <w:p w14:paraId="019048FB">
            <w:pPr>
              <w:pStyle w:val="41"/>
              <w:rPr>
                <w:rFonts w:hint="eastAsia"/>
              </w:rPr>
            </w:pPr>
            <w:r>
              <w:rPr>
                <w:rFonts w:hint="eastAsia"/>
              </w:rPr>
              <w:t>按照《城乡建设领域碳达峰实施方案》要求，查找2000年以前建设既有住宅中具备节能改造价值但尚未进行节能改造的住宅数量。</w:t>
            </w:r>
          </w:p>
        </w:tc>
        <w:tc>
          <w:tcPr>
            <w:tcW w:w="1351" w:type="pct"/>
            <w:shd w:val="clear" w:color="auto" w:fill="auto"/>
            <w:vAlign w:val="center"/>
          </w:tcPr>
          <w:p w14:paraId="174C6E06">
            <w:pPr>
              <w:pStyle w:val="41"/>
              <w:rPr>
                <w:rFonts w:hint="eastAsia"/>
              </w:rPr>
            </w:pPr>
            <w:r>
              <w:rPr>
                <w:rFonts w:hint="eastAsia"/>
              </w:rPr>
              <w:t>市住建局、专业机构入户检测</w:t>
            </w:r>
          </w:p>
        </w:tc>
      </w:tr>
      <w:tr w14:paraId="60A1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DFC5D98">
            <w:pPr>
              <w:pStyle w:val="41"/>
              <w:rPr>
                <w:rFonts w:hint="eastAsia"/>
              </w:rPr>
            </w:pPr>
          </w:p>
        </w:tc>
        <w:tc>
          <w:tcPr>
            <w:tcW w:w="196" w:type="pct"/>
            <w:vMerge w:val="continue"/>
            <w:shd w:val="clear" w:color="auto" w:fill="auto"/>
            <w:vAlign w:val="center"/>
          </w:tcPr>
          <w:p w14:paraId="159F5E4C">
            <w:pPr>
              <w:pStyle w:val="41"/>
              <w:rPr>
                <w:rFonts w:hint="eastAsia"/>
              </w:rPr>
            </w:pPr>
          </w:p>
        </w:tc>
        <w:tc>
          <w:tcPr>
            <w:tcW w:w="160" w:type="pct"/>
            <w:vMerge w:val="restart"/>
            <w:shd w:val="clear" w:color="auto" w:fill="auto"/>
            <w:vAlign w:val="center"/>
          </w:tcPr>
          <w:p w14:paraId="1DF1476D">
            <w:pPr>
              <w:pStyle w:val="41"/>
              <w:rPr>
                <w:rFonts w:hint="eastAsia"/>
              </w:rPr>
            </w:pPr>
            <w:r>
              <w:rPr>
                <w:rFonts w:hint="eastAsia"/>
              </w:rPr>
              <w:t>10</w:t>
            </w:r>
          </w:p>
        </w:tc>
        <w:tc>
          <w:tcPr>
            <w:tcW w:w="849" w:type="pct"/>
            <w:vMerge w:val="restart"/>
            <w:shd w:val="clear" w:color="auto" w:fill="auto"/>
            <w:vAlign w:val="center"/>
          </w:tcPr>
          <w:p w14:paraId="4C4DF4D1">
            <w:pPr>
              <w:pStyle w:val="41"/>
              <w:rPr>
                <w:rFonts w:hint="eastAsia"/>
              </w:rPr>
            </w:pPr>
            <w:r>
              <w:rPr>
                <w:rFonts w:hint="eastAsia"/>
              </w:rPr>
              <w:t>需要进行数字化改造的住宅数量（栋）</w:t>
            </w:r>
          </w:p>
        </w:tc>
        <w:tc>
          <w:tcPr>
            <w:tcW w:w="902" w:type="pct"/>
            <w:shd w:val="clear" w:color="auto" w:fill="auto"/>
            <w:vAlign w:val="center"/>
          </w:tcPr>
          <w:p w14:paraId="65B5D60F">
            <w:pPr>
              <w:pStyle w:val="41"/>
              <w:rPr>
                <w:rFonts w:hint="eastAsia"/>
              </w:rPr>
            </w:pPr>
            <w:r>
              <w:rPr>
                <w:rFonts w:hint="eastAsia"/>
              </w:rPr>
              <w:t>10.1住宅网络基础设施未覆盖，不具备光纤入户条件的住宅数量</w:t>
            </w:r>
          </w:p>
        </w:tc>
        <w:tc>
          <w:tcPr>
            <w:tcW w:w="1220" w:type="pct"/>
            <w:vMerge w:val="restart"/>
            <w:shd w:val="clear" w:color="auto" w:fill="auto"/>
            <w:vAlign w:val="center"/>
          </w:tcPr>
          <w:p w14:paraId="0BE1D904">
            <w:pPr>
              <w:pStyle w:val="41"/>
              <w:rPr>
                <w:rFonts w:hint="eastAsia"/>
              </w:rPr>
            </w:pPr>
            <w:r>
              <w:rPr>
                <w:rFonts w:hint="eastAsia"/>
              </w:rPr>
              <w:t>按照住房和城乡建设部等部门《关于加快发展数字家庭提高居住品质的指导意见》要求，查找既有住宅中网络基础设施、安防监测设备、高层住宅烟雾报警器等智能产品设置存在的问题。针对有需要的老年人、残疾人家庭，查找在健康管理、紧急呼叫等智能产品设置方面存在的问题。</w:t>
            </w:r>
          </w:p>
        </w:tc>
        <w:tc>
          <w:tcPr>
            <w:tcW w:w="1351" w:type="pct"/>
            <w:vMerge w:val="restart"/>
            <w:shd w:val="clear" w:color="auto" w:fill="auto"/>
            <w:vAlign w:val="center"/>
          </w:tcPr>
          <w:p w14:paraId="724F2094">
            <w:pPr>
              <w:pStyle w:val="41"/>
              <w:rPr>
                <w:rFonts w:hint="eastAsia"/>
              </w:rPr>
            </w:pPr>
            <w:r>
              <w:rPr>
                <w:rFonts w:hint="eastAsia"/>
              </w:rPr>
              <w:t>市住建局、小区物业、社区管理员现场调研填报、专业机构检测</w:t>
            </w:r>
          </w:p>
        </w:tc>
      </w:tr>
      <w:tr w14:paraId="5B2C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7A174B6">
            <w:pPr>
              <w:pStyle w:val="41"/>
              <w:rPr>
                <w:rFonts w:hint="eastAsia"/>
              </w:rPr>
            </w:pPr>
          </w:p>
        </w:tc>
        <w:tc>
          <w:tcPr>
            <w:tcW w:w="196" w:type="pct"/>
            <w:vMerge w:val="continue"/>
            <w:shd w:val="clear" w:color="auto" w:fill="auto"/>
            <w:vAlign w:val="center"/>
          </w:tcPr>
          <w:p w14:paraId="48073199">
            <w:pPr>
              <w:pStyle w:val="41"/>
              <w:rPr>
                <w:rFonts w:hint="eastAsia"/>
              </w:rPr>
            </w:pPr>
          </w:p>
        </w:tc>
        <w:tc>
          <w:tcPr>
            <w:tcW w:w="160" w:type="pct"/>
            <w:vMerge w:val="continue"/>
            <w:shd w:val="clear" w:color="auto" w:fill="auto"/>
            <w:vAlign w:val="center"/>
          </w:tcPr>
          <w:p w14:paraId="57069F5C">
            <w:pPr>
              <w:pStyle w:val="41"/>
              <w:rPr>
                <w:rFonts w:hint="eastAsia"/>
              </w:rPr>
            </w:pPr>
          </w:p>
        </w:tc>
        <w:tc>
          <w:tcPr>
            <w:tcW w:w="849" w:type="pct"/>
            <w:vMerge w:val="continue"/>
            <w:shd w:val="clear" w:color="auto" w:fill="auto"/>
            <w:vAlign w:val="center"/>
          </w:tcPr>
          <w:p w14:paraId="341C7207">
            <w:pPr>
              <w:pStyle w:val="41"/>
              <w:rPr>
                <w:rFonts w:hint="eastAsia"/>
              </w:rPr>
            </w:pPr>
          </w:p>
        </w:tc>
        <w:tc>
          <w:tcPr>
            <w:tcW w:w="902" w:type="pct"/>
            <w:shd w:val="clear" w:color="auto" w:fill="auto"/>
            <w:vAlign w:val="center"/>
          </w:tcPr>
          <w:p w14:paraId="424F35B5">
            <w:pPr>
              <w:pStyle w:val="41"/>
              <w:rPr>
                <w:rFonts w:hint="eastAsia"/>
              </w:rPr>
            </w:pPr>
            <w:r>
              <w:rPr>
                <w:rFonts w:hint="eastAsia"/>
              </w:rPr>
              <w:t>10.2住宅公共空间未安装楼宇入侵报警、视频监控等安防检测设备的住宅数量</w:t>
            </w:r>
          </w:p>
        </w:tc>
        <w:tc>
          <w:tcPr>
            <w:tcW w:w="1220" w:type="pct"/>
            <w:vMerge w:val="continue"/>
            <w:shd w:val="clear" w:color="auto" w:fill="auto"/>
            <w:vAlign w:val="center"/>
          </w:tcPr>
          <w:p w14:paraId="73CC3F50">
            <w:pPr>
              <w:pStyle w:val="41"/>
              <w:rPr>
                <w:rFonts w:hint="eastAsia"/>
              </w:rPr>
            </w:pPr>
          </w:p>
        </w:tc>
        <w:tc>
          <w:tcPr>
            <w:tcW w:w="1351" w:type="pct"/>
            <w:vMerge w:val="continue"/>
            <w:shd w:val="clear" w:color="auto" w:fill="auto"/>
            <w:vAlign w:val="center"/>
          </w:tcPr>
          <w:p w14:paraId="7DA5C2BD">
            <w:pPr>
              <w:pStyle w:val="41"/>
              <w:rPr>
                <w:rFonts w:hint="eastAsia"/>
              </w:rPr>
            </w:pPr>
          </w:p>
        </w:tc>
      </w:tr>
      <w:tr w14:paraId="32551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 w:hRule="atLeast"/>
        </w:trPr>
        <w:tc>
          <w:tcPr>
            <w:tcW w:w="319" w:type="pct"/>
            <w:vMerge w:val="continue"/>
            <w:shd w:val="clear" w:color="auto" w:fill="auto"/>
            <w:vAlign w:val="center"/>
          </w:tcPr>
          <w:p w14:paraId="6203BD49">
            <w:pPr>
              <w:pStyle w:val="41"/>
              <w:rPr>
                <w:rFonts w:hint="eastAsia"/>
              </w:rPr>
            </w:pPr>
          </w:p>
        </w:tc>
        <w:tc>
          <w:tcPr>
            <w:tcW w:w="196" w:type="pct"/>
            <w:vMerge w:val="continue"/>
            <w:shd w:val="clear" w:color="auto" w:fill="auto"/>
            <w:vAlign w:val="center"/>
          </w:tcPr>
          <w:p w14:paraId="448196CD">
            <w:pPr>
              <w:pStyle w:val="41"/>
              <w:rPr>
                <w:rFonts w:hint="eastAsia"/>
              </w:rPr>
            </w:pPr>
          </w:p>
        </w:tc>
        <w:tc>
          <w:tcPr>
            <w:tcW w:w="160" w:type="pct"/>
            <w:vMerge w:val="continue"/>
            <w:shd w:val="clear" w:color="auto" w:fill="auto"/>
            <w:vAlign w:val="center"/>
          </w:tcPr>
          <w:p w14:paraId="3A8304EC">
            <w:pPr>
              <w:pStyle w:val="41"/>
              <w:rPr>
                <w:rFonts w:hint="eastAsia"/>
              </w:rPr>
            </w:pPr>
          </w:p>
        </w:tc>
        <w:tc>
          <w:tcPr>
            <w:tcW w:w="849" w:type="pct"/>
            <w:vMerge w:val="continue"/>
            <w:shd w:val="clear" w:color="auto" w:fill="auto"/>
            <w:vAlign w:val="center"/>
          </w:tcPr>
          <w:p w14:paraId="4F60B264">
            <w:pPr>
              <w:pStyle w:val="41"/>
              <w:rPr>
                <w:rFonts w:hint="eastAsia"/>
              </w:rPr>
            </w:pPr>
          </w:p>
        </w:tc>
        <w:tc>
          <w:tcPr>
            <w:tcW w:w="902" w:type="pct"/>
            <w:shd w:val="clear" w:color="auto" w:fill="auto"/>
            <w:vAlign w:val="center"/>
          </w:tcPr>
          <w:p w14:paraId="4BA88C4E">
            <w:pPr>
              <w:pStyle w:val="41"/>
              <w:rPr>
                <w:rFonts w:hint="eastAsia"/>
              </w:rPr>
            </w:pPr>
            <w:r>
              <w:rPr>
                <w:rFonts w:hint="eastAsia"/>
              </w:rPr>
              <w:t>10.3高层住宅的楼梯间、走道、候梯厅、门厅等公共部位未安装烟感报警器的住宅数量</w:t>
            </w:r>
          </w:p>
        </w:tc>
        <w:tc>
          <w:tcPr>
            <w:tcW w:w="1220" w:type="pct"/>
            <w:vMerge w:val="continue"/>
            <w:shd w:val="clear" w:color="auto" w:fill="auto"/>
            <w:vAlign w:val="center"/>
          </w:tcPr>
          <w:p w14:paraId="1C1B6E58">
            <w:pPr>
              <w:pStyle w:val="41"/>
              <w:rPr>
                <w:rFonts w:hint="eastAsia"/>
              </w:rPr>
            </w:pPr>
          </w:p>
        </w:tc>
        <w:tc>
          <w:tcPr>
            <w:tcW w:w="1351" w:type="pct"/>
            <w:vMerge w:val="continue"/>
            <w:shd w:val="clear" w:color="auto" w:fill="auto"/>
            <w:vAlign w:val="center"/>
          </w:tcPr>
          <w:p w14:paraId="6364EFEC">
            <w:pPr>
              <w:pStyle w:val="41"/>
              <w:rPr>
                <w:rFonts w:hint="eastAsia"/>
              </w:rPr>
            </w:pPr>
          </w:p>
        </w:tc>
      </w:tr>
      <w:tr w14:paraId="7312A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3" w:hRule="atLeast"/>
        </w:trPr>
        <w:tc>
          <w:tcPr>
            <w:tcW w:w="319" w:type="pct"/>
            <w:vMerge w:val="continue"/>
            <w:shd w:val="clear" w:color="auto" w:fill="auto"/>
            <w:vAlign w:val="center"/>
          </w:tcPr>
          <w:p w14:paraId="051E8896">
            <w:pPr>
              <w:pStyle w:val="41"/>
              <w:rPr>
                <w:rFonts w:hint="eastAsia"/>
              </w:rPr>
            </w:pPr>
          </w:p>
        </w:tc>
        <w:tc>
          <w:tcPr>
            <w:tcW w:w="196" w:type="pct"/>
            <w:vMerge w:val="continue"/>
            <w:shd w:val="clear" w:color="auto" w:fill="auto"/>
            <w:vAlign w:val="center"/>
          </w:tcPr>
          <w:p w14:paraId="7F6A87A7">
            <w:pPr>
              <w:pStyle w:val="41"/>
              <w:rPr>
                <w:rFonts w:hint="eastAsia"/>
              </w:rPr>
            </w:pPr>
          </w:p>
        </w:tc>
        <w:tc>
          <w:tcPr>
            <w:tcW w:w="160" w:type="pct"/>
            <w:vMerge w:val="continue"/>
            <w:shd w:val="clear" w:color="auto" w:fill="auto"/>
            <w:vAlign w:val="center"/>
          </w:tcPr>
          <w:p w14:paraId="34E31578">
            <w:pPr>
              <w:pStyle w:val="41"/>
              <w:rPr>
                <w:rFonts w:hint="eastAsia"/>
              </w:rPr>
            </w:pPr>
          </w:p>
        </w:tc>
        <w:tc>
          <w:tcPr>
            <w:tcW w:w="849" w:type="pct"/>
            <w:vMerge w:val="continue"/>
            <w:shd w:val="clear" w:color="auto" w:fill="auto"/>
            <w:vAlign w:val="center"/>
          </w:tcPr>
          <w:p w14:paraId="06BB638E">
            <w:pPr>
              <w:pStyle w:val="41"/>
              <w:rPr>
                <w:rFonts w:hint="eastAsia"/>
              </w:rPr>
            </w:pPr>
          </w:p>
        </w:tc>
        <w:tc>
          <w:tcPr>
            <w:tcW w:w="902" w:type="pct"/>
            <w:shd w:val="clear" w:color="auto" w:fill="auto"/>
            <w:vAlign w:val="center"/>
          </w:tcPr>
          <w:p w14:paraId="5DE6F296">
            <w:pPr>
              <w:pStyle w:val="41"/>
              <w:rPr>
                <w:rFonts w:hint="eastAsia"/>
              </w:rPr>
            </w:pPr>
            <w:r>
              <w:rPr>
                <w:rFonts w:hint="eastAsia"/>
              </w:rPr>
              <w:t>10.4未安装家庭健康紧急呼叫系统的住宅数量</w:t>
            </w:r>
          </w:p>
        </w:tc>
        <w:tc>
          <w:tcPr>
            <w:tcW w:w="1220" w:type="pct"/>
            <w:vMerge w:val="continue"/>
            <w:shd w:val="clear" w:color="auto" w:fill="auto"/>
            <w:vAlign w:val="center"/>
          </w:tcPr>
          <w:p w14:paraId="7FF54093">
            <w:pPr>
              <w:pStyle w:val="41"/>
              <w:rPr>
                <w:rFonts w:hint="eastAsia"/>
              </w:rPr>
            </w:pPr>
          </w:p>
        </w:tc>
        <w:tc>
          <w:tcPr>
            <w:tcW w:w="1351" w:type="pct"/>
            <w:vMerge w:val="continue"/>
            <w:shd w:val="clear" w:color="auto" w:fill="auto"/>
            <w:vAlign w:val="center"/>
          </w:tcPr>
          <w:p w14:paraId="7EBB50AB">
            <w:pPr>
              <w:pStyle w:val="41"/>
              <w:rPr>
                <w:rFonts w:hint="eastAsia"/>
              </w:rPr>
            </w:pPr>
          </w:p>
        </w:tc>
      </w:tr>
      <w:tr w14:paraId="53471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restart"/>
            <w:shd w:val="clear" w:color="auto" w:fill="auto"/>
            <w:vAlign w:val="center"/>
          </w:tcPr>
          <w:p w14:paraId="2DAA416B">
            <w:pPr>
              <w:pStyle w:val="41"/>
              <w:rPr>
                <w:rFonts w:hint="eastAsia"/>
              </w:rPr>
            </w:pPr>
            <w:r>
              <w:rPr>
                <w:rFonts w:hint="eastAsia"/>
              </w:rPr>
              <w:t>小区（社区）</w:t>
            </w:r>
          </w:p>
        </w:tc>
        <w:tc>
          <w:tcPr>
            <w:tcW w:w="196" w:type="pct"/>
            <w:vMerge w:val="restart"/>
            <w:shd w:val="clear" w:color="auto" w:fill="auto"/>
            <w:vAlign w:val="center"/>
          </w:tcPr>
          <w:p w14:paraId="779C821B">
            <w:pPr>
              <w:pStyle w:val="41"/>
              <w:rPr>
                <w:rFonts w:hint="eastAsia"/>
              </w:rPr>
            </w:pPr>
            <w:r>
              <w:rPr>
                <w:rFonts w:hint="eastAsia"/>
              </w:rPr>
              <w:t>设施完善</w:t>
            </w:r>
          </w:p>
        </w:tc>
        <w:tc>
          <w:tcPr>
            <w:tcW w:w="160" w:type="pct"/>
            <w:vMerge w:val="restart"/>
            <w:shd w:val="clear" w:color="auto" w:fill="auto"/>
            <w:vAlign w:val="center"/>
          </w:tcPr>
          <w:p w14:paraId="4A3836A6">
            <w:pPr>
              <w:pStyle w:val="41"/>
              <w:rPr>
                <w:rFonts w:hint="eastAsia"/>
              </w:rPr>
            </w:pPr>
            <w:r>
              <w:rPr>
                <w:rFonts w:hint="eastAsia"/>
              </w:rPr>
              <w:t>11</w:t>
            </w:r>
          </w:p>
        </w:tc>
        <w:tc>
          <w:tcPr>
            <w:tcW w:w="849" w:type="pct"/>
            <w:vMerge w:val="restart"/>
            <w:shd w:val="clear" w:color="auto" w:fill="auto"/>
            <w:vAlign w:val="center"/>
          </w:tcPr>
          <w:p w14:paraId="69956D6C">
            <w:pPr>
              <w:pStyle w:val="41"/>
              <w:rPr>
                <w:rFonts w:hint="eastAsia"/>
              </w:rPr>
            </w:pPr>
            <w:r>
              <w:rPr>
                <w:rFonts w:hint="eastAsia"/>
              </w:rPr>
              <w:t>☆</w:t>
            </w:r>
            <w:r>
              <w:t>未达标配建的养老服务设施的小区数量（个）</w:t>
            </w:r>
          </w:p>
        </w:tc>
        <w:tc>
          <w:tcPr>
            <w:tcW w:w="902" w:type="pct"/>
            <w:shd w:val="clear" w:color="auto" w:fill="auto"/>
            <w:vAlign w:val="center"/>
          </w:tcPr>
          <w:p w14:paraId="2493B063">
            <w:pPr>
              <w:pStyle w:val="41"/>
              <w:rPr>
                <w:rFonts w:hint="eastAsia"/>
              </w:rPr>
            </w:pPr>
            <w:r>
              <w:rPr>
                <w:rFonts w:hint="eastAsia"/>
              </w:rPr>
              <w:t>11.1社区内没有配建社区养老服务设施的数量</w:t>
            </w:r>
          </w:p>
        </w:tc>
        <w:tc>
          <w:tcPr>
            <w:tcW w:w="1220" w:type="pct"/>
            <w:vMerge w:val="restart"/>
            <w:shd w:val="clear" w:color="auto" w:fill="auto"/>
            <w:vAlign w:val="center"/>
          </w:tcPr>
          <w:p w14:paraId="50E28BDF">
            <w:pPr>
              <w:pStyle w:val="41"/>
              <w:rPr>
                <w:rFonts w:hint="eastAsia"/>
              </w:rPr>
            </w:pPr>
            <w:r>
              <w:rPr>
                <w:rFonts w:hint="eastAsia"/>
              </w:rPr>
              <w:t>按照《社区老年人日间照料中心建设标准》《完整居住社区建设标准（试行）》等要求，查找社区养老服务设施配建缺失，以及生活照料、康复护理、助餐助行、上门照护、文化娱乐等养老服务不健全的问题。</w:t>
            </w:r>
          </w:p>
        </w:tc>
        <w:tc>
          <w:tcPr>
            <w:tcW w:w="1351" w:type="pct"/>
            <w:vMerge w:val="restart"/>
            <w:shd w:val="clear" w:color="auto" w:fill="auto"/>
            <w:vAlign w:val="center"/>
          </w:tcPr>
          <w:p w14:paraId="1E1CD5E9">
            <w:pPr>
              <w:pStyle w:val="41"/>
              <w:rPr>
                <w:rFonts w:hint="eastAsia"/>
              </w:rPr>
            </w:pPr>
            <w:r>
              <w:rPr>
                <w:rFonts w:hint="eastAsia"/>
              </w:rPr>
              <w:t>市住建局、市民政局、社区管理员或专业人员现场调研填报</w:t>
            </w:r>
          </w:p>
        </w:tc>
      </w:tr>
      <w:tr w14:paraId="6CC9B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8F1F4AF">
            <w:pPr>
              <w:pStyle w:val="41"/>
              <w:rPr>
                <w:rFonts w:hint="eastAsia"/>
              </w:rPr>
            </w:pPr>
          </w:p>
        </w:tc>
        <w:tc>
          <w:tcPr>
            <w:tcW w:w="196" w:type="pct"/>
            <w:vMerge w:val="continue"/>
            <w:shd w:val="clear" w:color="auto" w:fill="auto"/>
            <w:vAlign w:val="center"/>
          </w:tcPr>
          <w:p w14:paraId="2544DFBA">
            <w:pPr>
              <w:pStyle w:val="41"/>
              <w:rPr>
                <w:rFonts w:hint="eastAsia"/>
              </w:rPr>
            </w:pPr>
          </w:p>
        </w:tc>
        <w:tc>
          <w:tcPr>
            <w:tcW w:w="160" w:type="pct"/>
            <w:vMerge w:val="continue"/>
            <w:shd w:val="clear" w:color="auto" w:fill="auto"/>
            <w:vAlign w:val="center"/>
          </w:tcPr>
          <w:p w14:paraId="5E47A99A">
            <w:pPr>
              <w:pStyle w:val="41"/>
              <w:rPr>
                <w:rFonts w:hint="eastAsia"/>
              </w:rPr>
            </w:pPr>
          </w:p>
        </w:tc>
        <w:tc>
          <w:tcPr>
            <w:tcW w:w="849" w:type="pct"/>
            <w:vMerge w:val="continue"/>
            <w:shd w:val="clear" w:color="auto" w:fill="auto"/>
            <w:vAlign w:val="center"/>
          </w:tcPr>
          <w:p w14:paraId="7E425A46">
            <w:pPr>
              <w:pStyle w:val="41"/>
              <w:rPr>
                <w:rFonts w:hint="eastAsia"/>
              </w:rPr>
            </w:pPr>
          </w:p>
        </w:tc>
        <w:tc>
          <w:tcPr>
            <w:tcW w:w="902" w:type="pct"/>
            <w:shd w:val="clear" w:color="auto" w:fill="auto"/>
            <w:vAlign w:val="center"/>
          </w:tcPr>
          <w:p w14:paraId="528E2DC2">
            <w:pPr>
              <w:pStyle w:val="41"/>
              <w:rPr>
                <w:rFonts w:hint="eastAsia"/>
              </w:rPr>
            </w:pPr>
            <w:r>
              <w:rPr>
                <w:rFonts w:hint="eastAsia"/>
              </w:rPr>
              <w:t>11.2社区养老服务设施没有达到《社区老年人日间照料中心建设标准》《完整居住社区建设标准（试行）》等标准的数量</w:t>
            </w:r>
          </w:p>
        </w:tc>
        <w:tc>
          <w:tcPr>
            <w:tcW w:w="1220" w:type="pct"/>
            <w:vMerge w:val="continue"/>
            <w:shd w:val="clear" w:color="auto" w:fill="auto"/>
            <w:vAlign w:val="center"/>
          </w:tcPr>
          <w:p w14:paraId="337E4EE8">
            <w:pPr>
              <w:pStyle w:val="41"/>
              <w:rPr>
                <w:rFonts w:hint="eastAsia"/>
              </w:rPr>
            </w:pPr>
          </w:p>
        </w:tc>
        <w:tc>
          <w:tcPr>
            <w:tcW w:w="1351" w:type="pct"/>
            <w:vMerge w:val="continue"/>
            <w:shd w:val="clear" w:color="auto" w:fill="auto"/>
            <w:vAlign w:val="center"/>
          </w:tcPr>
          <w:p w14:paraId="0FA5F58C">
            <w:pPr>
              <w:pStyle w:val="41"/>
              <w:rPr>
                <w:rFonts w:hint="eastAsia"/>
              </w:rPr>
            </w:pPr>
          </w:p>
        </w:tc>
      </w:tr>
      <w:tr w14:paraId="7FFE1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319" w:type="pct"/>
            <w:vMerge w:val="continue"/>
            <w:shd w:val="clear" w:color="auto" w:fill="auto"/>
            <w:vAlign w:val="center"/>
          </w:tcPr>
          <w:p w14:paraId="11B6F824">
            <w:pPr>
              <w:pStyle w:val="41"/>
              <w:rPr>
                <w:rFonts w:hint="eastAsia"/>
              </w:rPr>
            </w:pPr>
          </w:p>
        </w:tc>
        <w:tc>
          <w:tcPr>
            <w:tcW w:w="196" w:type="pct"/>
            <w:vMerge w:val="continue"/>
            <w:shd w:val="clear" w:color="auto" w:fill="auto"/>
            <w:vAlign w:val="center"/>
          </w:tcPr>
          <w:p w14:paraId="335A2C0F">
            <w:pPr>
              <w:pStyle w:val="41"/>
              <w:rPr>
                <w:rFonts w:hint="eastAsia"/>
              </w:rPr>
            </w:pPr>
          </w:p>
        </w:tc>
        <w:tc>
          <w:tcPr>
            <w:tcW w:w="160" w:type="pct"/>
            <w:vMerge w:val="continue"/>
            <w:shd w:val="clear" w:color="auto" w:fill="auto"/>
            <w:vAlign w:val="center"/>
          </w:tcPr>
          <w:p w14:paraId="25591105">
            <w:pPr>
              <w:pStyle w:val="41"/>
              <w:rPr>
                <w:rFonts w:hint="eastAsia"/>
              </w:rPr>
            </w:pPr>
          </w:p>
        </w:tc>
        <w:tc>
          <w:tcPr>
            <w:tcW w:w="849" w:type="pct"/>
            <w:vMerge w:val="continue"/>
            <w:shd w:val="clear" w:color="auto" w:fill="auto"/>
            <w:vAlign w:val="center"/>
          </w:tcPr>
          <w:p w14:paraId="64EEB0ED">
            <w:pPr>
              <w:pStyle w:val="41"/>
              <w:rPr>
                <w:rFonts w:hint="eastAsia"/>
              </w:rPr>
            </w:pPr>
          </w:p>
        </w:tc>
        <w:tc>
          <w:tcPr>
            <w:tcW w:w="902" w:type="pct"/>
            <w:shd w:val="clear" w:color="auto" w:fill="auto"/>
            <w:vAlign w:val="center"/>
          </w:tcPr>
          <w:p w14:paraId="34065235">
            <w:pPr>
              <w:pStyle w:val="41"/>
              <w:rPr>
                <w:rFonts w:hint="eastAsia"/>
              </w:rPr>
            </w:pPr>
            <w:r>
              <w:rPr>
                <w:rFonts w:hint="eastAsia"/>
              </w:rPr>
              <w:t>11.3存在生活照料、康复护理、助餐助行、上门照护、文化娱乐等养老服务不健全问题的数量</w:t>
            </w:r>
          </w:p>
        </w:tc>
        <w:tc>
          <w:tcPr>
            <w:tcW w:w="1220" w:type="pct"/>
            <w:vMerge w:val="continue"/>
            <w:shd w:val="clear" w:color="auto" w:fill="auto"/>
            <w:vAlign w:val="center"/>
          </w:tcPr>
          <w:p w14:paraId="718C9A7C">
            <w:pPr>
              <w:pStyle w:val="41"/>
              <w:rPr>
                <w:rFonts w:hint="eastAsia"/>
              </w:rPr>
            </w:pPr>
          </w:p>
        </w:tc>
        <w:tc>
          <w:tcPr>
            <w:tcW w:w="1351" w:type="pct"/>
            <w:vMerge w:val="continue"/>
            <w:shd w:val="clear" w:color="auto" w:fill="auto"/>
            <w:vAlign w:val="center"/>
          </w:tcPr>
          <w:p w14:paraId="3A0F8214">
            <w:pPr>
              <w:pStyle w:val="41"/>
              <w:rPr>
                <w:rFonts w:hint="eastAsia"/>
              </w:rPr>
            </w:pPr>
          </w:p>
        </w:tc>
      </w:tr>
      <w:tr w14:paraId="3C668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2AB3369">
            <w:pPr>
              <w:pStyle w:val="41"/>
              <w:rPr>
                <w:rFonts w:hint="eastAsia"/>
              </w:rPr>
            </w:pPr>
          </w:p>
        </w:tc>
        <w:tc>
          <w:tcPr>
            <w:tcW w:w="196" w:type="pct"/>
            <w:vMerge w:val="continue"/>
            <w:shd w:val="clear" w:color="auto" w:fill="auto"/>
            <w:vAlign w:val="center"/>
          </w:tcPr>
          <w:p w14:paraId="0CE015CB">
            <w:pPr>
              <w:pStyle w:val="41"/>
              <w:rPr>
                <w:rFonts w:hint="eastAsia"/>
              </w:rPr>
            </w:pPr>
          </w:p>
        </w:tc>
        <w:tc>
          <w:tcPr>
            <w:tcW w:w="160" w:type="pct"/>
            <w:vMerge w:val="restart"/>
            <w:shd w:val="clear" w:color="auto" w:fill="auto"/>
            <w:vAlign w:val="center"/>
          </w:tcPr>
          <w:p w14:paraId="0BB0CDA3">
            <w:pPr>
              <w:pStyle w:val="41"/>
              <w:rPr>
                <w:rFonts w:hint="eastAsia"/>
              </w:rPr>
            </w:pPr>
            <w:r>
              <w:rPr>
                <w:rFonts w:hint="eastAsia"/>
              </w:rPr>
              <w:t>12</w:t>
            </w:r>
          </w:p>
        </w:tc>
        <w:tc>
          <w:tcPr>
            <w:tcW w:w="849" w:type="pct"/>
            <w:vMerge w:val="restart"/>
            <w:shd w:val="clear" w:color="auto" w:fill="auto"/>
            <w:vAlign w:val="center"/>
          </w:tcPr>
          <w:p w14:paraId="18CDA53B">
            <w:pPr>
              <w:pStyle w:val="41"/>
              <w:rPr>
                <w:rFonts w:hint="eastAsia"/>
              </w:rPr>
            </w:pPr>
            <w:r>
              <w:rPr>
                <w:rFonts w:hint="eastAsia"/>
              </w:rPr>
              <w:t>☆</w:t>
            </w:r>
            <w:r>
              <w:t>未达标配建婴幼儿照护服务设施的小区数量（个）</w:t>
            </w:r>
          </w:p>
        </w:tc>
        <w:tc>
          <w:tcPr>
            <w:tcW w:w="902" w:type="pct"/>
            <w:shd w:val="clear" w:color="auto" w:fill="auto"/>
            <w:vAlign w:val="center"/>
          </w:tcPr>
          <w:p w14:paraId="2448990F">
            <w:pPr>
              <w:pStyle w:val="41"/>
              <w:rPr>
                <w:rFonts w:hint="eastAsia"/>
              </w:rPr>
            </w:pPr>
            <w:r>
              <w:rPr>
                <w:rFonts w:hint="eastAsia"/>
              </w:rPr>
              <w:t>12.1社区内没有配建婴幼儿照护服务设施的数量</w:t>
            </w:r>
          </w:p>
        </w:tc>
        <w:tc>
          <w:tcPr>
            <w:tcW w:w="1220" w:type="pct"/>
            <w:vMerge w:val="restart"/>
            <w:shd w:val="clear" w:color="auto" w:fill="auto"/>
            <w:vAlign w:val="center"/>
          </w:tcPr>
          <w:p w14:paraId="10249903">
            <w:pPr>
              <w:pStyle w:val="41"/>
              <w:rPr>
                <w:rFonts w:hint="eastAsia"/>
              </w:rPr>
            </w:pPr>
            <w:r>
              <w:rPr>
                <w:rFonts w:hint="eastAsia"/>
              </w:rPr>
              <w:t>按照《托育机构设置标准（试行）》《完整居住社区建设标准（试行）》等要求，查找婴幼儿照护服务设施配建缺失，以及对婴幼儿早期发展指导等照护服务不到位的问题。</w:t>
            </w:r>
          </w:p>
        </w:tc>
        <w:tc>
          <w:tcPr>
            <w:tcW w:w="1351" w:type="pct"/>
            <w:vMerge w:val="restart"/>
            <w:shd w:val="clear" w:color="auto" w:fill="auto"/>
            <w:vAlign w:val="center"/>
          </w:tcPr>
          <w:p w14:paraId="670EC348">
            <w:pPr>
              <w:pStyle w:val="41"/>
              <w:rPr>
                <w:rFonts w:hint="eastAsia"/>
              </w:rPr>
            </w:pPr>
            <w:r>
              <w:rPr>
                <w:rFonts w:hint="eastAsia"/>
              </w:rPr>
              <w:t>市卫健委、社区管理员或专业人员现场调研填报</w:t>
            </w:r>
          </w:p>
        </w:tc>
      </w:tr>
      <w:tr w14:paraId="32184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5637976">
            <w:pPr>
              <w:pStyle w:val="41"/>
              <w:rPr>
                <w:rFonts w:hint="eastAsia"/>
              </w:rPr>
            </w:pPr>
          </w:p>
        </w:tc>
        <w:tc>
          <w:tcPr>
            <w:tcW w:w="196" w:type="pct"/>
            <w:vMerge w:val="continue"/>
            <w:shd w:val="clear" w:color="auto" w:fill="auto"/>
            <w:vAlign w:val="center"/>
          </w:tcPr>
          <w:p w14:paraId="14377252">
            <w:pPr>
              <w:pStyle w:val="41"/>
              <w:rPr>
                <w:rFonts w:hint="eastAsia"/>
              </w:rPr>
            </w:pPr>
          </w:p>
        </w:tc>
        <w:tc>
          <w:tcPr>
            <w:tcW w:w="160" w:type="pct"/>
            <w:vMerge w:val="continue"/>
            <w:shd w:val="clear" w:color="auto" w:fill="auto"/>
            <w:vAlign w:val="center"/>
          </w:tcPr>
          <w:p w14:paraId="2E296E16">
            <w:pPr>
              <w:pStyle w:val="41"/>
              <w:rPr>
                <w:rFonts w:hint="eastAsia"/>
              </w:rPr>
            </w:pPr>
          </w:p>
        </w:tc>
        <w:tc>
          <w:tcPr>
            <w:tcW w:w="849" w:type="pct"/>
            <w:vMerge w:val="continue"/>
            <w:shd w:val="clear" w:color="auto" w:fill="auto"/>
            <w:vAlign w:val="center"/>
          </w:tcPr>
          <w:p w14:paraId="0671019C">
            <w:pPr>
              <w:pStyle w:val="41"/>
              <w:rPr>
                <w:rFonts w:hint="eastAsia"/>
              </w:rPr>
            </w:pPr>
          </w:p>
        </w:tc>
        <w:tc>
          <w:tcPr>
            <w:tcW w:w="902" w:type="pct"/>
            <w:shd w:val="clear" w:color="auto" w:fill="auto"/>
            <w:vAlign w:val="center"/>
          </w:tcPr>
          <w:p w14:paraId="38577951">
            <w:pPr>
              <w:pStyle w:val="41"/>
              <w:rPr>
                <w:rFonts w:hint="eastAsia"/>
              </w:rPr>
            </w:pPr>
            <w:r>
              <w:rPr>
                <w:rFonts w:hint="eastAsia"/>
              </w:rPr>
              <w:t>12.2婴幼儿照护服务设施没有符合《托育机构设置标准（试行）》《完整居住社区建设标准（试行）》等标准的数量</w:t>
            </w:r>
          </w:p>
        </w:tc>
        <w:tc>
          <w:tcPr>
            <w:tcW w:w="1220" w:type="pct"/>
            <w:vMerge w:val="continue"/>
            <w:shd w:val="clear" w:color="auto" w:fill="auto"/>
            <w:vAlign w:val="center"/>
          </w:tcPr>
          <w:p w14:paraId="0ED5E262">
            <w:pPr>
              <w:pStyle w:val="41"/>
              <w:rPr>
                <w:rFonts w:hint="eastAsia"/>
              </w:rPr>
            </w:pPr>
          </w:p>
        </w:tc>
        <w:tc>
          <w:tcPr>
            <w:tcW w:w="1351" w:type="pct"/>
            <w:vMerge w:val="continue"/>
            <w:shd w:val="clear" w:color="auto" w:fill="auto"/>
            <w:vAlign w:val="center"/>
          </w:tcPr>
          <w:p w14:paraId="3E5A87CB">
            <w:pPr>
              <w:pStyle w:val="41"/>
              <w:rPr>
                <w:rFonts w:hint="eastAsia"/>
              </w:rPr>
            </w:pPr>
          </w:p>
        </w:tc>
      </w:tr>
      <w:tr w14:paraId="05375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319" w:type="pct"/>
            <w:vMerge w:val="continue"/>
            <w:shd w:val="clear" w:color="auto" w:fill="auto"/>
            <w:vAlign w:val="center"/>
          </w:tcPr>
          <w:p w14:paraId="6879ABF1">
            <w:pPr>
              <w:pStyle w:val="41"/>
              <w:rPr>
                <w:rFonts w:hint="eastAsia"/>
              </w:rPr>
            </w:pPr>
          </w:p>
        </w:tc>
        <w:tc>
          <w:tcPr>
            <w:tcW w:w="196" w:type="pct"/>
            <w:vMerge w:val="continue"/>
            <w:shd w:val="clear" w:color="auto" w:fill="auto"/>
            <w:vAlign w:val="center"/>
          </w:tcPr>
          <w:p w14:paraId="1EC619FD">
            <w:pPr>
              <w:pStyle w:val="41"/>
              <w:rPr>
                <w:rFonts w:hint="eastAsia"/>
              </w:rPr>
            </w:pPr>
          </w:p>
        </w:tc>
        <w:tc>
          <w:tcPr>
            <w:tcW w:w="160" w:type="pct"/>
            <w:vMerge w:val="continue"/>
            <w:shd w:val="clear" w:color="auto" w:fill="auto"/>
            <w:vAlign w:val="center"/>
          </w:tcPr>
          <w:p w14:paraId="30DFC5CB">
            <w:pPr>
              <w:pStyle w:val="41"/>
              <w:rPr>
                <w:rFonts w:hint="eastAsia"/>
              </w:rPr>
            </w:pPr>
          </w:p>
        </w:tc>
        <w:tc>
          <w:tcPr>
            <w:tcW w:w="849" w:type="pct"/>
            <w:vMerge w:val="continue"/>
            <w:shd w:val="clear" w:color="auto" w:fill="auto"/>
            <w:vAlign w:val="center"/>
          </w:tcPr>
          <w:p w14:paraId="13B3D025">
            <w:pPr>
              <w:pStyle w:val="41"/>
              <w:rPr>
                <w:rFonts w:hint="eastAsia"/>
              </w:rPr>
            </w:pPr>
          </w:p>
        </w:tc>
        <w:tc>
          <w:tcPr>
            <w:tcW w:w="902" w:type="pct"/>
            <w:shd w:val="clear" w:color="auto" w:fill="auto"/>
            <w:vAlign w:val="center"/>
          </w:tcPr>
          <w:p w14:paraId="7444D548">
            <w:pPr>
              <w:pStyle w:val="41"/>
              <w:rPr>
                <w:rFonts w:hint="eastAsia"/>
              </w:rPr>
            </w:pPr>
            <w:r>
              <w:rPr>
                <w:rFonts w:hint="eastAsia"/>
              </w:rPr>
              <w:t>12.3存在婴幼儿早期发展指导等照护服务不到位的问题的数量</w:t>
            </w:r>
          </w:p>
        </w:tc>
        <w:tc>
          <w:tcPr>
            <w:tcW w:w="1220" w:type="pct"/>
            <w:vMerge w:val="continue"/>
            <w:shd w:val="clear" w:color="auto" w:fill="auto"/>
            <w:vAlign w:val="center"/>
          </w:tcPr>
          <w:p w14:paraId="0FB7340E">
            <w:pPr>
              <w:pStyle w:val="41"/>
              <w:rPr>
                <w:rFonts w:hint="eastAsia"/>
              </w:rPr>
            </w:pPr>
          </w:p>
        </w:tc>
        <w:tc>
          <w:tcPr>
            <w:tcW w:w="1351" w:type="pct"/>
            <w:vMerge w:val="continue"/>
            <w:shd w:val="clear" w:color="auto" w:fill="auto"/>
            <w:vAlign w:val="center"/>
          </w:tcPr>
          <w:p w14:paraId="0254AB2C">
            <w:pPr>
              <w:pStyle w:val="41"/>
              <w:rPr>
                <w:rFonts w:hint="eastAsia"/>
              </w:rPr>
            </w:pPr>
          </w:p>
        </w:tc>
      </w:tr>
      <w:tr w14:paraId="66060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84FB5D0">
            <w:pPr>
              <w:pStyle w:val="41"/>
              <w:rPr>
                <w:rFonts w:hint="eastAsia"/>
              </w:rPr>
            </w:pPr>
          </w:p>
        </w:tc>
        <w:tc>
          <w:tcPr>
            <w:tcW w:w="196" w:type="pct"/>
            <w:vMerge w:val="continue"/>
            <w:shd w:val="clear" w:color="auto" w:fill="auto"/>
            <w:vAlign w:val="center"/>
          </w:tcPr>
          <w:p w14:paraId="64FEB6CE">
            <w:pPr>
              <w:pStyle w:val="41"/>
              <w:rPr>
                <w:rFonts w:hint="eastAsia"/>
              </w:rPr>
            </w:pPr>
          </w:p>
        </w:tc>
        <w:tc>
          <w:tcPr>
            <w:tcW w:w="160" w:type="pct"/>
            <w:vMerge w:val="restart"/>
            <w:shd w:val="clear" w:color="auto" w:fill="auto"/>
            <w:vAlign w:val="center"/>
          </w:tcPr>
          <w:p w14:paraId="1AB7EDFB">
            <w:pPr>
              <w:pStyle w:val="41"/>
              <w:rPr>
                <w:rFonts w:hint="eastAsia"/>
              </w:rPr>
            </w:pPr>
            <w:r>
              <w:rPr>
                <w:rFonts w:hint="eastAsia"/>
              </w:rPr>
              <w:t>13</w:t>
            </w:r>
          </w:p>
        </w:tc>
        <w:tc>
          <w:tcPr>
            <w:tcW w:w="849" w:type="pct"/>
            <w:vMerge w:val="restart"/>
            <w:shd w:val="clear" w:color="auto" w:fill="auto"/>
            <w:vAlign w:val="center"/>
          </w:tcPr>
          <w:p w14:paraId="1D31744D">
            <w:pPr>
              <w:pStyle w:val="41"/>
              <w:rPr>
                <w:rFonts w:hint="eastAsia"/>
              </w:rPr>
            </w:pPr>
            <w:r>
              <w:rPr>
                <w:rFonts w:hint="eastAsia"/>
              </w:rPr>
              <w:t>未达标配建幼儿园的小区数量（个）</w:t>
            </w:r>
          </w:p>
        </w:tc>
        <w:tc>
          <w:tcPr>
            <w:tcW w:w="902" w:type="pct"/>
            <w:shd w:val="clear" w:color="auto" w:fill="auto"/>
            <w:vAlign w:val="center"/>
          </w:tcPr>
          <w:p w14:paraId="0D4777B5">
            <w:pPr>
              <w:pStyle w:val="41"/>
              <w:rPr>
                <w:rFonts w:hint="eastAsia"/>
              </w:rPr>
            </w:pPr>
            <w:r>
              <w:rPr>
                <w:rFonts w:hint="eastAsia"/>
              </w:rPr>
              <w:t>13.1社区内没有配建幼儿园的数量</w:t>
            </w:r>
          </w:p>
        </w:tc>
        <w:tc>
          <w:tcPr>
            <w:tcW w:w="1220" w:type="pct"/>
            <w:vMerge w:val="restart"/>
            <w:shd w:val="clear" w:color="auto" w:fill="auto"/>
            <w:vAlign w:val="center"/>
          </w:tcPr>
          <w:p w14:paraId="09C8040B">
            <w:pPr>
              <w:pStyle w:val="41"/>
              <w:rPr>
                <w:rFonts w:hint="eastAsia"/>
              </w:rPr>
            </w:pPr>
            <w:r>
              <w:rPr>
                <w:rFonts w:hint="eastAsia"/>
              </w:rPr>
              <w:t>按照《幼儿园建设标准》《完整居住社区建设标准（试行）》等要求，查找幼儿园配建缺失，以及普惠性学前教育服务不到位的问题。</w:t>
            </w:r>
          </w:p>
        </w:tc>
        <w:tc>
          <w:tcPr>
            <w:tcW w:w="1351" w:type="pct"/>
            <w:vMerge w:val="restart"/>
            <w:shd w:val="clear" w:color="auto" w:fill="auto"/>
            <w:vAlign w:val="center"/>
          </w:tcPr>
          <w:p w14:paraId="594FD0B1">
            <w:pPr>
              <w:pStyle w:val="41"/>
              <w:rPr>
                <w:rFonts w:hint="eastAsia"/>
              </w:rPr>
            </w:pPr>
            <w:r>
              <w:rPr>
                <w:rFonts w:hint="eastAsia"/>
              </w:rPr>
              <w:t>市教育局、社区管理员或专业人员现场调研填报</w:t>
            </w:r>
          </w:p>
        </w:tc>
      </w:tr>
      <w:tr w14:paraId="43D74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049FF2E">
            <w:pPr>
              <w:pStyle w:val="41"/>
              <w:rPr>
                <w:rFonts w:hint="eastAsia"/>
              </w:rPr>
            </w:pPr>
          </w:p>
        </w:tc>
        <w:tc>
          <w:tcPr>
            <w:tcW w:w="196" w:type="pct"/>
            <w:vMerge w:val="continue"/>
            <w:shd w:val="clear" w:color="auto" w:fill="auto"/>
            <w:vAlign w:val="center"/>
          </w:tcPr>
          <w:p w14:paraId="01CF3FB0">
            <w:pPr>
              <w:pStyle w:val="41"/>
              <w:rPr>
                <w:rFonts w:hint="eastAsia"/>
              </w:rPr>
            </w:pPr>
          </w:p>
        </w:tc>
        <w:tc>
          <w:tcPr>
            <w:tcW w:w="160" w:type="pct"/>
            <w:vMerge w:val="continue"/>
            <w:shd w:val="clear" w:color="auto" w:fill="auto"/>
            <w:vAlign w:val="center"/>
          </w:tcPr>
          <w:p w14:paraId="06CAEA5B">
            <w:pPr>
              <w:pStyle w:val="41"/>
              <w:rPr>
                <w:rFonts w:hint="eastAsia"/>
              </w:rPr>
            </w:pPr>
          </w:p>
        </w:tc>
        <w:tc>
          <w:tcPr>
            <w:tcW w:w="849" w:type="pct"/>
            <w:vMerge w:val="continue"/>
            <w:shd w:val="clear" w:color="auto" w:fill="auto"/>
            <w:vAlign w:val="center"/>
          </w:tcPr>
          <w:p w14:paraId="318D4701">
            <w:pPr>
              <w:pStyle w:val="41"/>
              <w:rPr>
                <w:rFonts w:hint="eastAsia"/>
              </w:rPr>
            </w:pPr>
          </w:p>
        </w:tc>
        <w:tc>
          <w:tcPr>
            <w:tcW w:w="902" w:type="pct"/>
            <w:shd w:val="clear" w:color="auto" w:fill="auto"/>
            <w:vAlign w:val="center"/>
          </w:tcPr>
          <w:p w14:paraId="13E9C6B3">
            <w:pPr>
              <w:pStyle w:val="41"/>
              <w:rPr>
                <w:rFonts w:hint="eastAsia"/>
              </w:rPr>
            </w:pPr>
            <w:r>
              <w:rPr>
                <w:rFonts w:hint="eastAsia"/>
              </w:rPr>
              <w:t>13.2幼儿园没有符合《幼儿园建设标准》《完整居住社区建设标准（试行）》提出的面积指标要求的数量</w:t>
            </w:r>
          </w:p>
        </w:tc>
        <w:tc>
          <w:tcPr>
            <w:tcW w:w="1220" w:type="pct"/>
            <w:vMerge w:val="continue"/>
            <w:shd w:val="clear" w:color="auto" w:fill="auto"/>
            <w:vAlign w:val="center"/>
          </w:tcPr>
          <w:p w14:paraId="0A78875A">
            <w:pPr>
              <w:pStyle w:val="41"/>
              <w:rPr>
                <w:rFonts w:hint="eastAsia"/>
              </w:rPr>
            </w:pPr>
          </w:p>
        </w:tc>
        <w:tc>
          <w:tcPr>
            <w:tcW w:w="1351" w:type="pct"/>
            <w:vMerge w:val="continue"/>
            <w:shd w:val="clear" w:color="auto" w:fill="auto"/>
            <w:vAlign w:val="center"/>
          </w:tcPr>
          <w:p w14:paraId="4CED3A02">
            <w:pPr>
              <w:pStyle w:val="41"/>
              <w:rPr>
                <w:rFonts w:hint="eastAsia"/>
              </w:rPr>
            </w:pPr>
          </w:p>
        </w:tc>
      </w:tr>
      <w:tr w14:paraId="4AB34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5581527">
            <w:pPr>
              <w:pStyle w:val="41"/>
              <w:rPr>
                <w:rFonts w:hint="eastAsia"/>
              </w:rPr>
            </w:pPr>
          </w:p>
        </w:tc>
        <w:tc>
          <w:tcPr>
            <w:tcW w:w="196" w:type="pct"/>
            <w:vMerge w:val="continue"/>
            <w:shd w:val="clear" w:color="auto" w:fill="auto"/>
            <w:vAlign w:val="center"/>
          </w:tcPr>
          <w:p w14:paraId="0F305841">
            <w:pPr>
              <w:pStyle w:val="41"/>
              <w:rPr>
                <w:rFonts w:hint="eastAsia"/>
              </w:rPr>
            </w:pPr>
          </w:p>
        </w:tc>
        <w:tc>
          <w:tcPr>
            <w:tcW w:w="160" w:type="pct"/>
            <w:vMerge w:val="continue"/>
            <w:shd w:val="clear" w:color="auto" w:fill="auto"/>
            <w:vAlign w:val="center"/>
          </w:tcPr>
          <w:p w14:paraId="4CB67C58">
            <w:pPr>
              <w:pStyle w:val="41"/>
              <w:rPr>
                <w:rFonts w:hint="eastAsia"/>
              </w:rPr>
            </w:pPr>
          </w:p>
        </w:tc>
        <w:tc>
          <w:tcPr>
            <w:tcW w:w="849" w:type="pct"/>
            <w:vMerge w:val="continue"/>
            <w:shd w:val="clear" w:color="auto" w:fill="auto"/>
            <w:vAlign w:val="center"/>
          </w:tcPr>
          <w:p w14:paraId="0FCD27CB">
            <w:pPr>
              <w:pStyle w:val="41"/>
              <w:rPr>
                <w:rFonts w:hint="eastAsia"/>
              </w:rPr>
            </w:pPr>
          </w:p>
        </w:tc>
        <w:tc>
          <w:tcPr>
            <w:tcW w:w="902" w:type="pct"/>
            <w:shd w:val="clear" w:color="auto" w:fill="auto"/>
            <w:vAlign w:val="center"/>
          </w:tcPr>
          <w:p w14:paraId="4C7C58D5">
            <w:pPr>
              <w:pStyle w:val="41"/>
              <w:rPr>
                <w:rFonts w:hint="eastAsia"/>
              </w:rPr>
            </w:pPr>
            <w:r>
              <w:rPr>
                <w:rFonts w:hint="eastAsia"/>
              </w:rPr>
              <w:t>13.3存在普惠性学前教育服务不到位的问题</w:t>
            </w:r>
          </w:p>
        </w:tc>
        <w:tc>
          <w:tcPr>
            <w:tcW w:w="1220" w:type="pct"/>
            <w:vMerge w:val="continue"/>
            <w:shd w:val="clear" w:color="auto" w:fill="auto"/>
            <w:vAlign w:val="center"/>
          </w:tcPr>
          <w:p w14:paraId="5968C529">
            <w:pPr>
              <w:pStyle w:val="41"/>
              <w:rPr>
                <w:rFonts w:hint="eastAsia"/>
              </w:rPr>
            </w:pPr>
          </w:p>
        </w:tc>
        <w:tc>
          <w:tcPr>
            <w:tcW w:w="1351" w:type="pct"/>
            <w:vMerge w:val="continue"/>
            <w:shd w:val="clear" w:color="auto" w:fill="auto"/>
            <w:vAlign w:val="center"/>
          </w:tcPr>
          <w:p w14:paraId="2360914F">
            <w:pPr>
              <w:pStyle w:val="41"/>
              <w:rPr>
                <w:rFonts w:hint="eastAsia"/>
              </w:rPr>
            </w:pPr>
          </w:p>
        </w:tc>
      </w:tr>
      <w:tr w14:paraId="10B7E976">
        <w:tblPrEx>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BCDE330">
            <w:pPr>
              <w:pStyle w:val="41"/>
              <w:rPr>
                <w:rFonts w:hint="eastAsia"/>
              </w:rPr>
            </w:pPr>
          </w:p>
        </w:tc>
        <w:tc>
          <w:tcPr>
            <w:tcW w:w="196" w:type="pct"/>
            <w:vMerge w:val="continue"/>
            <w:shd w:val="clear" w:color="auto" w:fill="auto"/>
            <w:vAlign w:val="center"/>
          </w:tcPr>
          <w:p w14:paraId="04917E89">
            <w:pPr>
              <w:pStyle w:val="41"/>
              <w:rPr>
                <w:rFonts w:hint="eastAsia"/>
              </w:rPr>
            </w:pPr>
          </w:p>
        </w:tc>
        <w:tc>
          <w:tcPr>
            <w:tcW w:w="160" w:type="pct"/>
            <w:vMerge w:val="restart"/>
            <w:shd w:val="clear" w:color="auto" w:fill="auto"/>
            <w:vAlign w:val="center"/>
          </w:tcPr>
          <w:p w14:paraId="5CAFF5EE">
            <w:pPr>
              <w:pStyle w:val="41"/>
              <w:rPr>
                <w:rFonts w:hint="eastAsia"/>
              </w:rPr>
            </w:pPr>
            <w:r>
              <w:rPr>
                <w:rFonts w:hint="eastAsia"/>
              </w:rPr>
              <w:t>14</w:t>
            </w:r>
          </w:p>
        </w:tc>
        <w:tc>
          <w:tcPr>
            <w:tcW w:w="849" w:type="pct"/>
            <w:vMerge w:val="restart"/>
            <w:shd w:val="clear" w:color="auto" w:fill="auto"/>
            <w:vAlign w:val="center"/>
          </w:tcPr>
          <w:p w14:paraId="657A9316">
            <w:pPr>
              <w:pStyle w:val="41"/>
              <w:rPr>
                <w:rFonts w:hint="eastAsia"/>
              </w:rPr>
            </w:pPr>
            <w:r>
              <w:rPr>
                <w:rFonts w:hint="eastAsia"/>
              </w:rPr>
              <w:t>小学学位缺口数（个）</w:t>
            </w:r>
          </w:p>
        </w:tc>
        <w:tc>
          <w:tcPr>
            <w:tcW w:w="902" w:type="pct"/>
            <w:shd w:val="clear" w:color="auto" w:fill="auto"/>
            <w:vAlign w:val="center"/>
          </w:tcPr>
          <w:p w14:paraId="2A6994DA">
            <w:pPr>
              <w:pStyle w:val="41"/>
              <w:rPr>
                <w:rFonts w:hint="eastAsia"/>
              </w:rPr>
            </w:pPr>
            <w:r>
              <w:rPr>
                <w:rFonts w:hint="eastAsia"/>
              </w:rPr>
              <w:t>14.1查找是否存在小学学位供给数量不足的问题。</w:t>
            </w:r>
          </w:p>
        </w:tc>
        <w:tc>
          <w:tcPr>
            <w:tcW w:w="1220" w:type="pct"/>
            <w:vMerge w:val="restart"/>
            <w:shd w:val="clear" w:color="auto" w:fill="auto"/>
            <w:vAlign w:val="center"/>
          </w:tcPr>
          <w:p w14:paraId="2F802B37">
            <w:pPr>
              <w:pStyle w:val="41"/>
              <w:rPr>
                <w:rFonts w:hint="eastAsia"/>
              </w:rPr>
            </w:pPr>
            <w:r>
              <w:rPr>
                <w:rFonts w:hint="eastAsia"/>
              </w:rPr>
              <w:t>以小学500米服务半径覆盖范围为原则，查找小学学位供给与适龄儿童就近入学需求方面的差距和不足。</w:t>
            </w:r>
          </w:p>
        </w:tc>
        <w:tc>
          <w:tcPr>
            <w:tcW w:w="1351" w:type="pct"/>
            <w:vMerge w:val="restart"/>
            <w:shd w:val="clear" w:color="auto" w:fill="auto"/>
            <w:vAlign w:val="center"/>
          </w:tcPr>
          <w:p w14:paraId="6306A369">
            <w:pPr>
              <w:pStyle w:val="41"/>
              <w:rPr>
                <w:rFonts w:hint="eastAsia"/>
              </w:rPr>
            </w:pPr>
            <w:r>
              <w:rPr>
                <w:rFonts w:hint="eastAsia"/>
              </w:rPr>
              <w:t>市教育局、社区管理员或专业人员现场调研填报</w:t>
            </w:r>
          </w:p>
        </w:tc>
      </w:tr>
      <w:tr w14:paraId="407EA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trPr>
        <w:tc>
          <w:tcPr>
            <w:tcW w:w="319" w:type="pct"/>
            <w:vMerge w:val="continue"/>
            <w:shd w:val="clear" w:color="auto" w:fill="auto"/>
            <w:vAlign w:val="center"/>
          </w:tcPr>
          <w:p w14:paraId="7A840012">
            <w:pPr>
              <w:pStyle w:val="41"/>
              <w:rPr>
                <w:rFonts w:hint="eastAsia"/>
              </w:rPr>
            </w:pPr>
          </w:p>
        </w:tc>
        <w:tc>
          <w:tcPr>
            <w:tcW w:w="196" w:type="pct"/>
            <w:vMerge w:val="continue"/>
            <w:shd w:val="clear" w:color="auto" w:fill="auto"/>
            <w:vAlign w:val="center"/>
          </w:tcPr>
          <w:p w14:paraId="3503B930">
            <w:pPr>
              <w:pStyle w:val="41"/>
              <w:rPr>
                <w:rFonts w:hint="eastAsia"/>
              </w:rPr>
            </w:pPr>
          </w:p>
        </w:tc>
        <w:tc>
          <w:tcPr>
            <w:tcW w:w="160" w:type="pct"/>
            <w:vMerge w:val="continue"/>
            <w:shd w:val="clear" w:color="auto" w:fill="auto"/>
            <w:vAlign w:val="center"/>
          </w:tcPr>
          <w:p w14:paraId="6AE429A5">
            <w:pPr>
              <w:pStyle w:val="41"/>
              <w:rPr>
                <w:rFonts w:hint="eastAsia"/>
              </w:rPr>
            </w:pPr>
          </w:p>
        </w:tc>
        <w:tc>
          <w:tcPr>
            <w:tcW w:w="849" w:type="pct"/>
            <w:vMerge w:val="continue"/>
            <w:shd w:val="clear" w:color="auto" w:fill="auto"/>
            <w:vAlign w:val="center"/>
          </w:tcPr>
          <w:p w14:paraId="4E1E9C85">
            <w:pPr>
              <w:pStyle w:val="41"/>
              <w:rPr>
                <w:rFonts w:hint="eastAsia"/>
              </w:rPr>
            </w:pPr>
          </w:p>
        </w:tc>
        <w:tc>
          <w:tcPr>
            <w:tcW w:w="902" w:type="pct"/>
            <w:shd w:val="clear" w:color="auto" w:fill="auto"/>
            <w:vAlign w:val="center"/>
          </w:tcPr>
          <w:p w14:paraId="076784A5">
            <w:pPr>
              <w:pStyle w:val="41"/>
              <w:rPr>
                <w:rFonts w:hint="eastAsia"/>
              </w:rPr>
            </w:pPr>
            <w:r>
              <w:rPr>
                <w:rFonts w:hint="eastAsia"/>
              </w:rPr>
              <w:t>14.2查找是否存在小区适龄儿童难以就近入学的问题。一般情况下，按照《城市居住区规划设计标准》（GB50180-2018）规定的“小学服务半径不宜大于500米服务半径”的要求作为判断标准。考虑到不同地区的差异性，小学服务半径可结合地方实际进行调整。</w:t>
            </w:r>
          </w:p>
        </w:tc>
        <w:tc>
          <w:tcPr>
            <w:tcW w:w="1220" w:type="pct"/>
            <w:vMerge w:val="continue"/>
            <w:shd w:val="clear" w:color="auto" w:fill="auto"/>
            <w:vAlign w:val="center"/>
          </w:tcPr>
          <w:p w14:paraId="295857C1">
            <w:pPr>
              <w:pStyle w:val="41"/>
              <w:rPr>
                <w:rFonts w:hint="eastAsia"/>
              </w:rPr>
            </w:pPr>
          </w:p>
        </w:tc>
        <w:tc>
          <w:tcPr>
            <w:tcW w:w="1351" w:type="pct"/>
            <w:vMerge w:val="continue"/>
            <w:shd w:val="clear" w:color="auto" w:fill="auto"/>
            <w:vAlign w:val="center"/>
          </w:tcPr>
          <w:p w14:paraId="3D2B483A">
            <w:pPr>
              <w:pStyle w:val="41"/>
              <w:rPr>
                <w:rFonts w:hint="eastAsia"/>
              </w:rPr>
            </w:pPr>
          </w:p>
        </w:tc>
      </w:tr>
      <w:tr w14:paraId="4A03F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6BF5088">
            <w:pPr>
              <w:pStyle w:val="41"/>
              <w:rPr>
                <w:rFonts w:hint="eastAsia"/>
              </w:rPr>
            </w:pPr>
          </w:p>
        </w:tc>
        <w:tc>
          <w:tcPr>
            <w:tcW w:w="196" w:type="pct"/>
            <w:vMerge w:val="continue"/>
            <w:shd w:val="clear" w:color="auto" w:fill="auto"/>
            <w:vAlign w:val="center"/>
          </w:tcPr>
          <w:p w14:paraId="04815D75">
            <w:pPr>
              <w:pStyle w:val="41"/>
              <w:rPr>
                <w:rFonts w:hint="eastAsia"/>
              </w:rPr>
            </w:pPr>
          </w:p>
        </w:tc>
        <w:tc>
          <w:tcPr>
            <w:tcW w:w="160" w:type="pct"/>
            <w:vMerge w:val="restart"/>
            <w:shd w:val="clear" w:color="auto" w:fill="auto"/>
            <w:vAlign w:val="center"/>
          </w:tcPr>
          <w:p w14:paraId="71EB0221">
            <w:pPr>
              <w:pStyle w:val="41"/>
              <w:rPr>
                <w:rFonts w:hint="eastAsia"/>
              </w:rPr>
            </w:pPr>
            <w:r>
              <w:rPr>
                <w:rFonts w:hint="eastAsia"/>
              </w:rPr>
              <w:t>15</w:t>
            </w:r>
          </w:p>
        </w:tc>
        <w:tc>
          <w:tcPr>
            <w:tcW w:w="849" w:type="pct"/>
            <w:vMerge w:val="restart"/>
            <w:shd w:val="clear" w:color="auto" w:fill="auto"/>
            <w:vAlign w:val="center"/>
          </w:tcPr>
          <w:p w14:paraId="5FBDA7C5">
            <w:pPr>
              <w:pStyle w:val="41"/>
              <w:rPr>
                <w:rFonts w:hint="eastAsia"/>
              </w:rPr>
            </w:pPr>
            <w:r>
              <w:rPr>
                <w:rFonts w:hint="eastAsia"/>
              </w:rPr>
              <w:t>☆</w:t>
            </w:r>
            <w:r>
              <w:t>停车泊位缺口数（个）</w:t>
            </w:r>
          </w:p>
        </w:tc>
        <w:tc>
          <w:tcPr>
            <w:tcW w:w="902" w:type="pct"/>
            <w:shd w:val="clear" w:color="auto" w:fill="auto"/>
            <w:vAlign w:val="center"/>
          </w:tcPr>
          <w:p w14:paraId="09DA0D1B">
            <w:pPr>
              <w:pStyle w:val="41"/>
              <w:rPr>
                <w:rFonts w:hint="eastAsia"/>
              </w:rPr>
            </w:pPr>
            <w:r>
              <w:rPr>
                <w:rFonts w:hint="eastAsia"/>
              </w:rPr>
              <w:t>15.1居民停车需求数</w:t>
            </w:r>
          </w:p>
        </w:tc>
        <w:tc>
          <w:tcPr>
            <w:tcW w:w="1220" w:type="pct"/>
            <w:vMerge w:val="restart"/>
            <w:shd w:val="clear" w:color="auto" w:fill="auto"/>
            <w:vAlign w:val="center"/>
          </w:tcPr>
          <w:p w14:paraId="0D3584CD">
            <w:pPr>
              <w:pStyle w:val="41"/>
              <w:rPr>
                <w:rFonts w:hint="eastAsia"/>
              </w:rPr>
            </w:pPr>
            <w:r>
              <w:rPr>
                <w:rFonts w:hint="eastAsia"/>
              </w:rPr>
              <w:t>按照《城市停车规划规范》《完整居住社区建设标准（试行）》等要求，查找现有停车泊位与小区居民停车需求的差距，以及停车占用消防通道等方面的问题。</w:t>
            </w:r>
          </w:p>
        </w:tc>
        <w:tc>
          <w:tcPr>
            <w:tcW w:w="1351" w:type="pct"/>
            <w:vMerge w:val="restart"/>
            <w:shd w:val="clear" w:color="auto" w:fill="auto"/>
            <w:vAlign w:val="center"/>
          </w:tcPr>
          <w:p w14:paraId="59346498">
            <w:pPr>
              <w:pStyle w:val="41"/>
              <w:rPr>
                <w:rFonts w:hint="eastAsia"/>
              </w:rPr>
            </w:pPr>
            <w:r>
              <w:rPr>
                <w:rFonts w:hint="eastAsia"/>
              </w:rPr>
              <w:t>市住建局、乡镇（街道办）</w:t>
            </w:r>
          </w:p>
        </w:tc>
      </w:tr>
      <w:tr w14:paraId="3595F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8" w:hRule="atLeast"/>
        </w:trPr>
        <w:tc>
          <w:tcPr>
            <w:tcW w:w="319" w:type="pct"/>
            <w:vMerge w:val="continue"/>
            <w:shd w:val="clear" w:color="auto" w:fill="auto"/>
            <w:vAlign w:val="center"/>
          </w:tcPr>
          <w:p w14:paraId="1524EEE4">
            <w:pPr>
              <w:pStyle w:val="41"/>
              <w:rPr>
                <w:rFonts w:hint="eastAsia"/>
              </w:rPr>
            </w:pPr>
          </w:p>
        </w:tc>
        <w:tc>
          <w:tcPr>
            <w:tcW w:w="196" w:type="pct"/>
            <w:vMerge w:val="continue"/>
            <w:shd w:val="clear" w:color="auto" w:fill="auto"/>
            <w:vAlign w:val="center"/>
          </w:tcPr>
          <w:p w14:paraId="44ED5FEB">
            <w:pPr>
              <w:pStyle w:val="41"/>
              <w:rPr>
                <w:rFonts w:hint="eastAsia"/>
              </w:rPr>
            </w:pPr>
          </w:p>
        </w:tc>
        <w:tc>
          <w:tcPr>
            <w:tcW w:w="160" w:type="pct"/>
            <w:vMerge w:val="continue"/>
            <w:shd w:val="clear" w:color="auto" w:fill="auto"/>
            <w:vAlign w:val="center"/>
          </w:tcPr>
          <w:p w14:paraId="618591F6">
            <w:pPr>
              <w:pStyle w:val="41"/>
              <w:rPr>
                <w:rFonts w:hint="eastAsia"/>
              </w:rPr>
            </w:pPr>
          </w:p>
        </w:tc>
        <w:tc>
          <w:tcPr>
            <w:tcW w:w="849" w:type="pct"/>
            <w:vMerge w:val="continue"/>
            <w:shd w:val="clear" w:color="auto" w:fill="auto"/>
            <w:vAlign w:val="center"/>
          </w:tcPr>
          <w:p w14:paraId="5C3D712B">
            <w:pPr>
              <w:pStyle w:val="41"/>
              <w:rPr>
                <w:rFonts w:hint="eastAsia"/>
              </w:rPr>
            </w:pPr>
          </w:p>
        </w:tc>
        <w:tc>
          <w:tcPr>
            <w:tcW w:w="902" w:type="pct"/>
            <w:shd w:val="clear" w:color="auto" w:fill="auto"/>
            <w:vAlign w:val="center"/>
          </w:tcPr>
          <w:p w14:paraId="3C2B608E">
            <w:pPr>
              <w:pStyle w:val="41"/>
              <w:rPr>
                <w:rFonts w:hint="eastAsia"/>
              </w:rPr>
            </w:pPr>
            <w:r>
              <w:rPr>
                <w:rFonts w:hint="eastAsia"/>
              </w:rPr>
              <w:t>15.2有停车泊位数</w:t>
            </w:r>
          </w:p>
        </w:tc>
        <w:tc>
          <w:tcPr>
            <w:tcW w:w="1220" w:type="pct"/>
            <w:vMerge w:val="continue"/>
            <w:shd w:val="clear" w:color="auto" w:fill="auto"/>
            <w:vAlign w:val="center"/>
          </w:tcPr>
          <w:p w14:paraId="6723EA92">
            <w:pPr>
              <w:pStyle w:val="41"/>
              <w:rPr>
                <w:rFonts w:hint="eastAsia"/>
              </w:rPr>
            </w:pPr>
          </w:p>
        </w:tc>
        <w:tc>
          <w:tcPr>
            <w:tcW w:w="1351" w:type="pct"/>
            <w:vMerge w:val="continue"/>
            <w:shd w:val="clear" w:color="auto" w:fill="auto"/>
            <w:vAlign w:val="center"/>
          </w:tcPr>
          <w:p w14:paraId="67EACBB6">
            <w:pPr>
              <w:pStyle w:val="41"/>
              <w:rPr>
                <w:rFonts w:hint="eastAsia"/>
              </w:rPr>
            </w:pPr>
          </w:p>
        </w:tc>
      </w:tr>
      <w:tr w14:paraId="5593B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5E9DCE2">
            <w:pPr>
              <w:pStyle w:val="41"/>
              <w:rPr>
                <w:rFonts w:hint="eastAsia"/>
              </w:rPr>
            </w:pPr>
          </w:p>
        </w:tc>
        <w:tc>
          <w:tcPr>
            <w:tcW w:w="196" w:type="pct"/>
            <w:vMerge w:val="continue"/>
            <w:shd w:val="clear" w:color="auto" w:fill="auto"/>
            <w:vAlign w:val="center"/>
          </w:tcPr>
          <w:p w14:paraId="07CBBC25">
            <w:pPr>
              <w:pStyle w:val="41"/>
              <w:rPr>
                <w:rFonts w:hint="eastAsia"/>
              </w:rPr>
            </w:pPr>
          </w:p>
        </w:tc>
        <w:tc>
          <w:tcPr>
            <w:tcW w:w="160" w:type="pct"/>
            <w:vMerge w:val="restart"/>
            <w:shd w:val="clear" w:color="auto" w:fill="auto"/>
            <w:vAlign w:val="center"/>
          </w:tcPr>
          <w:p w14:paraId="2DFD9C74">
            <w:pPr>
              <w:pStyle w:val="41"/>
              <w:rPr>
                <w:rFonts w:hint="eastAsia"/>
              </w:rPr>
            </w:pPr>
            <w:r>
              <w:rPr>
                <w:rFonts w:hint="eastAsia"/>
              </w:rPr>
              <w:t>16</w:t>
            </w:r>
          </w:p>
        </w:tc>
        <w:tc>
          <w:tcPr>
            <w:tcW w:w="849" w:type="pct"/>
            <w:vMerge w:val="restart"/>
            <w:shd w:val="clear" w:color="auto" w:fill="auto"/>
            <w:vAlign w:val="center"/>
          </w:tcPr>
          <w:p w14:paraId="7567CCC7">
            <w:pPr>
              <w:pStyle w:val="41"/>
              <w:rPr>
                <w:rFonts w:hint="eastAsia"/>
              </w:rPr>
            </w:pPr>
            <w:r>
              <w:rPr>
                <w:rFonts w:hint="eastAsia"/>
              </w:rPr>
              <w:t>新能源汽车充电桩缺口数（个）</w:t>
            </w:r>
          </w:p>
        </w:tc>
        <w:tc>
          <w:tcPr>
            <w:tcW w:w="902" w:type="pct"/>
            <w:shd w:val="clear" w:color="auto" w:fill="auto"/>
            <w:vAlign w:val="center"/>
          </w:tcPr>
          <w:p w14:paraId="2A27E8CD">
            <w:pPr>
              <w:pStyle w:val="41"/>
              <w:rPr>
                <w:rFonts w:hint="eastAsia"/>
              </w:rPr>
            </w:pPr>
            <w:r>
              <w:rPr>
                <w:rFonts w:hint="eastAsia"/>
              </w:rPr>
              <w:t>16.1居民充电桩需求数</w:t>
            </w:r>
          </w:p>
        </w:tc>
        <w:tc>
          <w:tcPr>
            <w:tcW w:w="1220" w:type="pct"/>
            <w:vMerge w:val="restart"/>
            <w:shd w:val="clear" w:color="auto" w:fill="auto"/>
            <w:vAlign w:val="center"/>
          </w:tcPr>
          <w:p w14:paraId="581AD9B6">
            <w:pPr>
              <w:pStyle w:val="41"/>
              <w:rPr>
                <w:rFonts w:hint="eastAsia"/>
              </w:rPr>
            </w:pPr>
            <w:r>
              <w:rPr>
                <w:rFonts w:hint="eastAsia"/>
              </w:rPr>
              <w:t>按照《电动汽车分散充电设施工程技术标准》《完整居住社区建设标准（试行）》等标准，查找现有充电桩供给能力与小区居民新能源汽车充电需求的差距，以及充电桩在安装、使用、运维过程中存在的问题。</w:t>
            </w:r>
          </w:p>
        </w:tc>
        <w:tc>
          <w:tcPr>
            <w:tcW w:w="1351" w:type="pct"/>
            <w:vMerge w:val="restart"/>
            <w:shd w:val="clear" w:color="auto" w:fill="auto"/>
            <w:vAlign w:val="center"/>
          </w:tcPr>
          <w:p w14:paraId="191F01C6">
            <w:pPr>
              <w:pStyle w:val="41"/>
              <w:rPr>
                <w:rFonts w:hint="eastAsia"/>
              </w:rPr>
            </w:pPr>
            <w:r>
              <w:rPr>
                <w:rFonts w:hint="eastAsia"/>
              </w:rPr>
              <w:t>市住建局、各街道办、社区管理员或专业人员现场调研填报</w:t>
            </w:r>
          </w:p>
        </w:tc>
      </w:tr>
      <w:tr w14:paraId="12C8D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6" w:hRule="atLeast"/>
        </w:trPr>
        <w:tc>
          <w:tcPr>
            <w:tcW w:w="319" w:type="pct"/>
            <w:vMerge w:val="continue"/>
            <w:shd w:val="clear" w:color="auto" w:fill="auto"/>
            <w:vAlign w:val="center"/>
          </w:tcPr>
          <w:p w14:paraId="1ECF7D8B">
            <w:pPr>
              <w:pStyle w:val="41"/>
              <w:rPr>
                <w:rFonts w:hint="eastAsia"/>
              </w:rPr>
            </w:pPr>
          </w:p>
        </w:tc>
        <w:tc>
          <w:tcPr>
            <w:tcW w:w="196" w:type="pct"/>
            <w:vMerge w:val="continue"/>
            <w:shd w:val="clear" w:color="auto" w:fill="auto"/>
            <w:vAlign w:val="center"/>
          </w:tcPr>
          <w:p w14:paraId="190FFF10">
            <w:pPr>
              <w:pStyle w:val="41"/>
              <w:rPr>
                <w:rFonts w:hint="eastAsia"/>
              </w:rPr>
            </w:pPr>
          </w:p>
        </w:tc>
        <w:tc>
          <w:tcPr>
            <w:tcW w:w="160" w:type="pct"/>
            <w:vMerge w:val="continue"/>
            <w:shd w:val="clear" w:color="auto" w:fill="auto"/>
            <w:vAlign w:val="center"/>
          </w:tcPr>
          <w:p w14:paraId="15B8B9D2">
            <w:pPr>
              <w:pStyle w:val="41"/>
              <w:rPr>
                <w:rFonts w:hint="eastAsia"/>
              </w:rPr>
            </w:pPr>
          </w:p>
        </w:tc>
        <w:tc>
          <w:tcPr>
            <w:tcW w:w="849" w:type="pct"/>
            <w:vMerge w:val="continue"/>
            <w:shd w:val="clear" w:color="auto" w:fill="auto"/>
            <w:vAlign w:val="center"/>
          </w:tcPr>
          <w:p w14:paraId="6ABD58D2">
            <w:pPr>
              <w:pStyle w:val="41"/>
              <w:rPr>
                <w:rFonts w:hint="eastAsia"/>
              </w:rPr>
            </w:pPr>
          </w:p>
        </w:tc>
        <w:tc>
          <w:tcPr>
            <w:tcW w:w="902" w:type="pct"/>
            <w:shd w:val="clear" w:color="auto" w:fill="auto"/>
            <w:vAlign w:val="center"/>
          </w:tcPr>
          <w:p w14:paraId="7D055E95">
            <w:pPr>
              <w:pStyle w:val="41"/>
              <w:rPr>
                <w:rFonts w:hint="eastAsia"/>
              </w:rPr>
            </w:pPr>
            <w:r>
              <w:rPr>
                <w:rFonts w:hint="eastAsia"/>
              </w:rPr>
              <w:t>16.2现状新能源汽车充电桩数量（私人充电桩数量与公共充电桩数量）</w:t>
            </w:r>
          </w:p>
        </w:tc>
        <w:tc>
          <w:tcPr>
            <w:tcW w:w="1220" w:type="pct"/>
            <w:vMerge w:val="continue"/>
            <w:shd w:val="clear" w:color="auto" w:fill="auto"/>
            <w:vAlign w:val="center"/>
          </w:tcPr>
          <w:p w14:paraId="520A625A">
            <w:pPr>
              <w:pStyle w:val="41"/>
              <w:rPr>
                <w:rFonts w:hint="eastAsia"/>
              </w:rPr>
            </w:pPr>
          </w:p>
        </w:tc>
        <w:tc>
          <w:tcPr>
            <w:tcW w:w="1351" w:type="pct"/>
            <w:vMerge w:val="continue"/>
            <w:shd w:val="clear" w:color="auto" w:fill="auto"/>
            <w:vAlign w:val="center"/>
          </w:tcPr>
          <w:p w14:paraId="736C0A02">
            <w:pPr>
              <w:pStyle w:val="41"/>
              <w:rPr>
                <w:rFonts w:hint="eastAsia"/>
              </w:rPr>
            </w:pPr>
          </w:p>
        </w:tc>
      </w:tr>
      <w:tr w14:paraId="1AF2E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EE5306A">
            <w:pPr>
              <w:pStyle w:val="41"/>
              <w:rPr>
                <w:rFonts w:hint="eastAsia"/>
              </w:rPr>
            </w:pPr>
          </w:p>
        </w:tc>
        <w:tc>
          <w:tcPr>
            <w:tcW w:w="196" w:type="pct"/>
            <w:vMerge w:val="continue"/>
            <w:shd w:val="clear" w:color="auto" w:fill="auto"/>
            <w:vAlign w:val="center"/>
          </w:tcPr>
          <w:p w14:paraId="797F3AF4">
            <w:pPr>
              <w:pStyle w:val="41"/>
              <w:rPr>
                <w:rFonts w:hint="eastAsia"/>
              </w:rPr>
            </w:pPr>
          </w:p>
        </w:tc>
        <w:tc>
          <w:tcPr>
            <w:tcW w:w="160" w:type="pct"/>
            <w:vMerge w:val="restart"/>
            <w:shd w:val="clear" w:color="auto" w:fill="auto"/>
            <w:vAlign w:val="center"/>
          </w:tcPr>
          <w:p w14:paraId="2105AACA">
            <w:pPr>
              <w:pStyle w:val="41"/>
              <w:rPr>
                <w:rFonts w:hint="eastAsia"/>
              </w:rPr>
            </w:pPr>
            <w:r>
              <w:rPr>
                <w:rFonts w:hint="eastAsia"/>
              </w:rPr>
              <w:t>17</w:t>
            </w:r>
          </w:p>
        </w:tc>
        <w:tc>
          <w:tcPr>
            <w:tcW w:w="849" w:type="pct"/>
            <w:vMerge w:val="restart"/>
            <w:shd w:val="clear" w:color="auto" w:fill="auto"/>
            <w:vAlign w:val="center"/>
          </w:tcPr>
          <w:p w14:paraId="7175BC81">
            <w:pPr>
              <w:pStyle w:val="41"/>
              <w:rPr>
                <w:rFonts w:hint="eastAsia"/>
              </w:rPr>
            </w:pPr>
            <w:r>
              <w:rPr>
                <w:rFonts w:hint="eastAsia"/>
              </w:rPr>
              <w:t>未配建电动自行车充电设施的小区数量（个）</w:t>
            </w:r>
          </w:p>
        </w:tc>
        <w:tc>
          <w:tcPr>
            <w:tcW w:w="902" w:type="pct"/>
            <w:shd w:val="clear" w:color="auto" w:fill="auto"/>
            <w:vAlign w:val="center"/>
          </w:tcPr>
          <w:p w14:paraId="4CCD98C0">
            <w:pPr>
              <w:pStyle w:val="41"/>
              <w:rPr>
                <w:rFonts w:hint="eastAsia"/>
              </w:rPr>
            </w:pPr>
            <w:r>
              <w:rPr>
                <w:rFonts w:hint="eastAsia"/>
              </w:rPr>
              <w:t>17.1是未配建电动自行车集中充电设施</w:t>
            </w:r>
          </w:p>
        </w:tc>
        <w:tc>
          <w:tcPr>
            <w:tcW w:w="1220" w:type="pct"/>
            <w:vMerge w:val="restart"/>
            <w:shd w:val="clear" w:color="auto" w:fill="auto"/>
            <w:vAlign w:val="center"/>
          </w:tcPr>
          <w:p w14:paraId="0669C935">
            <w:pPr>
              <w:pStyle w:val="41"/>
              <w:rPr>
                <w:rFonts w:hint="eastAsia"/>
              </w:rPr>
            </w:pPr>
            <w:r>
              <w:rPr>
                <w:rFonts w:hint="eastAsia"/>
              </w:rPr>
              <w:t>按照国务院安委办《加强电动自行车全链条安全监管重点工作任务及分工方案》要求，查找未配建电动自行车集中室外充电设施和停放场所，以及乱拉飞线充电、消防安全管理不到位等问题。</w:t>
            </w:r>
          </w:p>
        </w:tc>
        <w:tc>
          <w:tcPr>
            <w:tcW w:w="1351" w:type="pct"/>
            <w:vMerge w:val="restart"/>
            <w:shd w:val="clear" w:color="auto" w:fill="auto"/>
            <w:vAlign w:val="center"/>
          </w:tcPr>
          <w:p w14:paraId="2358A65C">
            <w:pPr>
              <w:pStyle w:val="41"/>
              <w:rPr>
                <w:rFonts w:hint="eastAsia"/>
              </w:rPr>
            </w:pPr>
            <w:r>
              <w:rPr>
                <w:rFonts w:hint="eastAsia"/>
              </w:rPr>
              <w:t>市住建局、社区管理员或专业人员现场调研填报</w:t>
            </w:r>
          </w:p>
        </w:tc>
      </w:tr>
      <w:tr w14:paraId="4A3C8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319" w:type="pct"/>
            <w:vMerge w:val="continue"/>
            <w:shd w:val="clear" w:color="auto" w:fill="auto"/>
            <w:vAlign w:val="center"/>
          </w:tcPr>
          <w:p w14:paraId="72E5429E">
            <w:pPr>
              <w:pStyle w:val="41"/>
              <w:rPr>
                <w:rFonts w:hint="eastAsia"/>
              </w:rPr>
            </w:pPr>
          </w:p>
        </w:tc>
        <w:tc>
          <w:tcPr>
            <w:tcW w:w="196" w:type="pct"/>
            <w:vMerge w:val="continue"/>
            <w:shd w:val="clear" w:color="auto" w:fill="auto"/>
            <w:vAlign w:val="center"/>
          </w:tcPr>
          <w:p w14:paraId="60398B20">
            <w:pPr>
              <w:pStyle w:val="41"/>
              <w:rPr>
                <w:rFonts w:hint="eastAsia"/>
              </w:rPr>
            </w:pPr>
          </w:p>
        </w:tc>
        <w:tc>
          <w:tcPr>
            <w:tcW w:w="160" w:type="pct"/>
            <w:vMerge w:val="continue"/>
            <w:shd w:val="clear" w:color="auto" w:fill="auto"/>
            <w:vAlign w:val="center"/>
          </w:tcPr>
          <w:p w14:paraId="1A9B41D7">
            <w:pPr>
              <w:pStyle w:val="41"/>
              <w:rPr>
                <w:rFonts w:hint="eastAsia"/>
              </w:rPr>
            </w:pPr>
          </w:p>
        </w:tc>
        <w:tc>
          <w:tcPr>
            <w:tcW w:w="849" w:type="pct"/>
            <w:vMerge w:val="continue"/>
            <w:shd w:val="clear" w:color="auto" w:fill="auto"/>
            <w:vAlign w:val="center"/>
          </w:tcPr>
          <w:p w14:paraId="51398835">
            <w:pPr>
              <w:pStyle w:val="41"/>
              <w:rPr>
                <w:rFonts w:hint="eastAsia"/>
              </w:rPr>
            </w:pPr>
          </w:p>
        </w:tc>
        <w:tc>
          <w:tcPr>
            <w:tcW w:w="902" w:type="pct"/>
            <w:shd w:val="clear" w:color="auto" w:fill="auto"/>
            <w:vAlign w:val="center"/>
          </w:tcPr>
          <w:p w14:paraId="272B2E73">
            <w:pPr>
              <w:pStyle w:val="41"/>
              <w:rPr>
                <w:rFonts w:hint="eastAsia"/>
              </w:rPr>
            </w:pPr>
            <w:r>
              <w:rPr>
                <w:rFonts w:hint="eastAsia"/>
              </w:rPr>
              <w:t>17.2是已配建电动自行车集中充电设施但配建数量不达标。</w:t>
            </w:r>
          </w:p>
        </w:tc>
        <w:tc>
          <w:tcPr>
            <w:tcW w:w="1220" w:type="pct"/>
            <w:vMerge w:val="continue"/>
            <w:shd w:val="clear" w:color="auto" w:fill="auto"/>
            <w:vAlign w:val="center"/>
          </w:tcPr>
          <w:p w14:paraId="3EA1B969">
            <w:pPr>
              <w:pStyle w:val="41"/>
              <w:rPr>
                <w:rFonts w:hint="eastAsia"/>
              </w:rPr>
            </w:pPr>
          </w:p>
        </w:tc>
        <w:tc>
          <w:tcPr>
            <w:tcW w:w="1351" w:type="pct"/>
            <w:vMerge w:val="continue"/>
            <w:shd w:val="clear" w:color="auto" w:fill="auto"/>
            <w:vAlign w:val="center"/>
          </w:tcPr>
          <w:p w14:paraId="5D52BD7F">
            <w:pPr>
              <w:pStyle w:val="41"/>
              <w:rPr>
                <w:rFonts w:hint="eastAsia"/>
              </w:rPr>
            </w:pPr>
          </w:p>
        </w:tc>
      </w:tr>
      <w:tr w14:paraId="49F1E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 w:hRule="atLeast"/>
        </w:trPr>
        <w:tc>
          <w:tcPr>
            <w:tcW w:w="319" w:type="pct"/>
            <w:vMerge w:val="continue"/>
            <w:shd w:val="clear" w:color="auto" w:fill="auto"/>
            <w:vAlign w:val="center"/>
          </w:tcPr>
          <w:p w14:paraId="1033846B">
            <w:pPr>
              <w:pStyle w:val="41"/>
              <w:rPr>
                <w:rFonts w:hint="eastAsia"/>
              </w:rPr>
            </w:pPr>
          </w:p>
        </w:tc>
        <w:tc>
          <w:tcPr>
            <w:tcW w:w="196" w:type="pct"/>
            <w:vMerge w:val="restart"/>
            <w:shd w:val="clear" w:color="auto" w:fill="auto"/>
            <w:vAlign w:val="center"/>
          </w:tcPr>
          <w:p w14:paraId="236BAE07">
            <w:pPr>
              <w:pStyle w:val="41"/>
              <w:rPr>
                <w:rFonts w:hint="eastAsia"/>
              </w:rPr>
            </w:pPr>
            <w:r>
              <w:rPr>
                <w:rFonts w:hint="eastAsia"/>
              </w:rPr>
              <w:t>环境宜居</w:t>
            </w:r>
          </w:p>
        </w:tc>
        <w:tc>
          <w:tcPr>
            <w:tcW w:w="160" w:type="pct"/>
            <w:vMerge w:val="restart"/>
            <w:shd w:val="clear" w:color="auto" w:fill="auto"/>
            <w:vAlign w:val="center"/>
          </w:tcPr>
          <w:p w14:paraId="74FFFC03">
            <w:pPr>
              <w:pStyle w:val="41"/>
              <w:rPr>
                <w:rFonts w:hint="eastAsia"/>
              </w:rPr>
            </w:pPr>
            <w:r>
              <w:rPr>
                <w:rFonts w:hint="eastAsia"/>
              </w:rPr>
              <w:t>18</w:t>
            </w:r>
          </w:p>
        </w:tc>
        <w:tc>
          <w:tcPr>
            <w:tcW w:w="849" w:type="pct"/>
            <w:vMerge w:val="restart"/>
            <w:shd w:val="clear" w:color="auto" w:fill="auto"/>
            <w:vAlign w:val="center"/>
          </w:tcPr>
          <w:p w14:paraId="1B73E525">
            <w:pPr>
              <w:pStyle w:val="41"/>
              <w:rPr>
                <w:rFonts w:hint="eastAsia"/>
              </w:rPr>
            </w:pPr>
            <w:r>
              <w:rPr>
                <w:rFonts w:hint="eastAsia"/>
              </w:rPr>
              <w:t>☆</w:t>
            </w:r>
            <w:r>
              <w:t>未达标配建的公共活动场地的小区数量（个）</w:t>
            </w:r>
          </w:p>
        </w:tc>
        <w:tc>
          <w:tcPr>
            <w:tcW w:w="902" w:type="pct"/>
            <w:shd w:val="clear" w:color="auto" w:fill="auto"/>
            <w:vAlign w:val="center"/>
          </w:tcPr>
          <w:p w14:paraId="482A7F34">
            <w:pPr>
              <w:pStyle w:val="41"/>
              <w:rPr>
                <w:rFonts w:hint="eastAsia"/>
              </w:rPr>
            </w:pPr>
            <w:r>
              <w:rPr>
                <w:rFonts w:hint="eastAsia"/>
              </w:rPr>
              <w:t>18.1公共活动场地面积没有达标的数量</w:t>
            </w:r>
          </w:p>
        </w:tc>
        <w:tc>
          <w:tcPr>
            <w:tcW w:w="1220" w:type="pct"/>
            <w:vMerge w:val="restart"/>
            <w:shd w:val="clear" w:color="auto" w:fill="auto"/>
            <w:vAlign w:val="center"/>
          </w:tcPr>
          <w:p w14:paraId="215EC1AA">
            <w:pPr>
              <w:pStyle w:val="41"/>
              <w:rPr>
                <w:rFonts w:hint="eastAsia"/>
              </w:rPr>
            </w:pPr>
            <w:r>
              <w:rPr>
                <w:rFonts w:hint="eastAsia"/>
              </w:rPr>
              <w:t>按照《城市居住区规划设计标准》《完整居住社区建设标准（试行）》等要求，查找社区公共活动场地、公共绿地面积不达标，配套的儿童娱乐、老年活动、体育健身等设施设备不充足或破损，不符合无障碍设计要求，以及存在私搭乱建等问题。</w:t>
            </w:r>
          </w:p>
        </w:tc>
        <w:tc>
          <w:tcPr>
            <w:tcW w:w="1351" w:type="pct"/>
            <w:vMerge w:val="restart"/>
            <w:shd w:val="clear" w:color="auto" w:fill="auto"/>
            <w:vAlign w:val="center"/>
          </w:tcPr>
          <w:p w14:paraId="4B384D15">
            <w:pPr>
              <w:pStyle w:val="41"/>
              <w:rPr>
                <w:rFonts w:hint="eastAsia"/>
              </w:rPr>
            </w:pPr>
            <w:r>
              <w:rPr>
                <w:rFonts w:hint="eastAsia"/>
              </w:rPr>
              <w:t>市住建局、社区管理员或专业人员现场调研填报</w:t>
            </w:r>
          </w:p>
        </w:tc>
      </w:tr>
      <w:tr w14:paraId="60E28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10CD9D4">
            <w:pPr>
              <w:pStyle w:val="41"/>
              <w:rPr>
                <w:rFonts w:hint="eastAsia"/>
              </w:rPr>
            </w:pPr>
          </w:p>
        </w:tc>
        <w:tc>
          <w:tcPr>
            <w:tcW w:w="196" w:type="pct"/>
            <w:vMerge w:val="continue"/>
            <w:shd w:val="clear" w:color="auto" w:fill="auto"/>
            <w:vAlign w:val="center"/>
          </w:tcPr>
          <w:p w14:paraId="450D767A">
            <w:pPr>
              <w:pStyle w:val="41"/>
              <w:rPr>
                <w:rFonts w:hint="eastAsia"/>
              </w:rPr>
            </w:pPr>
          </w:p>
        </w:tc>
        <w:tc>
          <w:tcPr>
            <w:tcW w:w="160" w:type="pct"/>
            <w:vMerge w:val="continue"/>
            <w:shd w:val="clear" w:color="auto" w:fill="auto"/>
            <w:vAlign w:val="center"/>
          </w:tcPr>
          <w:p w14:paraId="308705B5">
            <w:pPr>
              <w:pStyle w:val="41"/>
              <w:rPr>
                <w:rFonts w:hint="eastAsia"/>
              </w:rPr>
            </w:pPr>
          </w:p>
        </w:tc>
        <w:tc>
          <w:tcPr>
            <w:tcW w:w="849" w:type="pct"/>
            <w:vMerge w:val="continue"/>
            <w:shd w:val="clear" w:color="auto" w:fill="auto"/>
            <w:vAlign w:val="center"/>
          </w:tcPr>
          <w:p w14:paraId="46F2ACFF">
            <w:pPr>
              <w:pStyle w:val="41"/>
              <w:rPr>
                <w:rFonts w:hint="eastAsia"/>
              </w:rPr>
            </w:pPr>
          </w:p>
        </w:tc>
        <w:tc>
          <w:tcPr>
            <w:tcW w:w="902" w:type="pct"/>
            <w:shd w:val="clear" w:color="auto" w:fill="auto"/>
            <w:vAlign w:val="center"/>
          </w:tcPr>
          <w:p w14:paraId="66E38DF9">
            <w:pPr>
              <w:pStyle w:val="41"/>
              <w:rPr>
                <w:rFonts w:hint="eastAsia"/>
              </w:rPr>
            </w:pPr>
            <w:r>
              <w:rPr>
                <w:rFonts w:hint="eastAsia"/>
              </w:rPr>
              <w:t>18.2公共绿地面积没有达标的数量</w:t>
            </w:r>
          </w:p>
        </w:tc>
        <w:tc>
          <w:tcPr>
            <w:tcW w:w="1220" w:type="pct"/>
            <w:vMerge w:val="continue"/>
            <w:shd w:val="clear" w:color="auto" w:fill="auto"/>
            <w:vAlign w:val="center"/>
          </w:tcPr>
          <w:p w14:paraId="42CA7368">
            <w:pPr>
              <w:pStyle w:val="41"/>
              <w:rPr>
                <w:rFonts w:hint="eastAsia"/>
              </w:rPr>
            </w:pPr>
          </w:p>
        </w:tc>
        <w:tc>
          <w:tcPr>
            <w:tcW w:w="1351" w:type="pct"/>
            <w:vMerge w:val="continue"/>
            <w:shd w:val="clear" w:color="auto" w:fill="auto"/>
            <w:vAlign w:val="center"/>
          </w:tcPr>
          <w:p w14:paraId="6BBA3079">
            <w:pPr>
              <w:pStyle w:val="41"/>
              <w:rPr>
                <w:rFonts w:hint="eastAsia"/>
              </w:rPr>
            </w:pPr>
          </w:p>
        </w:tc>
      </w:tr>
      <w:tr w14:paraId="2A8C2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9" w:type="pct"/>
            <w:vMerge w:val="continue"/>
            <w:shd w:val="clear" w:color="auto" w:fill="auto"/>
            <w:vAlign w:val="center"/>
          </w:tcPr>
          <w:p w14:paraId="6E6FE7AD">
            <w:pPr>
              <w:pStyle w:val="41"/>
              <w:rPr>
                <w:rFonts w:hint="eastAsia"/>
              </w:rPr>
            </w:pPr>
          </w:p>
        </w:tc>
        <w:tc>
          <w:tcPr>
            <w:tcW w:w="196" w:type="pct"/>
            <w:vMerge w:val="continue"/>
            <w:shd w:val="clear" w:color="auto" w:fill="auto"/>
            <w:vAlign w:val="center"/>
          </w:tcPr>
          <w:p w14:paraId="5617D414">
            <w:pPr>
              <w:pStyle w:val="41"/>
              <w:rPr>
                <w:rFonts w:hint="eastAsia"/>
              </w:rPr>
            </w:pPr>
          </w:p>
        </w:tc>
        <w:tc>
          <w:tcPr>
            <w:tcW w:w="160" w:type="pct"/>
            <w:vMerge w:val="continue"/>
            <w:shd w:val="clear" w:color="auto" w:fill="auto"/>
            <w:vAlign w:val="center"/>
          </w:tcPr>
          <w:p w14:paraId="6B2FE365">
            <w:pPr>
              <w:pStyle w:val="41"/>
              <w:rPr>
                <w:rFonts w:hint="eastAsia"/>
              </w:rPr>
            </w:pPr>
          </w:p>
        </w:tc>
        <w:tc>
          <w:tcPr>
            <w:tcW w:w="849" w:type="pct"/>
            <w:vMerge w:val="continue"/>
            <w:shd w:val="clear" w:color="auto" w:fill="auto"/>
            <w:vAlign w:val="center"/>
          </w:tcPr>
          <w:p w14:paraId="27339B9E">
            <w:pPr>
              <w:pStyle w:val="41"/>
              <w:rPr>
                <w:rFonts w:hint="eastAsia"/>
              </w:rPr>
            </w:pPr>
          </w:p>
        </w:tc>
        <w:tc>
          <w:tcPr>
            <w:tcW w:w="902" w:type="pct"/>
            <w:shd w:val="clear" w:color="auto" w:fill="auto"/>
            <w:vAlign w:val="center"/>
          </w:tcPr>
          <w:p w14:paraId="01E5D50B">
            <w:pPr>
              <w:pStyle w:val="41"/>
              <w:rPr>
                <w:rFonts w:hint="eastAsia"/>
              </w:rPr>
            </w:pPr>
            <w:r>
              <w:rPr>
                <w:rFonts w:hint="eastAsia"/>
              </w:rPr>
              <w:t>18.3存在以下设施设备不充足或破损（儿童娱乐、老年活动、体育健身设施）的数量</w:t>
            </w:r>
          </w:p>
        </w:tc>
        <w:tc>
          <w:tcPr>
            <w:tcW w:w="1220" w:type="pct"/>
            <w:vMerge w:val="continue"/>
            <w:shd w:val="clear" w:color="auto" w:fill="auto"/>
            <w:vAlign w:val="center"/>
          </w:tcPr>
          <w:p w14:paraId="692AB5E6">
            <w:pPr>
              <w:pStyle w:val="41"/>
              <w:rPr>
                <w:rFonts w:hint="eastAsia"/>
              </w:rPr>
            </w:pPr>
          </w:p>
        </w:tc>
        <w:tc>
          <w:tcPr>
            <w:tcW w:w="1351" w:type="pct"/>
            <w:vMerge w:val="continue"/>
            <w:shd w:val="clear" w:color="auto" w:fill="auto"/>
            <w:vAlign w:val="center"/>
          </w:tcPr>
          <w:p w14:paraId="26912D86">
            <w:pPr>
              <w:pStyle w:val="41"/>
              <w:rPr>
                <w:rFonts w:hint="eastAsia"/>
              </w:rPr>
            </w:pPr>
          </w:p>
        </w:tc>
      </w:tr>
      <w:tr w14:paraId="252E0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DAFC3E4">
            <w:pPr>
              <w:pStyle w:val="41"/>
              <w:rPr>
                <w:rFonts w:hint="eastAsia"/>
              </w:rPr>
            </w:pPr>
          </w:p>
        </w:tc>
        <w:tc>
          <w:tcPr>
            <w:tcW w:w="196" w:type="pct"/>
            <w:vMerge w:val="continue"/>
            <w:shd w:val="clear" w:color="auto" w:fill="auto"/>
            <w:vAlign w:val="center"/>
          </w:tcPr>
          <w:p w14:paraId="3AFAE569">
            <w:pPr>
              <w:pStyle w:val="41"/>
              <w:rPr>
                <w:rFonts w:hint="eastAsia"/>
              </w:rPr>
            </w:pPr>
          </w:p>
        </w:tc>
        <w:tc>
          <w:tcPr>
            <w:tcW w:w="160" w:type="pct"/>
            <w:vMerge w:val="restart"/>
            <w:shd w:val="clear" w:color="auto" w:fill="auto"/>
            <w:vAlign w:val="center"/>
          </w:tcPr>
          <w:p w14:paraId="463FAFFB">
            <w:pPr>
              <w:pStyle w:val="41"/>
              <w:rPr>
                <w:rFonts w:hint="eastAsia"/>
              </w:rPr>
            </w:pPr>
            <w:r>
              <w:rPr>
                <w:rFonts w:hint="eastAsia"/>
              </w:rPr>
              <w:t>19</w:t>
            </w:r>
          </w:p>
        </w:tc>
        <w:tc>
          <w:tcPr>
            <w:tcW w:w="849" w:type="pct"/>
            <w:vMerge w:val="restart"/>
            <w:shd w:val="clear" w:color="auto" w:fill="auto"/>
            <w:vAlign w:val="center"/>
          </w:tcPr>
          <w:p w14:paraId="144F0AED">
            <w:pPr>
              <w:pStyle w:val="41"/>
              <w:rPr>
                <w:rFonts w:hint="eastAsia"/>
              </w:rPr>
            </w:pPr>
            <w:r>
              <w:rPr>
                <w:rFonts w:hint="eastAsia"/>
              </w:rPr>
              <w:t>不达标的步行道长度（千米）</w:t>
            </w:r>
          </w:p>
        </w:tc>
        <w:tc>
          <w:tcPr>
            <w:tcW w:w="902" w:type="pct"/>
            <w:shd w:val="clear" w:color="auto" w:fill="auto"/>
            <w:vAlign w:val="center"/>
          </w:tcPr>
          <w:p w14:paraId="3762D84D">
            <w:pPr>
              <w:pStyle w:val="41"/>
              <w:rPr>
                <w:rFonts w:hint="eastAsia"/>
              </w:rPr>
            </w:pPr>
            <w:r>
              <w:rPr>
                <w:rFonts w:hint="eastAsia"/>
              </w:rPr>
              <w:t>19.1存在以下问题（人行道路面破损、宽度不足、雨后积水、夜间照明不足、铺装不防滑）的步行道长度</w:t>
            </w:r>
          </w:p>
        </w:tc>
        <w:tc>
          <w:tcPr>
            <w:tcW w:w="1220" w:type="pct"/>
            <w:vMerge w:val="restart"/>
            <w:shd w:val="clear" w:color="auto" w:fill="auto"/>
            <w:vAlign w:val="center"/>
          </w:tcPr>
          <w:p w14:paraId="6610D045">
            <w:pPr>
              <w:pStyle w:val="41"/>
              <w:rPr>
                <w:rFonts w:hint="eastAsia"/>
              </w:rPr>
            </w:pPr>
            <w:r>
              <w:rPr>
                <w:rFonts w:hint="eastAsia"/>
              </w:rPr>
              <w:t>按照《建筑与市政工程无障碍通用规范》《完整居住社区建设标准（试行）》等要求，查找人行道路面破损、宽度不足、雨后积水、夜间照明不足、铺装不防滑，不能连贯住宅和各类服务设施，以及不符合无障碍设计要求等问题。</w:t>
            </w:r>
          </w:p>
        </w:tc>
        <w:tc>
          <w:tcPr>
            <w:tcW w:w="1351" w:type="pct"/>
            <w:vMerge w:val="restart"/>
            <w:shd w:val="clear" w:color="auto" w:fill="auto"/>
            <w:vAlign w:val="center"/>
          </w:tcPr>
          <w:p w14:paraId="2E12E027">
            <w:pPr>
              <w:pStyle w:val="41"/>
              <w:rPr>
                <w:rFonts w:hint="eastAsia"/>
              </w:rPr>
            </w:pPr>
            <w:r>
              <w:rPr>
                <w:rFonts w:hint="eastAsia"/>
              </w:rPr>
              <w:t>市住建局、社区管理员或专业人员现场调研填报</w:t>
            </w:r>
          </w:p>
        </w:tc>
      </w:tr>
      <w:tr w14:paraId="213C5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0C3C76F">
            <w:pPr>
              <w:pStyle w:val="41"/>
              <w:rPr>
                <w:rFonts w:hint="eastAsia"/>
              </w:rPr>
            </w:pPr>
          </w:p>
        </w:tc>
        <w:tc>
          <w:tcPr>
            <w:tcW w:w="196" w:type="pct"/>
            <w:vMerge w:val="continue"/>
            <w:shd w:val="clear" w:color="auto" w:fill="auto"/>
            <w:vAlign w:val="center"/>
          </w:tcPr>
          <w:p w14:paraId="21C6E4B0">
            <w:pPr>
              <w:pStyle w:val="41"/>
              <w:rPr>
                <w:rFonts w:hint="eastAsia"/>
              </w:rPr>
            </w:pPr>
          </w:p>
        </w:tc>
        <w:tc>
          <w:tcPr>
            <w:tcW w:w="160" w:type="pct"/>
            <w:vMerge w:val="continue"/>
            <w:shd w:val="clear" w:color="auto" w:fill="auto"/>
            <w:vAlign w:val="center"/>
          </w:tcPr>
          <w:p w14:paraId="663FF50C">
            <w:pPr>
              <w:pStyle w:val="41"/>
              <w:rPr>
                <w:rFonts w:hint="eastAsia"/>
              </w:rPr>
            </w:pPr>
          </w:p>
        </w:tc>
        <w:tc>
          <w:tcPr>
            <w:tcW w:w="849" w:type="pct"/>
            <w:vMerge w:val="continue"/>
            <w:shd w:val="clear" w:color="auto" w:fill="auto"/>
            <w:vAlign w:val="center"/>
          </w:tcPr>
          <w:p w14:paraId="3EA8C7A5">
            <w:pPr>
              <w:pStyle w:val="41"/>
              <w:rPr>
                <w:rFonts w:hint="eastAsia"/>
              </w:rPr>
            </w:pPr>
          </w:p>
        </w:tc>
        <w:tc>
          <w:tcPr>
            <w:tcW w:w="902" w:type="pct"/>
            <w:shd w:val="clear" w:color="auto" w:fill="auto"/>
            <w:vAlign w:val="center"/>
          </w:tcPr>
          <w:p w14:paraId="6BFFC933">
            <w:pPr>
              <w:pStyle w:val="41"/>
              <w:rPr>
                <w:rFonts w:hint="eastAsia"/>
              </w:rPr>
            </w:pPr>
            <w:r>
              <w:rPr>
                <w:rFonts w:hint="eastAsia"/>
              </w:rPr>
              <w:t>19.2不能连贯住宅和各类服务设施的步行道长度</w:t>
            </w:r>
          </w:p>
        </w:tc>
        <w:tc>
          <w:tcPr>
            <w:tcW w:w="1220" w:type="pct"/>
            <w:vMerge w:val="continue"/>
            <w:shd w:val="clear" w:color="auto" w:fill="auto"/>
            <w:vAlign w:val="center"/>
          </w:tcPr>
          <w:p w14:paraId="4ED69593">
            <w:pPr>
              <w:pStyle w:val="41"/>
              <w:rPr>
                <w:rFonts w:hint="eastAsia"/>
              </w:rPr>
            </w:pPr>
          </w:p>
        </w:tc>
        <w:tc>
          <w:tcPr>
            <w:tcW w:w="1351" w:type="pct"/>
            <w:vMerge w:val="continue"/>
            <w:shd w:val="clear" w:color="auto" w:fill="auto"/>
            <w:vAlign w:val="center"/>
          </w:tcPr>
          <w:p w14:paraId="1934FF8C">
            <w:pPr>
              <w:pStyle w:val="41"/>
              <w:rPr>
                <w:rFonts w:hint="eastAsia"/>
              </w:rPr>
            </w:pPr>
          </w:p>
        </w:tc>
      </w:tr>
      <w:tr w14:paraId="0096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376317E">
            <w:pPr>
              <w:pStyle w:val="41"/>
              <w:rPr>
                <w:rFonts w:hint="eastAsia"/>
              </w:rPr>
            </w:pPr>
          </w:p>
        </w:tc>
        <w:tc>
          <w:tcPr>
            <w:tcW w:w="196" w:type="pct"/>
            <w:vMerge w:val="continue"/>
            <w:shd w:val="clear" w:color="auto" w:fill="auto"/>
            <w:vAlign w:val="center"/>
          </w:tcPr>
          <w:p w14:paraId="08556F84">
            <w:pPr>
              <w:pStyle w:val="41"/>
              <w:rPr>
                <w:rFonts w:hint="eastAsia"/>
              </w:rPr>
            </w:pPr>
          </w:p>
        </w:tc>
        <w:tc>
          <w:tcPr>
            <w:tcW w:w="160" w:type="pct"/>
            <w:vMerge w:val="continue"/>
            <w:shd w:val="clear" w:color="auto" w:fill="auto"/>
            <w:vAlign w:val="center"/>
          </w:tcPr>
          <w:p w14:paraId="50A3CC08">
            <w:pPr>
              <w:pStyle w:val="41"/>
              <w:rPr>
                <w:rFonts w:hint="eastAsia"/>
              </w:rPr>
            </w:pPr>
          </w:p>
        </w:tc>
        <w:tc>
          <w:tcPr>
            <w:tcW w:w="849" w:type="pct"/>
            <w:vMerge w:val="continue"/>
            <w:shd w:val="clear" w:color="auto" w:fill="auto"/>
            <w:vAlign w:val="center"/>
          </w:tcPr>
          <w:p w14:paraId="36D727C6">
            <w:pPr>
              <w:pStyle w:val="41"/>
              <w:rPr>
                <w:rFonts w:hint="eastAsia"/>
              </w:rPr>
            </w:pPr>
          </w:p>
        </w:tc>
        <w:tc>
          <w:tcPr>
            <w:tcW w:w="902" w:type="pct"/>
            <w:shd w:val="clear" w:color="auto" w:fill="auto"/>
            <w:vAlign w:val="center"/>
          </w:tcPr>
          <w:p w14:paraId="771D9ABD">
            <w:pPr>
              <w:pStyle w:val="41"/>
              <w:rPr>
                <w:rFonts w:hint="eastAsia"/>
              </w:rPr>
            </w:pPr>
            <w:r>
              <w:rPr>
                <w:rFonts w:hint="eastAsia"/>
              </w:rPr>
              <w:t>19.3不符合无障碍设计要求的步行道长度</w:t>
            </w:r>
          </w:p>
        </w:tc>
        <w:tc>
          <w:tcPr>
            <w:tcW w:w="1220" w:type="pct"/>
            <w:vMerge w:val="continue"/>
            <w:shd w:val="clear" w:color="auto" w:fill="auto"/>
            <w:vAlign w:val="center"/>
          </w:tcPr>
          <w:p w14:paraId="45C62D43">
            <w:pPr>
              <w:pStyle w:val="41"/>
              <w:rPr>
                <w:rFonts w:hint="eastAsia"/>
              </w:rPr>
            </w:pPr>
          </w:p>
        </w:tc>
        <w:tc>
          <w:tcPr>
            <w:tcW w:w="1351" w:type="pct"/>
            <w:vMerge w:val="continue"/>
            <w:shd w:val="clear" w:color="auto" w:fill="auto"/>
            <w:vAlign w:val="center"/>
          </w:tcPr>
          <w:p w14:paraId="5EC32CB1">
            <w:pPr>
              <w:pStyle w:val="41"/>
              <w:rPr>
                <w:rFonts w:hint="eastAsia"/>
              </w:rPr>
            </w:pPr>
          </w:p>
        </w:tc>
      </w:tr>
      <w:tr w14:paraId="439F2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8198C0C">
            <w:pPr>
              <w:pStyle w:val="41"/>
              <w:rPr>
                <w:rFonts w:hint="eastAsia"/>
              </w:rPr>
            </w:pPr>
          </w:p>
        </w:tc>
        <w:tc>
          <w:tcPr>
            <w:tcW w:w="196" w:type="pct"/>
            <w:vMerge w:val="continue"/>
            <w:shd w:val="clear" w:color="auto" w:fill="auto"/>
            <w:vAlign w:val="center"/>
          </w:tcPr>
          <w:p w14:paraId="771E70E3">
            <w:pPr>
              <w:pStyle w:val="41"/>
              <w:rPr>
                <w:rFonts w:hint="eastAsia"/>
              </w:rPr>
            </w:pPr>
          </w:p>
        </w:tc>
        <w:tc>
          <w:tcPr>
            <w:tcW w:w="160" w:type="pct"/>
            <w:vMerge w:val="restart"/>
            <w:shd w:val="clear" w:color="auto" w:fill="auto"/>
            <w:vAlign w:val="center"/>
          </w:tcPr>
          <w:p w14:paraId="65DDB993">
            <w:pPr>
              <w:pStyle w:val="41"/>
              <w:rPr>
                <w:rFonts w:hint="eastAsia"/>
              </w:rPr>
            </w:pPr>
            <w:r>
              <w:rPr>
                <w:rFonts w:hint="eastAsia"/>
              </w:rPr>
              <w:t>20</w:t>
            </w:r>
          </w:p>
        </w:tc>
        <w:tc>
          <w:tcPr>
            <w:tcW w:w="849" w:type="pct"/>
            <w:vMerge w:val="restart"/>
            <w:shd w:val="clear" w:color="auto" w:fill="auto"/>
            <w:vAlign w:val="center"/>
          </w:tcPr>
          <w:p w14:paraId="06251D70">
            <w:pPr>
              <w:pStyle w:val="41"/>
              <w:rPr>
                <w:rFonts w:hint="eastAsia"/>
              </w:rPr>
            </w:pPr>
            <w:r>
              <w:rPr>
                <w:rFonts w:hint="eastAsia"/>
              </w:rPr>
              <w:t>未实施生活垃圾分类的小区数量（个）</w:t>
            </w:r>
          </w:p>
        </w:tc>
        <w:tc>
          <w:tcPr>
            <w:tcW w:w="902" w:type="pct"/>
            <w:shd w:val="clear" w:color="auto" w:fill="auto"/>
            <w:vAlign w:val="center"/>
          </w:tcPr>
          <w:p w14:paraId="58E70DC7">
            <w:pPr>
              <w:pStyle w:val="41"/>
              <w:rPr>
                <w:rFonts w:hint="eastAsia"/>
              </w:rPr>
            </w:pPr>
            <w:r>
              <w:rPr>
                <w:rFonts w:hint="eastAsia"/>
              </w:rPr>
              <w:t>20.1没有建立实行垃圾分类制度的小区数量</w:t>
            </w:r>
          </w:p>
        </w:tc>
        <w:tc>
          <w:tcPr>
            <w:tcW w:w="1220" w:type="pct"/>
            <w:vMerge w:val="restart"/>
            <w:shd w:val="clear" w:color="auto" w:fill="auto"/>
            <w:vAlign w:val="center"/>
          </w:tcPr>
          <w:p w14:paraId="33087F0F">
            <w:pPr>
              <w:pStyle w:val="41"/>
              <w:rPr>
                <w:rFonts w:hint="eastAsia"/>
              </w:rPr>
            </w:pPr>
            <w:r>
              <w:rPr>
                <w:rFonts w:hint="eastAsia"/>
              </w:rPr>
              <w:t>按照住房和城乡建设部等部门《关于进一步推进生活垃圾分类工作的若干意见》要求，查找没有实行垃圾分类制度，未建立分类投放、分类收集、分类运输、分类处理系统等方面的问题。</w:t>
            </w:r>
          </w:p>
        </w:tc>
        <w:tc>
          <w:tcPr>
            <w:tcW w:w="1351" w:type="pct"/>
            <w:vMerge w:val="restart"/>
            <w:shd w:val="clear" w:color="auto" w:fill="auto"/>
            <w:vAlign w:val="center"/>
          </w:tcPr>
          <w:p w14:paraId="67FF2E46">
            <w:pPr>
              <w:pStyle w:val="41"/>
              <w:rPr>
                <w:rFonts w:hint="eastAsia"/>
              </w:rPr>
            </w:pPr>
            <w:r>
              <w:rPr>
                <w:rFonts w:hint="eastAsia"/>
              </w:rPr>
              <w:t>市住建局、社区管理员或专业人员现场调研填报</w:t>
            </w:r>
          </w:p>
        </w:tc>
      </w:tr>
      <w:tr w14:paraId="0A3D1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C842B6C">
            <w:pPr>
              <w:pStyle w:val="41"/>
              <w:rPr>
                <w:rFonts w:hint="eastAsia"/>
              </w:rPr>
            </w:pPr>
          </w:p>
        </w:tc>
        <w:tc>
          <w:tcPr>
            <w:tcW w:w="196" w:type="pct"/>
            <w:vMerge w:val="continue"/>
            <w:shd w:val="clear" w:color="auto" w:fill="auto"/>
            <w:vAlign w:val="center"/>
          </w:tcPr>
          <w:p w14:paraId="0582A322">
            <w:pPr>
              <w:pStyle w:val="41"/>
              <w:rPr>
                <w:rFonts w:hint="eastAsia"/>
              </w:rPr>
            </w:pPr>
          </w:p>
        </w:tc>
        <w:tc>
          <w:tcPr>
            <w:tcW w:w="160" w:type="pct"/>
            <w:vMerge w:val="continue"/>
            <w:shd w:val="clear" w:color="auto" w:fill="auto"/>
            <w:vAlign w:val="center"/>
          </w:tcPr>
          <w:p w14:paraId="7FB8FB1B">
            <w:pPr>
              <w:pStyle w:val="41"/>
              <w:rPr>
                <w:rFonts w:hint="eastAsia"/>
              </w:rPr>
            </w:pPr>
          </w:p>
        </w:tc>
        <w:tc>
          <w:tcPr>
            <w:tcW w:w="849" w:type="pct"/>
            <w:vMerge w:val="continue"/>
            <w:shd w:val="clear" w:color="auto" w:fill="auto"/>
            <w:vAlign w:val="center"/>
          </w:tcPr>
          <w:p w14:paraId="76863E01">
            <w:pPr>
              <w:pStyle w:val="41"/>
              <w:rPr>
                <w:rFonts w:hint="eastAsia"/>
              </w:rPr>
            </w:pPr>
          </w:p>
        </w:tc>
        <w:tc>
          <w:tcPr>
            <w:tcW w:w="902" w:type="pct"/>
            <w:shd w:val="clear" w:color="auto" w:fill="auto"/>
            <w:vAlign w:val="center"/>
          </w:tcPr>
          <w:p w14:paraId="1705AEAB">
            <w:pPr>
              <w:pStyle w:val="41"/>
              <w:rPr>
                <w:rFonts w:hint="eastAsia"/>
              </w:rPr>
            </w:pPr>
            <w:r>
              <w:rPr>
                <w:rFonts w:hint="eastAsia"/>
              </w:rPr>
              <w:t>20.2存在以下问题（未建立分类投放、分类收集、分类运输、分类处理系统）的小区数量</w:t>
            </w:r>
          </w:p>
        </w:tc>
        <w:tc>
          <w:tcPr>
            <w:tcW w:w="1220" w:type="pct"/>
            <w:vMerge w:val="continue"/>
            <w:shd w:val="clear" w:color="auto" w:fill="auto"/>
            <w:vAlign w:val="center"/>
          </w:tcPr>
          <w:p w14:paraId="500A84CD">
            <w:pPr>
              <w:pStyle w:val="41"/>
              <w:rPr>
                <w:rFonts w:hint="eastAsia"/>
              </w:rPr>
            </w:pPr>
          </w:p>
        </w:tc>
        <w:tc>
          <w:tcPr>
            <w:tcW w:w="1351" w:type="pct"/>
            <w:vMerge w:val="continue"/>
            <w:shd w:val="clear" w:color="auto" w:fill="auto"/>
            <w:vAlign w:val="center"/>
          </w:tcPr>
          <w:p w14:paraId="3E958C88">
            <w:pPr>
              <w:pStyle w:val="41"/>
              <w:rPr>
                <w:rFonts w:hint="eastAsia"/>
              </w:rPr>
            </w:pPr>
          </w:p>
        </w:tc>
      </w:tr>
      <w:tr w14:paraId="79E00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3E8669C">
            <w:pPr>
              <w:pStyle w:val="41"/>
              <w:rPr>
                <w:rFonts w:hint="eastAsia"/>
              </w:rPr>
            </w:pPr>
          </w:p>
        </w:tc>
        <w:tc>
          <w:tcPr>
            <w:tcW w:w="196" w:type="pct"/>
            <w:vMerge w:val="restart"/>
            <w:shd w:val="clear" w:color="auto" w:fill="auto"/>
            <w:vAlign w:val="center"/>
          </w:tcPr>
          <w:p w14:paraId="65B55BFE">
            <w:pPr>
              <w:pStyle w:val="41"/>
              <w:rPr>
                <w:rFonts w:hint="eastAsia"/>
              </w:rPr>
            </w:pPr>
            <w:r>
              <w:rPr>
                <w:rFonts w:hint="eastAsia"/>
              </w:rPr>
              <w:t>管理健全</w:t>
            </w:r>
          </w:p>
        </w:tc>
        <w:tc>
          <w:tcPr>
            <w:tcW w:w="160" w:type="pct"/>
            <w:vMerge w:val="restart"/>
            <w:shd w:val="clear" w:color="auto" w:fill="auto"/>
            <w:vAlign w:val="center"/>
          </w:tcPr>
          <w:p w14:paraId="7996F9A2">
            <w:pPr>
              <w:pStyle w:val="41"/>
              <w:rPr>
                <w:rFonts w:hint="eastAsia"/>
              </w:rPr>
            </w:pPr>
            <w:r>
              <w:rPr>
                <w:rFonts w:hint="eastAsia"/>
              </w:rPr>
              <w:t>21</w:t>
            </w:r>
          </w:p>
        </w:tc>
        <w:tc>
          <w:tcPr>
            <w:tcW w:w="849" w:type="pct"/>
            <w:vMerge w:val="restart"/>
            <w:shd w:val="clear" w:color="auto" w:fill="auto"/>
            <w:vAlign w:val="center"/>
          </w:tcPr>
          <w:p w14:paraId="2FF3BE4E">
            <w:pPr>
              <w:pStyle w:val="41"/>
              <w:rPr>
                <w:rFonts w:hint="eastAsia"/>
              </w:rPr>
            </w:pPr>
            <w:r>
              <w:rPr>
                <w:rFonts w:hint="eastAsia"/>
              </w:rPr>
              <w:t>☆</w:t>
            </w:r>
            <w:r>
              <w:t>未实施物业管理的小区数量（个）</w:t>
            </w:r>
          </w:p>
        </w:tc>
        <w:tc>
          <w:tcPr>
            <w:tcW w:w="902" w:type="pct"/>
            <w:shd w:val="clear" w:color="auto" w:fill="auto"/>
            <w:vAlign w:val="center"/>
          </w:tcPr>
          <w:p w14:paraId="34D872F4">
            <w:pPr>
              <w:pStyle w:val="41"/>
              <w:rPr>
                <w:rFonts w:hint="eastAsia"/>
              </w:rPr>
            </w:pPr>
            <w:r>
              <w:rPr>
                <w:rFonts w:hint="eastAsia"/>
              </w:rPr>
              <w:t>21.1没有实施具有专业人员管理、专属物业办公场所、专用设备配置的专业化物业管理的小区数量</w:t>
            </w:r>
          </w:p>
        </w:tc>
        <w:tc>
          <w:tcPr>
            <w:tcW w:w="1220" w:type="pct"/>
            <w:vMerge w:val="restart"/>
            <w:shd w:val="clear" w:color="auto" w:fill="auto"/>
            <w:vAlign w:val="center"/>
          </w:tcPr>
          <w:p w14:paraId="6EBED274">
            <w:pPr>
              <w:pStyle w:val="41"/>
              <w:rPr>
                <w:rFonts w:hint="eastAsia"/>
              </w:rPr>
            </w:pPr>
            <w:r>
              <w:rPr>
                <w:rFonts w:hint="eastAsia"/>
              </w:rPr>
              <w:t>按照住房和城乡建设部等部门《关于加强和改进住宅物业管理工作的通知》要求，查找未实行小区物业管理，未建立所在街道党（工）委统一协调，相关部门联动执法，协调解决物业管理问题的工作机制，未建立矛盾纠纷调解机制等问题。</w:t>
            </w:r>
          </w:p>
        </w:tc>
        <w:tc>
          <w:tcPr>
            <w:tcW w:w="1351" w:type="pct"/>
            <w:vMerge w:val="restart"/>
            <w:shd w:val="clear" w:color="auto" w:fill="auto"/>
            <w:vAlign w:val="center"/>
          </w:tcPr>
          <w:p w14:paraId="299CA7D9">
            <w:pPr>
              <w:pStyle w:val="41"/>
              <w:rPr>
                <w:rFonts w:hint="eastAsia"/>
              </w:rPr>
            </w:pPr>
            <w:r>
              <w:rPr>
                <w:rFonts w:hint="eastAsia"/>
              </w:rPr>
              <w:t>市住建局、社区管理员或专业人员现场调研填报</w:t>
            </w:r>
          </w:p>
        </w:tc>
      </w:tr>
      <w:tr w14:paraId="6EBD3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23EE467">
            <w:pPr>
              <w:pStyle w:val="41"/>
              <w:rPr>
                <w:rFonts w:hint="eastAsia"/>
              </w:rPr>
            </w:pPr>
          </w:p>
        </w:tc>
        <w:tc>
          <w:tcPr>
            <w:tcW w:w="196" w:type="pct"/>
            <w:vMerge w:val="continue"/>
            <w:shd w:val="clear" w:color="auto" w:fill="auto"/>
            <w:vAlign w:val="center"/>
          </w:tcPr>
          <w:p w14:paraId="61CCF731">
            <w:pPr>
              <w:pStyle w:val="41"/>
              <w:rPr>
                <w:rFonts w:hint="eastAsia"/>
              </w:rPr>
            </w:pPr>
          </w:p>
        </w:tc>
        <w:tc>
          <w:tcPr>
            <w:tcW w:w="160" w:type="pct"/>
            <w:vMerge w:val="continue"/>
            <w:shd w:val="clear" w:color="auto" w:fill="auto"/>
            <w:vAlign w:val="center"/>
          </w:tcPr>
          <w:p w14:paraId="0F340059">
            <w:pPr>
              <w:pStyle w:val="41"/>
              <w:rPr>
                <w:rFonts w:hint="eastAsia"/>
              </w:rPr>
            </w:pPr>
          </w:p>
        </w:tc>
        <w:tc>
          <w:tcPr>
            <w:tcW w:w="849" w:type="pct"/>
            <w:vMerge w:val="continue"/>
            <w:shd w:val="clear" w:color="auto" w:fill="auto"/>
            <w:vAlign w:val="center"/>
          </w:tcPr>
          <w:p w14:paraId="58FE1F3C">
            <w:pPr>
              <w:pStyle w:val="41"/>
              <w:rPr>
                <w:rFonts w:hint="eastAsia"/>
              </w:rPr>
            </w:pPr>
          </w:p>
        </w:tc>
        <w:tc>
          <w:tcPr>
            <w:tcW w:w="902" w:type="pct"/>
            <w:shd w:val="clear" w:color="auto" w:fill="auto"/>
            <w:vAlign w:val="center"/>
          </w:tcPr>
          <w:p w14:paraId="280136E3">
            <w:pPr>
              <w:pStyle w:val="41"/>
              <w:rPr>
                <w:rFonts w:hint="eastAsia"/>
              </w:rPr>
            </w:pPr>
            <w:r>
              <w:rPr>
                <w:rFonts w:hint="eastAsia"/>
              </w:rPr>
              <w:t>21.2没有在物业管理委员会中建立党组织，充分发挥业主中的中共党员、人大代表、政协委员和社区志愿者在社区治理中共同施策的小区数量</w:t>
            </w:r>
          </w:p>
        </w:tc>
        <w:tc>
          <w:tcPr>
            <w:tcW w:w="1220" w:type="pct"/>
            <w:vMerge w:val="continue"/>
            <w:shd w:val="clear" w:color="auto" w:fill="auto"/>
            <w:vAlign w:val="center"/>
          </w:tcPr>
          <w:p w14:paraId="51A36021">
            <w:pPr>
              <w:pStyle w:val="41"/>
              <w:rPr>
                <w:rFonts w:hint="eastAsia"/>
              </w:rPr>
            </w:pPr>
          </w:p>
        </w:tc>
        <w:tc>
          <w:tcPr>
            <w:tcW w:w="1351" w:type="pct"/>
            <w:vMerge w:val="continue"/>
            <w:shd w:val="clear" w:color="auto" w:fill="auto"/>
            <w:vAlign w:val="center"/>
          </w:tcPr>
          <w:p w14:paraId="03ABBEA3">
            <w:pPr>
              <w:pStyle w:val="41"/>
              <w:rPr>
                <w:rFonts w:hint="eastAsia"/>
              </w:rPr>
            </w:pPr>
          </w:p>
        </w:tc>
      </w:tr>
      <w:tr w14:paraId="41D9E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BAFCCE2">
            <w:pPr>
              <w:pStyle w:val="41"/>
              <w:rPr>
                <w:rFonts w:hint="eastAsia"/>
              </w:rPr>
            </w:pPr>
          </w:p>
        </w:tc>
        <w:tc>
          <w:tcPr>
            <w:tcW w:w="196" w:type="pct"/>
            <w:vMerge w:val="continue"/>
            <w:shd w:val="clear" w:color="auto" w:fill="auto"/>
            <w:vAlign w:val="center"/>
          </w:tcPr>
          <w:p w14:paraId="5253D9A2">
            <w:pPr>
              <w:pStyle w:val="41"/>
              <w:rPr>
                <w:rFonts w:hint="eastAsia"/>
              </w:rPr>
            </w:pPr>
          </w:p>
        </w:tc>
        <w:tc>
          <w:tcPr>
            <w:tcW w:w="160" w:type="pct"/>
            <w:vMerge w:val="continue"/>
            <w:shd w:val="clear" w:color="auto" w:fill="auto"/>
            <w:vAlign w:val="center"/>
          </w:tcPr>
          <w:p w14:paraId="75D10C77">
            <w:pPr>
              <w:pStyle w:val="41"/>
              <w:rPr>
                <w:rFonts w:hint="eastAsia"/>
              </w:rPr>
            </w:pPr>
          </w:p>
        </w:tc>
        <w:tc>
          <w:tcPr>
            <w:tcW w:w="849" w:type="pct"/>
            <w:vMerge w:val="continue"/>
            <w:shd w:val="clear" w:color="auto" w:fill="auto"/>
            <w:vAlign w:val="center"/>
          </w:tcPr>
          <w:p w14:paraId="6FD831A8">
            <w:pPr>
              <w:pStyle w:val="41"/>
              <w:rPr>
                <w:rFonts w:hint="eastAsia"/>
              </w:rPr>
            </w:pPr>
          </w:p>
        </w:tc>
        <w:tc>
          <w:tcPr>
            <w:tcW w:w="902" w:type="pct"/>
            <w:shd w:val="clear" w:color="auto" w:fill="auto"/>
            <w:vAlign w:val="center"/>
          </w:tcPr>
          <w:p w14:paraId="53F5E0C2">
            <w:pPr>
              <w:pStyle w:val="41"/>
              <w:rPr>
                <w:rFonts w:hint="eastAsia"/>
              </w:rPr>
            </w:pPr>
            <w:r>
              <w:rPr>
                <w:rFonts w:hint="eastAsia"/>
              </w:rPr>
              <w:t>21.3没有按照物业服务合同约定对房屋及配套设施设备进行维修、养护和管理，不能及时处理居民报修、求助等各类信息的小区数量</w:t>
            </w:r>
          </w:p>
        </w:tc>
        <w:tc>
          <w:tcPr>
            <w:tcW w:w="1220" w:type="pct"/>
            <w:vMerge w:val="continue"/>
            <w:shd w:val="clear" w:color="auto" w:fill="auto"/>
            <w:vAlign w:val="center"/>
          </w:tcPr>
          <w:p w14:paraId="1ABC4D84">
            <w:pPr>
              <w:pStyle w:val="41"/>
              <w:rPr>
                <w:rFonts w:hint="eastAsia"/>
              </w:rPr>
            </w:pPr>
          </w:p>
        </w:tc>
        <w:tc>
          <w:tcPr>
            <w:tcW w:w="1351" w:type="pct"/>
            <w:vMerge w:val="continue"/>
            <w:shd w:val="clear" w:color="auto" w:fill="auto"/>
            <w:vAlign w:val="center"/>
          </w:tcPr>
          <w:p w14:paraId="44F68F07">
            <w:pPr>
              <w:pStyle w:val="41"/>
              <w:rPr>
                <w:rFonts w:hint="eastAsia"/>
              </w:rPr>
            </w:pPr>
          </w:p>
        </w:tc>
      </w:tr>
      <w:tr w14:paraId="47E19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F02046D">
            <w:pPr>
              <w:pStyle w:val="41"/>
              <w:rPr>
                <w:rFonts w:hint="eastAsia"/>
              </w:rPr>
            </w:pPr>
          </w:p>
        </w:tc>
        <w:tc>
          <w:tcPr>
            <w:tcW w:w="196" w:type="pct"/>
            <w:vMerge w:val="continue"/>
            <w:shd w:val="clear" w:color="auto" w:fill="auto"/>
            <w:vAlign w:val="center"/>
          </w:tcPr>
          <w:p w14:paraId="6B70A9BA">
            <w:pPr>
              <w:pStyle w:val="41"/>
              <w:rPr>
                <w:rFonts w:hint="eastAsia"/>
              </w:rPr>
            </w:pPr>
          </w:p>
        </w:tc>
        <w:tc>
          <w:tcPr>
            <w:tcW w:w="160" w:type="pct"/>
            <w:vMerge w:val="continue"/>
            <w:shd w:val="clear" w:color="auto" w:fill="auto"/>
            <w:vAlign w:val="center"/>
          </w:tcPr>
          <w:p w14:paraId="5C2C467F">
            <w:pPr>
              <w:pStyle w:val="41"/>
              <w:rPr>
                <w:rFonts w:hint="eastAsia"/>
              </w:rPr>
            </w:pPr>
          </w:p>
        </w:tc>
        <w:tc>
          <w:tcPr>
            <w:tcW w:w="849" w:type="pct"/>
            <w:vMerge w:val="continue"/>
            <w:shd w:val="clear" w:color="auto" w:fill="auto"/>
            <w:vAlign w:val="center"/>
          </w:tcPr>
          <w:p w14:paraId="29994EC7">
            <w:pPr>
              <w:pStyle w:val="41"/>
              <w:rPr>
                <w:rFonts w:hint="eastAsia"/>
              </w:rPr>
            </w:pPr>
          </w:p>
        </w:tc>
        <w:tc>
          <w:tcPr>
            <w:tcW w:w="902" w:type="pct"/>
            <w:shd w:val="clear" w:color="auto" w:fill="auto"/>
            <w:vAlign w:val="center"/>
          </w:tcPr>
          <w:p w14:paraId="796FFD8F">
            <w:pPr>
              <w:pStyle w:val="41"/>
              <w:rPr>
                <w:rFonts w:hint="eastAsia"/>
              </w:rPr>
            </w:pPr>
            <w:r>
              <w:rPr>
                <w:rFonts w:hint="eastAsia"/>
              </w:rPr>
              <w:t>21.4存在秩序维护和环境卫生服务不到位等问题的小区数量</w:t>
            </w:r>
          </w:p>
        </w:tc>
        <w:tc>
          <w:tcPr>
            <w:tcW w:w="1220" w:type="pct"/>
            <w:vMerge w:val="continue"/>
            <w:shd w:val="clear" w:color="auto" w:fill="auto"/>
            <w:vAlign w:val="center"/>
          </w:tcPr>
          <w:p w14:paraId="585F4BE9">
            <w:pPr>
              <w:pStyle w:val="41"/>
              <w:rPr>
                <w:rFonts w:hint="eastAsia"/>
              </w:rPr>
            </w:pPr>
          </w:p>
        </w:tc>
        <w:tc>
          <w:tcPr>
            <w:tcW w:w="1351" w:type="pct"/>
            <w:vMerge w:val="continue"/>
            <w:shd w:val="clear" w:color="auto" w:fill="auto"/>
            <w:vAlign w:val="center"/>
          </w:tcPr>
          <w:p w14:paraId="5AF01850">
            <w:pPr>
              <w:pStyle w:val="41"/>
              <w:rPr>
                <w:rFonts w:hint="eastAsia"/>
              </w:rPr>
            </w:pPr>
          </w:p>
        </w:tc>
      </w:tr>
      <w:tr w14:paraId="6765B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4D4D2D7">
            <w:pPr>
              <w:pStyle w:val="41"/>
              <w:rPr>
                <w:rFonts w:hint="eastAsia"/>
              </w:rPr>
            </w:pPr>
          </w:p>
        </w:tc>
        <w:tc>
          <w:tcPr>
            <w:tcW w:w="196" w:type="pct"/>
            <w:vMerge w:val="continue"/>
            <w:shd w:val="clear" w:color="auto" w:fill="auto"/>
            <w:vAlign w:val="center"/>
          </w:tcPr>
          <w:p w14:paraId="63A94564">
            <w:pPr>
              <w:pStyle w:val="41"/>
              <w:rPr>
                <w:rFonts w:hint="eastAsia"/>
              </w:rPr>
            </w:pPr>
          </w:p>
        </w:tc>
        <w:tc>
          <w:tcPr>
            <w:tcW w:w="160" w:type="pct"/>
            <w:vMerge w:val="restart"/>
            <w:shd w:val="clear" w:color="auto" w:fill="auto"/>
            <w:vAlign w:val="center"/>
          </w:tcPr>
          <w:p w14:paraId="6FD7EB83">
            <w:pPr>
              <w:pStyle w:val="41"/>
              <w:rPr>
                <w:rFonts w:hint="eastAsia"/>
              </w:rPr>
            </w:pPr>
            <w:r>
              <w:rPr>
                <w:rFonts w:hint="eastAsia"/>
              </w:rPr>
              <w:t>22</w:t>
            </w:r>
          </w:p>
        </w:tc>
        <w:tc>
          <w:tcPr>
            <w:tcW w:w="849" w:type="pct"/>
            <w:vMerge w:val="restart"/>
            <w:shd w:val="clear" w:color="auto" w:fill="auto"/>
            <w:vAlign w:val="center"/>
          </w:tcPr>
          <w:p w14:paraId="4972E6CB">
            <w:pPr>
              <w:pStyle w:val="41"/>
              <w:rPr>
                <w:rFonts w:hint="eastAsia"/>
              </w:rPr>
            </w:pPr>
            <w:r>
              <w:rPr>
                <w:rFonts w:hint="eastAsia"/>
              </w:rPr>
              <w:t>需要进行智慧化改造的小区数量（个）</w:t>
            </w:r>
          </w:p>
        </w:tc>
        <w:tc>
          <w:tcPr>
            <w:tcW w:w="902" w:type="pct"/>
            <w:shd w:val="clear" w:color="auto" w:fill="auto"/>
            <w:vAlign w:val="center"/>
          </w:tcPr>
          <w:p w14:paraId="580CCA4B">
            <w:pPr>
              <w:pStyle w:val="41"/>
              <w:rPr>
                <w:rFonts w:hint="eastAsia"/>
              </w:rPr>
            </w:pPr>
            <w:r>
              <w:rPr>
                <w:rFonts w:hint="eastAsia"/>
              </w:rPr>
              <w:t>22.1存在未安装智能信包箱、智能快递柜的问题</w:t>
            </w:r>
          </w:p>
        </w:tc>
        <w:tc>
          <w:tcPr>
            <w:tcW w:w="1220" w:type="pct"/>
            <w:vMerge w:val="restart"/>
            <w:shd w:val="clear" w:color="auto" w:fill="auto"/>
            <w:vAlign w:val="center"/>
          </w:tcPr>
          <w:p w14:paraId="7DB98332">
            <w:pPr>
              <w:pStyle w:val="41"/>
              <w:rPr>
                <w:rFonts w:hint="eastAsia"/>
              </w:rPr>
            </w:pPr>
            <w:r>
              <w:rPr>
                <w:rFonts w:hint="eastAsia"/>
              </w:rPr>
              <w:t>按照民政部、住房和城乡建设部等部门《关于深入推进智慧社区建设的意见》要求，查找未安装智能信包箱、智能快递柜、智能安防设施及系统建设不完善等问题。有条件的，查找智慧社区综合信息平台建设、公共服务信息化建设等方面的差距和不足。</w:t>
            </w:r>
          </w:p>
        </w:tc>
        <w:tc>
          <w:tcPr>
            <w:tcW w:w="1351" w:type="pct"/>
            <w:vMerge w:val="restart"/>
            <w:shd w:val="clear" w:color="auto" w:fill="auto"/>
            <w:vAlign w:val="center"/>
          </w:tcPr>
          <w:p w14:paraId="50EB2134">
            <w:pPr>
              <w:pStyle w:val="41"/>
              <w:rPr>
                <w:rFonts w:hint="eastAsia"/>
              </w:rPr>
            </w:pPr>
            <w:r>
              <w:rPr>
                <w:rFonts w:hint="eastAsia"/>
              </w:rPr>
              <w:t>市民政局、市住建局、社区管理员或专业人员现场调研填报</w:t>
            </w:r>
          </w:p>
        </w:tc>
      </w:tr>
      <w:tr w14:paraId="5F26A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3C8F446">
            <w:pPr>
              <w:pStyle w:val="41"/>
              <w:rPr>
                <w:rFonts w:hint="eastAsia"/>
              </w:rPr>
            </w:pPr>
          </w:p>
        </w:tc>
        <w:tc>
          <w:tcPr>
            <w:tcW w:w="196" w:type="pct"/>
            <w:vMerge w:val="continue"/>
            <w:shd w:val="clear" w:color="auto" w:fill="auto"/>
            <w:vAlign w:val="center"/>
          </w:tcPr>
          <w:p w14:paraId="0F50005E">
            <w:pPr>
              <w:pStyle w:val="41"/>
              <w:rPr>
                <w:rFonts w:hint="eastAsia"/>
              </w:rPr>
            </w:pPr>
          </w:p>
        </w:tc>
        <w:tc>
          <w:tcPr>
            <w:tcW w:w="160" w:type="pct"/>
            <w:vMerge w:val="continue"/>
            <w:shd w:val="clear" w:color="auto" w:fill="auto"/>
            <w:vAlign w:val="center"/>
          </w:tcPr>
          <w:p w14:paraId="0B2ACEF3">
            <w:pPr>
              <w:pStyle w:val="41"/>
              <w:rPr>
                <w:rFonts w:hint="eastAsia"/>
              </w:rPr>
            </w:pPr>
          </w:p>
        </w:tc>
        <w:tc>
          <w:tcPr>
            <w:tcW w:w="849" w:type="pct"/>
            <w:vMerge w:val="continue"/>
            <w:shd w:val="clear" w:color="auto" w:fill="auto"/>
            <w:vAlign w:val="center"/>
          </w:tcPr>
          <w:p w14:paraId="0451E79E">
            <w:pPr>
              <w:pStyle w:val="41"/>
              <w:rPr>
                <w:rFonts w:hint="eastAsia"/>
              </w:rPr>
            </w:pPr>
          </w:p>
        </w:tc>
        <w:tc>
          <w:tcPr>
            <w:tcW w:w="902" w:type="pct"/>
            <w:shd w:val="clear" w:color="auto" w:fill="auto"/>
            <w:vAlign w:val="center"/>
          </w:tcPr>
          <w:p w14:paraId="552F59BC">
            <w:pPr>
              <w:pStyle w:val="41"/>
              <w:rPr>
                <w:rFonts w:hint="eastAsia"/>
              </w:rPr>
            </w:pPr>
            <w:r>
              <w:rPr>
                <w:rFonts w:hint="eastAsia"/>
              </w:rPr>
              <w:t>22.2存在智能安防设施及系统建设不完善，社区安全防范能力不足</w:t>
            </w:r>
          </w:p>
        </w:tc>
        <w:tc>
          <w:tcPr>
            <w:tcW w:w="1220" w:type="pct"/>
            <w:vMerge w:val="continue"/>
            <w:shd w:val="clear" w:color="auto" w:fill="auto"/>
            <w:vAlign w:val="center"/>
          </w:tcPr>
          <w:p w14:paraId="14926A20">
            <w:pPr>
              <w:pStyle w:val="41"/>
              <w:rPr>
                <w:rFonts w:hint="eastAsia"/>
              </w:rPr>
            </w:pPr>
          </w:p>
        </w:tc>
        <w:tc>
          <w:tcPr>
            <w:tcW w:w="1351" w:type="pct"/>
            <w:vMerge w:val="continue"/>
            <w:shd w:val="clear" w:color="auto" w:fill="auto"/>
            <w:vAlign w:val="center"/>
          </w:tcPr>
          <w:p w14:paraId="4FFE0585">
            <w:pPr>
              <w:pStyle w:val="41"/>
              <w:rPr>
                <w:rFonts w:hint="eastAsia"/>
              </w:rPr>
            </w:pPr>
          </w:p>
        </w:tc>
      </w:tr>
      <w:tr w14:paraId="7B126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9B403D6">
            <w:pPr>
              <w:pStyle w:val="41"/>
              <w:rPr>
                <w:rFonts w:hint="eastAsia"/>
              </w:rPr>
            </w:pPr>
          </w:p>
        </w:tc>
        <w:tc>
          <w:tcPr>
            <w:tcW w:w="196" w:type="pct"/>
            <w:vMerge w:val="continue"/>
            <w:shd w:val="clear" w:color="auto" w:fill="auto"/>
            <w:vAlign w:val="center"/>
          </w:tcPr>
          <w:p w14:paraId="3A040D12">
            <w:pPr>
              <w:pStyle w:val="41"/>
              <w:rPr>
                <w:rFonts w:hint="eastAsia"/>
              </w:rPr>
            </w:pPr>
          </w:p>
        </w:tc>
        <w:tc>
          <w:tcPr>
            <w:tcW w:w="160" w:type="pct"/>
            <w:vMerge w:val="continue"/>
            <w:shd w:val="clear" w:color="auto" w:fill="auto"/>
            <w:vAlign w:val="center"/>
          </w:tcPr>
          <w:p w14:paraId="48764DB2">
            <w:pPr>
              <w:pStyle w:val="41"/>
              <w:rPr>
                <w:rFonts w:hint="eastAsia"/>
              </w:rPr>
            </w:pPr>
          </w:p>
        </w:tc>
        <w:tc>
          <w:tcPr>
            <w:tcW w:w="849" w:type="pct"/>
            <w:vMerge w:val="continue"/>
            <w:shd w:val="clear" w:color="auto" w:fill="auto"/>
            <w:vAlign w:val="center"/>
          </w:tcPr>
          <w:p w14:paraId="7D8F7D8D">
            <w:pPr>
              <w:pStyle w:val="41"/>
              <w:rPr>
                <w:rFonts w:hint="eastAsia"/>
              </w:rPr>
            </w:pPr>
          </w:p>
        </w:tc>
        <w:tc>
          <w:tcPr>
            <w:tcW w:w="902" w:type="pct"/>
            <w:shd w:val="clear" w:color="auto" w:fill="auto"/>
            <w:vAlign w:val="center"/>
          </w:tcPr>
          <w:p w14:paraId="04D08CE7">
            <w:pPr>
              <w:pStyle w:val="41"/>
              <w:rPr>
                <w:rFonts w:hint="eastAsia"/>
              </w:rPr>
            </w:pPr>
            <w:r>
              <w:rPr>
                <w:rFonts w:hint="eastAsia"/>
              </w:rPr>
              <w:t>22.3智慧社区综合信息平台建设、公共服务信息化建设等方面的有差距和不足的小区数量</w:t>
            </w:r>
          </w:p>
        </w:tc>
        <w:tc>
          <w:tcPr>
            <w:tcW w:w="1220" w:type="pct"/>
            <w:vMerge w:val="continue"/>
            <w:shd w:val="clear" w:color="auto" w:fill="auto"/>
            <w:vAlign w:val="center"/>
          </w:tcPr>
          <w:p w14:paraId="4FBA2500">
            <w:pPr>
              <w:pStyle w:val="41"/>
              <w:rPr>
                <w:rFonts w:hint="eastAsia"/>
              </w:rPr>
            </w:pPr>
          </w:p>
        </w:tc>
        <w:tc>
          <w:tcPr>
            <w:tcW w:w="1351" w:type="pct"/>
            <w:vMerge w:val="continue"/>
            <w:shd w:val="clear" w:color="auto" w:fill="auto"/>
            <w:vAlign w:val="center"/>
          </w:tcPr>
          <w:p w14:paraId="332A5BD9">
            <w:pPr>
              <w:pStyle w:val="41"/>
              <w:rPr>
                <w:rFonts w:hint="eastAsia"/>
              </w:rPr>
            </w:pPr>
          </w:p>
        </w:tc>
      </w:tr>
      <w:tr w14:paraId="4997D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restart"/>
            <w:shd w:val="clear" w:color="auto" w:fill="auto"/>
            <w:vAlign w:val="center"/>
          </w:tcPr>
          <w:p w14:paraId="0D22EFDE">
            <w:pPr>
              <w:pStyle w:val="41"/>
              <w:rPr>
                <w:rFonts w:hint="eastAsia"/>
              </w:rPr>
            </w:pPr>
            <w:r>
              <w:rPr>
                <w:rFonts w:hint="eastAsia"/>
              </w:rPr>
              <w:t>街区</w:t>
            </w:r>
          </w:p>
        </w:tc>
        <w:tc>
          <w:tcPr>
            <w:tcW w:w="196" w:type="pct"/>
            <w:vMerge w:val="restart"/>
            <w:shd w:val="clear" w:color="auto" w:fill="auto"/>
            <w:vAlign w:val="center"/>
          </w:tcPr>
          <w:p w14:paraId="1058C7D5">
            <w:pPr>
              <w:pStyle w:val="41"/>
              <w:rPr>
                <w:rFonts w:hint="eastAsia"/>
              </w:rPr>
            </w:pPr>
            <w:r>
              <w:rPr>
                <w:rFonts w:hint="eastAsia"/>
              </w:rPr>
              <w:t>功能完善</w:t>
            </w:r>
          </w:p>
        </w:tc>
        <w:tc>
          <w:tcPr>
            <w:tcW w:w="160" w:type="pct"/>
            <w:vMerge w:val="restart"/>
            <w:shd w:val="clear" w:color="auto" w:fill="auto"/>
            <w:vAlign w:val="center"/>
          </w:tcPr>
          <w:p w14:paraId="38F6E1FD">
            <w:pPr>
              <w:pStyle w:val="41"/>
              <w:rPr>
                <w:rFonts w:hint="eastAsia"/>
              </w:rPr>
            </w:pPr>
            <w:r>
              <w:rPr>
                <w:rFonts w:hint="eastAsia"/>
              </w:rPr>
              <w:t>23</w:t>
            </w:r>
          </w:p>
        </w:tc>
        <w:tc>
          <w:tcPr>
            <w:tcW w:w="849" w:type="pct"/>
            <w:vMerge w:val="restart"/>
            <w:shd w:val="clear" w:color="auto" w:fill="auto"/>
            <w:vAlign w:val="center"/>
          </w:tcPr>
          <w:p w14:paraId="724875CF">
            <w:pPr>
              <w:pStyle w:val="41"/>
              <w:rPr>
                <w:rFonts w:hint="eastAsia"/>
              </w:rPr>
            </w:pPr>
            <w:r>
              <w:rPr>
                <w:rFonts w:hint="eastAsia"/>
              </w:rPr>
              <w:t>中学服务半径覆盖率（%）</w:t>
            </w:r>
          </w:p>
        </w:tc>
        <w:tc>
          <w:tcPr>
            <w:tcW w:w="902" w:type="pct"/>
            <w:shd w:val="clear" w:color="auto" w:fill="auto"/>
            <w:vAlign w:val="center"/>
          </w:tcPr>
          <w:p w14:paraId="60DC6A4D">
            <w:pPr>
              <w:pStyle w:val="41"/>
              <w:rPr>
                <w:rFonts w:hint="eastAsia"/>
              </w:rPr>
            </w:pPr>
            <w:r>
              <w:rPr>
                <w:rFonts w:hint="eastAsia"/>
              </w:rPr>
              <w:t>23.1初级中学、九年制学校1千米服务半径覆盖的居住用地面积</w:t>
            </w:r>
          </w:p>
        </w:tc>
        <w:tc>
          <w:tcPr>
            <w:tcW w:w="1220" w:type="pct"/>
            <w:vMerge w:val="restart"/>
            <w:shd w:val="clear" w:color="auto" w:fill="auto"/>
            <w:vAlign w:val="center"/>
          </w:tcPr>
          <w:p w14:paraId="02E6FF97">
            <w:pPr>
              <w:pStyle w:val="41"/>
              <w:rPr>
                <w:rFonts w:hint="eastAsia"/>
              </w:rPr>
            </w:pPr>
            <w:r>
              <w:rPr>
                <w:rFonts w:hint="eastAsia"/>
              </w:rPr>
              <w:t>调查分析中学1公里服务半径覆盖的居住用地面积，占所在街道总居住用地面积的百分比，查找中学服务半径覆盖与适龄青少年就近入学需求方面的差距和不足。</w:t>
            </w:r>
          </w:p>
        </w:tc>
        <w:tc>
          <w:tcPr>
            <w:tcW w:w="1351" w:type="pct"/>
            <w:vMerge w:val="restart"/>
            <w:shd w:val="clear" w:color="auto" w:fill="auto"/>
            <w:vAlign w:val="center"/>
          </w:tcPr>
          <w:p w14:paraId="72E801BE">
            <w:pPr>
              <w:pStyle w:val="41"/>
              <w:rPr>
                <w:rFonts w:hint="eastAsia"/>
              </w:rPr>
            </w:pPr>
            <w:r>
              <w:rPr>
                <w:rFonts w:hint="eastAsia"/>
              </w:rPr>
              <w:t>市教育局、街道管理员或专业人员现场调研填报；大数据辅助分析</w:t>
            </w:r>
          </w:p>
        </w:tc>
      </w:tr>
      <w:tr w14:paraId="1468C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136156A">
            <w:pPr>
              <w:pStyle w:val="41"/>
              <w:rPr>
                <w:rFonts w:hint="eastAsia"/>
              </w:rPr>
            </w:pPr>
          </w:p>
        </w:tc>
        <w:tc>
          <w:tcPr>
            <w:tcW w:w="196" w:type="pct"/>
            <w:vMerge w:val="continue"/>
            <w:shd w:val="clear" w:color="auto" w:fill="auto"/>
            <w:vAlign w:val="center"/>
          </w:tcPr>
          <w:p w14:paraId="72E07CBD">
            <w:pPr>
              <w:pStyle w:val="41"/>
              <w:rPr>
                <w:rFonts w:hint="eastAsia"/>
              </w:rPr>
            </w:pPr>
          </w:p>
        </w:tc>
        <w:tc>
          <w:tcPr>
            <w:tcW w:w="160" w:type="pct"/>
            <w:vMerge w:val="continue"/>
            <w:shd w:val="clear" w:color="auto" w:fill="auto"/>
            <w:vAlign w:val="center"/>
          </w:tcPr>
          <w:p w14:paraId="291E5AD1">
            <w:pPr>
              <w:pStyle w:val="41"/>
              <w:rPr>
                <w:rFonts w:hint="eastAsia"/>
              </w:rPr>
            </w:pPr>
          </w:p>
        </w:tc>
        <w:tc>
          <w:tcPr>
            <w:tcW w:w="849" w:type="pct"/>
            <w:vMerge w:val="continue"/>
            <w:shd w:val="clear" w:color="auto" w:fill="auto"/>
            <w:vAlign w:val="center"/>
          </w:tcPr>
          <w:p w14:paraId="0C8EDD05">
            <w:pPr>
              <w:pStyle w:val="41"/>
              <w:rPr>
                <w:rFonts w:hint="eastAsia"/>
              </w:rPr>
            </w:pPr>
          </w:p>
        </w:tc>
        <w:tc>
          <w:tcPr>
            <w:tcW w:w="902" w:type="pct"/>
            <w:shd w:val="clear" w:color="auto" w:fill="auto"/>
            <w:vAlign w:val="center"/>
          </w:tcPr>
          <w:p w14:paraId="5FC1BB2B">
            <w:pPr>
              <w:pStyle w:val="41"/>
              <w:rPr>
                <w:rFonts w:hint="eastAsia"/>
              </w:rPr>
            </w:pPr>
            <w:r>
              <w:rPr>
                <w:rFonts w:hint="eastAsia"/>
              </w:rPr>
              <w:t>23.2街道内居住用地面积</w:t>
            </w:r>
          </w:p>
        </w:tc>
        <w:tc>
          <w:tcPr>
            <w:tcW w:w="1220" w:type="pct"/>
            <w:vMerge w:val="continue"/>
            <w:shd w:val="clear" w:color="auto" w:fill="auto"/>
            <w:vAlign w:val="center"/>
          </w:tcPr>
          <w:p w14:paraId="26363CDC">
            <w:pPr>
              <w:pStyle w:val="41"/>
              <w:rPr>
                <w:rFonts w:hint="eastAsia"/>
              </w:rPr>
            </w:pPr>
          </w:p>
        </w:tc>
        <w:tc>
          <w:tcPr>
            <w:tcW w:w="1351" w:type="pct"/>
            <w:vMerge w:val="continue"/>
            <w:shd w:val="clear" w:color="auto" w:fill="auto"/>
            <w:vAlign w:val="center"/>
          </w:tcPr>
          <w:p w14:paraId="09C98E67">
            <w:pPr>
              <w:pStyle w:val="41"/>
              <w:rPr>
                <w:rFonts w:hint="eastAsia"/>
              </w:rPr>
            </w:pPr>
          </w:p>
        </w:tc>
      </w:tr>
      <w:tr w14:paraId="78DA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3B49665">
            <w:pPr>
              <w:pStyle w:val="41"/>
              <w:rPr>
                <w:rFonts w:hint="eastAsia"/>
              </w:rPr>
            </w:pPr>
          </w:p>
        </w:tc>
        <w:tc>
          <w:tcPr>
            <w:tcW w:w="196" w:type="pct"/>
            <w:vMerge w:val="continue"/>
            <w:shd w:val="clear" w:color="auto" w:fill="auto"/>
            <w:vAlign w:val="center"/>
          </w:tcPr>
          <w:p w14:paraId="11FA6ED8">
            <w:pPr>
              <w:pStyle w:val="41"/>
              <w:rPr>
                <w:rFonts w:hint="eastAsia"/>
              </w:rPr>
            </w:pPr>
          </w:p>
        </w:tc>
        <w:tc>
          <w:tcPr>
            <w:tcW w:w="160" w:type="pct"/>
            <w:vMerge w:val="restart"/>
            <w:shd w:val="clear" w:color="auto" w:fill="auto"/>
            <w:vAlign w:val="center"/>
          </w:tcPr>
          <w:p w14:paraId="4F7B1941">
            <w:pPr>
              <w:pStyle w:val="41"/>
              <w:rPr>
                <w:rFonts w:hint="eastAsia"/>
              </w:rPr>
            </w:pPr>
            <w:r>
              <w:rPr>
                <w:rFonts w:hint="eastAsia"/>
              </w:rPr>
              <w:t>24</w:t>
            </w:r>
          </w:p>
        </w:tc>
        <w:tc>
          <w:tcPr>
            <w:tcW w:w="849" w:type="pct"/>
            <w:vMerge w:val="restart"/>
            <w:shd w:val="clear" w:color="auto" w:fill="auto"/>
            <w:vAlign w:val="center"/>
          </w:tcPr>
          <w:p w14:paraId="4084A2B6">
            <w:pPr>
              <w:pStyle w:val="41"/>
              <w:rPr>
                <w:rFonts w:hint="eastAsia"/>
              </w:rPr>
            </w:pPr>
            <w:r>
              <w:rPr>
                <w:rFonts w:hint="eastAsia"/>
              </w:rPr>
              <w:t>未达标配建多功能运动场地的数量（个）</w:t>
            </w:r>
          </w:p>
        </w:tc>
        <w:tc>
          <w:tcPr>
            <w:tcW w:w="902" w:type="pct"/>
            <w:shd w:val="clear" w:color="auto" w:fill="auto"/>
            <w:vAlign w:val="center"/>
          </w:tcPr>
          <w:p w14:paraId="3B6300A0">
            <w:pPr>
              <w:pStyle w:val="41"/>
              <w:rPr>
                <w:rFonts w:hint="eastAsia"/>
              </w:rPr>
            </w:pPr>
            <w:r>
              <w:rPr>
                <w:rFonts w:hint="eastAsia"/>
              </w:rPr>
              <w:t>24.1没有配建的数量</w:t>
            </w:r>
          </w:p>
        </w:tc>
        <w:tc>
          <w:tcPr>
            <w:tcW w:w="1220" w:type="pct"/>
            <w:vMerge w:val="restart"/>
            <w:shd w:val="clear" w:color="auto" w:fill="auto"/>
            <w:vAlign w:val="center"/>
          </w:tcPr>
          <w:p w14:paraId="601BD22A">
            <w:pPr>
              <w:pStyle w:val="41"/>
              <w:rPr>
                <w:rFonts w:hint="eastAsia"/>
              </w:rPr>
            </w:pPr>
            <w:r>
              <w:rPr>
                <w:rFonts w:hint="eastAsia"/>
              </w:rPr>
              <w:t>按照《城市社区多功能公共运动场配置要求》《城市居住区规划设计标准》要求，查找多功能运动场地配建缺失，或场地面积不足、设施设备不完善、布局不均衡，以及没有向公众开放等问题。</w:t>
            </w:r>
          </w:p>
        </w:tc>
        <w:tc>
          <w:tcPr>
            <w:tcW w:w="1351" w:type="pct"/>
            <w:vMerge w:val="restart"/>
            <w:shd w:val="clear" w:color="auto" w:fill="auto"/>
            <w:vAlign w:val="center"/>
          </w:tcPr>
          <w:p w14:paraId="265A7F82">
            <w:pPr>
              <w:pStyle w:val="41"/>
              <w:rPr>
                <w:rFonts w:hint="eastAsia"/>
              </w:rPr>
            </w:pPr>
            <w:r>
              <w:rPr>
                <w:rFonts w:hint="eastAsia"/>
              </w:rPr>
              <w:t>市体育局、街道管理员或专业人员现场调研填报；大数据辅助分析</w:t>
            </w:r>
          </w:p>
        </w:tc>
      </w:tr>
      <w:tr w14:paraId="397E9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DBED28E">
            <w:pPr>
              <w:pStyle w:val="41"/>
              <w:rPr>
                <w:rFonts w:hint="eastAsia"/>
              </w:rPr>
            </w:pPr>
          </w:p>
        </w:tc>
        <w:tc>
          <w:tcPr>
            <w:tcW w:w="196" w:type="pct"/>
            <w:vMerge w:val="continue"/>
            <w:shd w:val="clear" w:color="auto" w:fill="auto"/>
            <w:vAlign w:val="center"/>
          </w:tcPr>
          <w:p w14:paraId="4CA08B7E">
            <w:pPr>
              <w:pStyle w:val="41"/>
              <w:rPr>
                <w:rFonts w:hint="eastAsia"/>
              </w:rPr>
            </w:pPr>
          </w:p>
        </w:tc>
        <w:tc>
          <w:tcPr>
            <w:tcW w:w="160" w:type="pct"/>
            <w:vMerge w:val="continue"/>
            <w:shd w:val="clear" w:color="auto" w:fill="auto"/>
            <w:vAlign w:val="center"/>
          </w:tcPr>
          <w:p w14:paraId="46144EFE">
            <w:pPr>
              <w:pStyle w:val="41"/>
              <w:rPr>
                <w:rFonts w:hint="eastAsia"/>
              </w:rPr>
            </w:pPr>
          </w:p>
        </w:tc>
        <w:tc>
          <w:tcPr>
            <w:tcW w:w="849" w:type="pct"/>
            <w:vMerge w:val="continue"/>
            <w:shd w:val="clear" w:color="auto" w:fill="auto"/>
            <w:vAlign w:val="center"/>
          </w:tcPr>
          <w:p w14:paraId="14274789">
            <w:pPr>
              <w:pStyle w:val="41"/>
              <w:rPr>
                <w:rFonts w:hint="eastAsia"/>
              </w:rPr>
            </w:pPr>
          </w:p>
        </w:tc>
        <w:tc>
          <w:tcPr>
            <w:tcW w:w="902" w:type="pct"/>
            <w:shd w:val="clear" w:color="auto" w:fill="auto"/>
            <w:vAlign w:val="center"/>
          </w:tcPr>
          <w:p w14:paraId="41EFFD67">
            <w:pPr>
              <w:pStyle w:val="41"/>
              <w:rPr>
                <w:rFonts w:hint="eastAsia"/>
              </w:rPr>
            </w:pPr>
            <w:r>
              <w:rPr>
                <w:rFonts w:hint="eastAsia"/>
              </w:rPr>
              <w:t>24.2面积未达标的数量</w:t>
            </w:r>
          </w:p>
        </w:tc>
        <w:tc>
          <w:tcPr>
            <w:tcW w:w="1220" w:type="pct"/>
            <w:vMerge w:val="continue"/>
            <w:shd w:val="clear" w:color="auto" w:fill="auto"/>
            <w:vAlign w:val="center"/>
          </w:tcPr>
          <w:p w14:paraId="2ED93FD2">
            <w:pPr>
              <w:pStyle w:val="41"/>
              <w:rPr>
                <w:rFonts w:hint="eastAsia"/>
              </w:rPr>
            </w:pPr>
          </w:p>
        </w:tc>
        <w:tc>
          <w:tcPr>
            <w:tcW w:w="1351" w:type="pct"/>
            <w:vMerge w:val="continue"/>
            <w:shd w:val="clear" w:color="auto" w:fill="auto"/>
            <w:vAlign w:val="center"/>
          </w:tcPr>
          <w:p w14:paraId="5F72283D">
            <w:pPr>
              <w:pStyle w:val="41"/>
              <w:rPr>
                <w:rFonts w:hint="eastAsia"/>
              </w:rPr>
            </w:pPr>
          </w:p>
        </w:tc>
      </w:tr>
      <w:tr w14:paraId="6934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9097B97">
            <w:pPr>
              <w:pStyle w:val="41"/>
              <w:rPr>
                <w:rFonts w:hint="eastAsia"/>
              </w:rPr>
            </w:pPr>
          </w:p>
        </w:tc>
        <w:tc>
          <w:tcPr>
            <w:tcW w:w="196" w:type="pct"/>
            <w:vMerge w:val="continue"/>
            <w:shd w:val="clear" w:color="auto" w:fill="auto"/>
            <w:vAlign w:val="center"/>
          </w:tcPr>
          <w:p w14:paraId="0BD72A5F">
            <w:pPr>
              <w:pStyle w:val="41"/>
              <w:rPr>
                <w:rFonts w:hint="eastAsia"/>
              </w:rPr>
            </w:pPr>
          </w:p>
        </w:tc>
        <w:tc>
          <w:tcPr>
            <w:tcW w:w="160" w:type="pct"/>
            <w:vMerge w:val="continue"/>
            <w:shd w:val="clear" w:color="auto" w:fill="auto"/>
            <w:vAlign w:val="center"/>
          </w:tcPr>
          <w:p w14:paraId="5881422C">
            <w:pPr>
              <w:pStyle w:val="41"/>
              <w:rPr>
                <w:rFonts w:hint="eastAsia"/>
              </w:rPr>
            </w:pPr>
          </w:p>
        </w:tc>
        <w:tc>
          <w:tcPr>
            <w:tcW w:w="849" w:type="pct"/>
            <w:vMerge w:val="continue"/>
            <w:shd w:val="clear" w:color="auto" w:fill="auto"/>
            <w:vAlign w:val="center"/>
          </w:tcPr>
          <w:p w14:paraId="71D46CA5">
            <w:pPr>
              <w:pStyle w:val="41"/>
              <w:rPr>
                <w:rFonts w:hint="eastAsia"/>
              </w:rPr>
            </w:pPr>
          </w:p>
        </w:tc>
        <w:tc>
          <w:tcPr>
            <w:tcW w:w="902" w:type="pct"/>
            <w:shd w:val="clear" w:color="auto" w:fill="auto"/>
            <w:vAlign w:val="center"/>
          </w:tcPr>
          <w:p w14:paraId="7D58EDE6">
            <w:pPr>
              <w:pStyle w:val="41"/>
              <w:rPr>
                <w:rFonts w:hint="eastAsia"/>
              </w:rPr>
            </w:pPr>
            <w:r>
              <w:rPr>
                <w:rFonts w:hint="eastAsia"/>
              </w:rPr>
              <w:t>24.3设施设备不完善的数量</w:t>
            </w:r>
          </w:p>
        </w:tc>
        <w:tc>
          <w:tcPr>
            <w:tcW w:w="1220" w:type="pct"/>
            <w:vMerge w:val="continue"/>
            <w:shd w:val="clear" w:color="auto" w:fill="auto"/>
            <w:vAlign w:val="center"/>
          </w:tcPr>
          <w:p w14:paraId="57AB896A">
            <w:pPr>
              <w:pStyle w:val="41"/>
              <w:rPr>
                <w:rFonts w:hint="eastAsia"/>
              </w:rPr>
            </w:pPr>
          </w:p>
        </w:tc>
        <w:tc>
          <w:tcPr>
            <w:tcW w:w="1351" w:type="pct"/>
            <w:vMerge w:val="continue"/>
            <w:shd w:val="clear" w:color="auto" w:fill="auto"/>
            <w:vAlign w:val="center"/>
          </w:tcPr>
          <w:p w14:paraId="6AC380E5">
            <w:pPr>
              <w:pStyle w:val="41"/>
              <w:rPr>
                <w:rFonts w:hint="eastAsia"/>
              </w:rPr>
            </w:pPr>
          </w:p>
        </w:tc>
      </w:tr>
      <w:tr w14:paraId="6FCD8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8945569">
            <w:pPr>
              <w:pStyle w:val="41"/>
              <w:rPr>
                <w:rFonts w:hint="eastAsia"/>
              </w:rPr>
            </w:pPr>
          </w:p>
        </w:tc>
        <w:tc>
          <w:tcPr>
            <w:tcW w:w="196" w:type="pct"/>
            <w:vMerge w:val="continue"/>
            <w:shd w:val="clear" w:color="auto" w:fill="auto"/>
            <w:vAlign w:val="center"/>
          </w:tcPr>
          <w:p w14:paraId="5D9D691F">
            <w:pPr>
              <w:pStyle w:val="41"/>
              <w:rPr>
                <w:rFonts w:hint="eastAsia"/>
              </w:rPr>
            </w:pPr>
          </w:p>
        </w:tc>
        <w:tc>
          <w:tcPr>
            <w:tcW w:w="160" w:type="pct"/>
            <w:vMerge w:val="continue"/>
            <w:shd w:val="clear" w:color="auto" w:fill="auto"/>
            <w:vAlign w:val="center"/>
          </w:tcPr>
          <w:p w14:paraId="7AD6AB24">
            <w:pPr>
              <w:pStyle w:val="41"/>
              <w:rPr>
                <w:rFonts w:hint="eastAsia"/>
              </w:rPr>
            </w:pPr>
          </w:p>
        </w:tc>
        <w:tc>
          <w:tcPr>
            <w:tcW w:w="849" w:type="pct"/>
            <w:vMerge w:val="continue"/>
            <w:shd w:val="clear" w:color="auto" w:fill="auto"/>
            <w:vAlign w:val="center"/>
          </w:tcPr>
          <w:p w14:paraId="18707EF7">
            <w:pPr>
              <w:pStyle w:val="41"/>
              <w:rPr>
                <w:rFonts w:hint="eastAsia"/>
              </w:rPr>
            </w:pPr>
          </w:p>
        </w:tc>
        <w:tc>
          <w:tcPr>
            <w:tcW w:w="902" w:type="pct"/>
            <w:shd w:val="clear" w:color="auto" w:fill="auto"/>
            <w:vAlign w:val="center"/>
          </w:tcPr>
          <w:p w14:paraId="2EC37903">
            <w:pPr>
              <w:pStyle w:val="41"/>
              <w:rPr>
                <w:rFonts w:hint="eastAsia"/>
              </w:rPr>
            </w:pPr>
            <w:r>
              <w:rPr>
                <w:rFonts w:hint="eastAsia"/>
              </w:rPr>
              <w:t>24.4布局不均衡的数量</w:t>
            </w:r>
          </w:p>
        </w:tc>
        <w:tc>
          <w:tcPr>
            <w:tcW w:w="1220" w:type="pct"/>
            <w:vMerge w:val="continue"/>
            <w:shd w:val="clear" w:color="auto" w:fill="auto"/>
            <w:vAlign w:val="center"/>
          </w:tcPr>
          <w:p w14:paraId="1C06332C">
            <w:pPr>
              <w:pStyle w:val="41"/>
              <w:rPr>
                <w:rFonts w:hint="eastAsia"/>
              </w:rPr>
            </w:pPr>
          </w:p>
        </w:tc>
        <w:tc>
          <w:tcPr>
            <w:tcW w:w="1351" w:type="pct"/>
            <w:vMerge w:val="continue"/>
            <w:shd w:val="clear" w:color="auto" w:fill="auto"/>
            <w:vAlign w:val="center"/>
          </w:tcPr>
          <w:p w14:paraId="34E5D29C">
            <w:pPr>
              <w:pStyle w:val="41"/>
              <w:rPr>
                <w:rFonts w:hint="eastAsia"/>
              </w:rPr>
            </w:pPr>
          </w:p>
        </w:tc>
      </w:tr>
      <w:tr w14:paraId="74388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19" w:type="pct"/>
            <w:vMerge w:val="continue"/>
            <w:shd w:val="clear" w:color="auto" w:fill="auto"/>
            <w:vAlign w:val="center"/>
          </w:tcPr>
          <w:p w14:paraId="3B3EBD4E">
            <w:pPr>
              <w:pStyle w:val="41"/>
              <w:rPr>
                <w:rFonts w:hint="eastAsia"/>
              </w:rPr>
            </w:pPr>
          </w:p>
        </w:tc>
        <w:tc>
          <w:tcPr>
            <w:tcW w:w="196" w:type="pct"/>
            <w:vMerge w:val="continue"/>
            <w:shd w:val="clear" w:color="auto" w:fill="auto"/>
            <w:vAlign w:val="center"/>
          </w:tcPr>
          <w:p w14:paraId="70F12862">
            <w:pPr>
              <w:pStyle w:val="41"/>
              <w:rPr>
                <w:rFonts w:hint="eastAsia"/>
              </w:rPr>
            </w:pPr>
          </w:p>
        </w:tc>
        <w:tc>
          <w:tcPr>
            <w:tcW w:w="160" w:type="pct"/>
            <w:vMerge w:val="continue"/>
            <w:shd w:val="clear" w:color="auto" w:fill="auto"/>
            <w:vAlign w:val="center"/>
          </w:tcPr>
          <w:p w14:paraId="6EA729A4">
            <w:pPr>
              <w:pStyle w:val="41"/>
              <w:rPr>
                <w:rFonts w:hint="eastAsia"/>
              </w:rPr>
            </w:pPr>
          </w:p>
        </w:tc>
        <w:tc>
          <w:tcPr>
            <w:tcW w:w="849" w:type="pct"/>
            <w:vMerge w:val="continue"/>
            <w:shd w:val="clear" w:color="auto" w:fill="auto"/>
            <w:vAlign w:val="center"/>
          </w:tcPr>
          <w:p w14:paraId="1DF5641A">
            <w:pPr>
              <w:pStyle w:val="41"/>
              <w:rPr>
                <w:rFonts w:hint="eastAsia"/>
              </w:rPr>
            </w:pPr>
          </w:p>
        </w:tc>
        <w:tc>
          <w:tcPr>
            <w:tcW w:w="902" w:type="pct"/>
            <w:shd w:val="clear" w:color="auto" w:fill="auto"/>
            <w:vAlign w:val="center"/>
          </w:tcPr>
          <w:p w14:paraId="6A0E0618">
            <w:pPr>
              <w:pStyle w:val="41"/>
              <w:rPr>
                <w:rFonts w:hint="eastAsia"/>
              </w:rPr>
            </w:pPr>
            <w:r>
              <w:rPr>
                <w:rFonts w:hint="eastAsia"/>
              </w:rPr>
              <w:t>24.5未面向公众的数量</w:t>
            </w:r>
          </w:p>
        </w:tc>
        <w:tc>
          <w:tcPr>
            <w:tcW w:w="1220" w:type="pct"/>
            <w:vMerge w:val="continue"/>
            <w:shd w:val="clear" w:color="auto" w:fill="auto"/>
            <w:vAlign w:val="center"/>
          </w:tcPr>
          <w:p w14:paraId="370CBFF4">
            <w:pPr>
              <w:pStyle w:val="41"/>
              <w:rPr>
                <w:rFonts w:hint="eastAsia"/>
              </w:rPr>
            </w:pPr>
          </w:p>
        </w:tc>
        <w:tc>
          <w:tcPr>
            <w:tcW w:w="1351" w:type="pct"/>
            <w:vMerge w:val="continue"/>
            <w:shd w:val="clear" w:color="auto" w:fill="auto"/>
            <w:vAlign w:val="center"/>
          </w:tcPr>
          <w:p w14:paraId="7F2CC96E">
            <w:pPr>
              <w:pStyle w:val="41"/>
              <w:rPr>
                <w:rFonts w:hint="eastAsia"/>
              </w:rPr>
            </w:pPr>
          </w:p>
        </w:tc>
      </w:tr>
      <w:tr w14:paraId="1F405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6A05B5A">
            <w:pPr>
              <w:pStyle w:val="41"/>
              <w:rPr>
                <w:rFonts w:hint="eastAsia"/>
              </w:rPr>
            </w:pPr>
          </w:p>
        </w:tc>
        <w:tc>
          <w:tcPr>
            <w:tcW w:w="196" w:type="pct"/>
            <w:vMerge w:val="continue"/>
            <w:shd w:val="clear" w:color="auto" w:fill="auto"/>
            <w:vAlign w:val="center"/>
          </w:tcPr>
          <w:p w14:paraId="40DD6C21">
            <w:pPr>
              <w:pStyle w:val="41"/>
              <w:rPr>
                <w:rFonts w:hint="eastAsia"/>
              </w:rPr>
            </w:pPr>
          </w:p>
        </w:tc>
        <w:tc>
          <w:tcPr>
            <w:tcW w:w="160" w:type="pct"/>
            <w:vMerge w:val="restart"/>
            <w:shd w:val="clear" w:color="auto" w:fill="auto"/>
            <w:vAlign w:val="center"/>
          </w:tcPr>
          <w:p w14:paraId="0989FF10">
            <w:pPr>
              <w:pStyle w:val="41"/>
              <w:rPr>
                <w:rFonts w:hint="eastAsia"/>
              </w:rPr>
            </w:pPr>
            <w:r>
              <w:rPr>
                <w:rFonts w:hint="eastAsia"/>
              </w:rPr>
              <w:t>25</w:t>
            </w:r>
          </w:p>
        </w:tc>
        <w:tc>
          <w:tcPr>
            <w:tcW w:w="849" w:type="pct"/>
            <w:vMerge w:val="restart"/>
            <w:shd w:val="clear" w:color="auto" w:fill="auto"/>
            <w:vAlign w:val="center"/>
          </w:tcPr>
          <w:p w14:paraId="0E0AD0D2">
            <w:pPr>
              <w:pStyle w:val="41"/>
              <w:rPr>
                <w:rFonts w:hint="eastAsia"/>
              </w:rPr>
            </w:pPr>
            <w:r>
              <w:rPr>
                <w:rFonts w:hint="eastAsia"/>
              </w:rPr>
              <w:t>未达标配建文化活动中心的数量（个）</w:t>
            </w:r>
          </w:p>
        </w:tc>
        <w:tc>
          <w:tcPr>
            <w:tcW w:w="902" w:type="pct"/>
            <w:shd w:val="clear" w:color="auto" w:fill="auto"/>
            <w:vAlign w:val="center"/>
          </w:tcPr>
          <w:p w14:paraId="4FF9D11E">
            <w:pPr>
              <w:pStyle w:val="41"/>
              <w:rPr>
                <w:rFonts w:hint="eastAsia"/>
              </w:rPr>
            </w:pPr>
            <w:r>
              <w:rPr>
                <w:rFonts w:hint="eastAsia"/>
              </w:rPr>
              <w:t>25.1没有配建的数量</w:t>
            </w:r>
          </w:p>
        </w:tc>
        <w:tc>
          <w:tcPr>
            <w:tcW w:w="1220" w:type="pct"/>
            <w:vMerge w:val="restart"/>
            <w:shd w:val="clear" w:color="auto" w:fill="auto"/>
            <w:vAlign w:val="center"/>
          </w:tcPr>
          <w:p w14:paraId="3DD85B04">
            <w:pPr>
              <w:pStyle w:val="41"/>
              <w:rPr>
                <w:rFonts w:hint="eastAsia"/>
              </w:rPr>
            </w:pPr>
            <w:r>
              <w:rPr>
                <w:rFonts w:hint="eastAsia"/>
              </w:rPr>
              <w:t>按照《城市居住区规划设计标准》要求，文化活动中心应包括青少年活动中心和老年活动中心，服务半径不宜大于1000米。体检应查找文化活动中心配建缺失，或文化活动中心面积不足，青少年和老年活动设施、儿童之家服务功能不完善，布局不均衡，以及没有向公众开放等问题。</w:t>
            </w:r>
          </w:p>
        </w:tc>
        <w:tc>
          <w:tcPr>
            <w:tcW w:w="1351" w:type="pct"/>
            <w:vMerge w:val="restart"/>
            <w:shd w:val="clear" w:color="auto" w:fill="auto"/>
            <w:vAlign w:val="center"/>
          </w:tcPr>
          <w:p w14:paraId="3028909B">
            <w:pPr>
              <w:pStyle w:val="41"/>
              <w:rPr>
                <w:rFonts w:hint="eastAsia"/>
              </w:rPr>
            </w:pPr>
            <w:r>
              <w:rPr>
                <w:rFonts w:hint="eastAsia"/>
              </w:rPr>
              <w:t>市住建局、街道管理员或专业人员现场调研填报；大数据辅助分析</w:t>
            </w:r>
          </w:p>
        </w:tc>
      </w:tr>
      <w:tr w14:paraId="7AD9C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15239E2">
            <w:pPr>
              <w:pStyle w:val="41"/>
              <w:rPr>
                <w:rFonts w:hint="eastAsia"/>
              </w:rPr>
            </w:pPr>
          </w:p>
        </w:tc>
        <w:tc>
          <w:tcPr>
            <w:tcW w:w="196" w:type="pct"/>
            <w:vMerge w:val="continue"/>
            <w:shd w:val="clear" w:color="auto" w:fill="auto"/>
            <w:vAlign w:val="center"/>
          </w:tcPr>
          <w:p w14:paraId="4A8335CB">
            <w:pPr>
              <w:pStyle w:val="41"/>
              <w:rPr>
                <w:rFonts w:hint="eastAsia"/>
              </w:rPr>
            </w:pPr>
          </w:p>
        </w:tc>
        <w:tc>
          <w:tcPr>
            <w:tcW w:w="160" w:type="pct"/>
            <w:vMerge w:val="continue"/>
            <w:shd w:val="clear" w:color="auto" w:fill="auto"/>
            <w:vAlign w:val="center"/>
          </w:tcPr>
          <w:p w14:paraId="26B38A69">
            <w:pPr>
              <w:pStyle w:val="41"/>
              <w:rPr>
                <w:rFonts w:hint="eastAsia"/>
              </w:rPr>
            </w:pPr>
          </w:p>
        </w:tc>
        <w:tc>
          <w:tcPr>
            <w:tcW w:w="849" w:type="pct"/>
            <w:vMerge w:val="continue"/>
            <w:shd w:val="clear" w:color="auto" w:fill="auto"/>
            <w:vAlign w:val="center"/>
          </w:tcPr>
          <w:p w14:paraId="50D19F08">
            <w:pPr>
              <w:pStyle w:val="41"/>
              <w:rPr>
                <w:rFonts w:hint="eastAsia"/>
              </w:rPr>
            </w:pPr>
          </w:p>
        </w:tc>
        <w:tc>
          <w:tcPr>
            <w:tcW w:w="902" w:type="pct"/>
            <w:shd w:val="clear" w:color="auto" w:fill="auto"/>
            <w:vAlign w:val="center"/>
          </w:tcPr>
          <w:p w14:paraId="14CEDB4A">
            <w:pPr>
              <w:pStyle w:val="41"/>
              <w:rPr>
                <w:rFonts w:hint="eastAsia"/>
              </w:rPr>
            </w:pPr>
            <w:r>
              <w:rPr>
                <w:rFonts w:hint="eastAsia"/>
              </w:rPr>
              <w:t>25.2文化活动中心面积未达标</w:t>
            </w:r>
          </w:p>
        </w:tc>
        <w:tc>
          <w:tcPr>
            <w:tcW w:w="1220" w:type="pct"/>
            <w:vMerge w:val="continue"/>
            <w:shd w:val="clear" w:color="auto" w:fill="auto"/>
            <w:vAlign w:val="center"/>
          </w:tcPr>
          <w:p w14:paraId="5EBF5024">
            <w:pPr>
              <w:pStyle w:val="41"/>
              <w:rPr>
                <w:rFonts w:hint="eastAsia"/>
              </w:rPr>
            </w:pPr>
          </w:p>
        </w:tc>
        <w:tc>
          <w:tcPr>
            <w:tcW w:w="1351" w:type="pct"/>
            <w:vMerge w:val="continue"/>
            <w:shd w:val="clear" w:color="auto" w:fill="auto"/>
            <w:vAlign w:val="center"/>
          </w:tcPr>
          <w:p w14:paraId="6C726000">
            <w:pPr>
              <w:pStyle w:val="41"/>
              <w:rPr>
                <w:rFonts w:hint="eastAsia"/>
              </w:rPr>
            </w:pPr>
          </w:p>
        </w:tc>
      </w:tr>
      <w:tr w14:paraId="69199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EE3519C">
            <w:pPr>
              <w:pStyle w:val="41"/>
              <w:rPr>
                <w:rFonts w:hint="eastAsia"/>
              </w:rPr>
            </w:pPr>
          </w:p>
        </w:tc>
        <w:tc>
          <w:tcPr>
            <w:tcW w:w="196" w:type="pct"/>
            <w:vMerge w:val="continue"/>
            <w:shd w:val="clear" w:color="auto" w:fill="auto"/>
            <w:vAlign w:val="center"/>
          </w:tcPr>
          <w:p w14:paraId="41BE8C3D">
            <w:pPr>
              <w:pStyle w:val="41"/>
              <w:rPr>
                <w:rFonts w:hint="eastAsia"/>
              </w:rPr>
            </w:pPr>
          </w:p>
        </w:tc>
        <w:tc>
          <w:tcPr>
            <w:tcW w:w="160" w:type="pct"/>
            <w:vMerge w:val="continue"/>
            <w:shd w:val="clear" w:color="auto" w:fill="auto"/>
            <w:vAlign w:val="center"/>
          </w:tcPr>
          <w:p w14:paraId="4616CD56">
            <w:pPr>
              <w:pStyle w:val="41"/>
              <w:rPr>
                <w:rFonts w:hint="eastAsia"/>
              </w:rPr>
            </w:pPr>
          </w:p>
        </w:tc>
        <w:tc>
          <w:tcPr>
            <w:tcW w:w="849" w:type="pct"/>
            <w:vMerge w:val="continue"/>
            <w:shd w:val="clear" w:color="auto" w:fill="auto"/>
            <w:vAlign w:val="center"/>
          </w:tcPr>
          <w:p w14:paraId="73D03986">
            <w:pPr>
              <w:pStyle w:val="41"/>
              <w:rPr>
                <w:rFonts w:hint="eastAsia"/>
              </w:rPr>
            </w:pPr>
          </w:p>
        </w:tc>
        <w:tc>
          <w:tcPr>
            <w:tcW w:w="902" w:type="pct"/>
            <w:shd w:val="clear" w:color="auto" w:fill="auto"/>
            <w:vAlign w:val="center"/>
          </w:tcPr>
          <w:p w14:paraId="163BCF5B">
            <w:pPr>
              <w:pStyle w:val="41"/>
              <w:rPr>
                <w:rFonts w:hint="eastAsia"/>
              </w:rPr>
            </w:pPr>
            <w:r>
              <w:rPr>
                <w:rFonts w:hint="eastAsia"/>
              </w:rPr>
              <w:t>25.3青少年和老年活动设施、儿童之家服务功能不完善</w:t>
            </w:r>
          </w:p>
        </w:tc>
        <w:tc>
          <w:tcPr>
            <w:tcW w:w="1220" w:type="pct"/>
            <w:vMerge w:val="continue"/>
            <w:shd w:val="clear" w:color="auto" w:fill="auto"/>
            <w:vAlign w:val="center"/>
          </w:tcPr>
          <w:p w14:paraId="0F8E8B56">
            <w:pPr>
              <w:pStyle w:val="41"/>
              <w:rPr>
                <w:rFonts w:hint="eastAsia"/>
              </w:rPr>
            </w:pPr>
          </w:p>
        </w:tc>
        <w:tc>
          <w:tcPr>
            <w:tcW w:w="1351" w:type="pct"/>
            <w:vMerge w:val="continue"/>
            <w:shd w:val="clear" w:color="auto" w:fill="auto"/>
            <w:vAlign w:val="center"/>
          </w:tcPr>
          <w:p w14:paraId="6A841B56">
            <w:pPr>
              <w:pStyle w:val="41"/>
              <w:rPr>
                <w:rFonts w:hint="eastAsia"/>
              </w:rPr>
            </w:pPr>
          </w:p>
        </w:tc>
      </w:tr>
      <w:tr w14:paraId="531B6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67B7825">
            <w:pPr>
              <w:pStyle w:val="41"/>
              <w:rPr>
                <w:rFonts w:hint="eastAsia"/>
              </w:rPr>
            </w:pPr>
          </w:p>
        </w:tc>
        <w:tc>
          <w:tcPr>
            <w:tcW w:w="196" w:type="pct"/>
            <w:vMerge w:val="continue"/>
            <w:shd w:val="clear" w:color="auto" w:fill="auto"/>
            <w:vAlign w:val="center"/>
          </w:tcPr>
          <w:p w14:paraId="19BCE767">
            <w:pPr>
              <w:pStyle w:val="41"/>
              <w:rPr>
                <w:rFonts w:hint="eastAsia"/>
              </w:rPr>
            </w:pPr>
          </w:p>
        </w:tc>
        <w:tc>
          <w:tcPr>
            <w:tcW w:w="160" w:type="pct"/>
            <w:vMerge w:val="continue"/>
            <w:shd w:val="clear" w:color="auto" w:fill="auto"/>
            <w:vAlign w:val="center"/>
          </w:tcPr>
          <w:p w14:paraId="7F062A96">
            <w:pPr>
              <w:pStyle w:val="41"/>
              <w:rPr>
                <w:rFonts w:hint="eastAsia"/>
              </w:rPr>
            </w:pPr>
          </w:p>
        </w:tc>
        <w:tc>
          <w:tcPr>
            <w:tcW w:w="849" w:type="pct"/>
            <w:vMerge w:val="continue"/>
            <w:shd w:val="clear" w:color="auto" w:fill="auto"/>
            <w:vAlign w:val="center"/>
          </w:tcPr>
          <w:p w14:paraId="2A9CCA55">
            <w:pPr>
              <w:pStyle w:val="41"/>
              <w:rPr>
                <w:rFonts w:hint="eastAsia"/>
              </w:rPr>
            </w:pPr>
          </w:p>
        </w:tc>
        <w:tc>
          <w:tcPr>
            <w:tcW w:w="902" w:type="pct"/>
            <w:shd w:val="clear" w:color="auto" w:fill="auto"/>
            <w:vAlign w:val="center"/>
          </w:tcPr>
          <w:p w14:paraId="5C0AF2DF">
            <w:pPr>
              <w:pStyle w:val="41"/>
              <w:rPr>
                <w:rFonts w:hint="eastAsia"/>
              </w:rPr>
            </w:pPr>
            <w:r>
              <w:rPr>
                <w:rFonts w:hint="eastAsia"/>
              </w:rPr>
              <w:t>25.4布局不均衡的数量</w:t>
            </w:r>
          </w:p>
        </w:tc>
        <w:tc>
          <w:tcPr>
            <w:tcW w:w="1220" w:type="pct"/>
            <w:vMerge w:val="continue"/>
            <w:shd w:val="clear" w:color="auto" w:fill="auto"/>
            <w:vAlign w:val="center"/>
          </w:tcPr>
          <w:p w14:paraId="2B14469B">
            <w:pPr>
              <w:pStyle w:val="41"/>
              <w:rPr>
                <w:rFonts w:hint="eastAsia"/>
              </w:rPr>
            </w:pPr>
          </w:p>
        </w:tc>
        <w:tc>
          <w:tcPr>
            <w:tcW w:w="1351" w:type="pct"/>
            <w:vMerge w:val="continue"/>
            <w:shd w:val="clear" w:color="auto" w:fill="auto"/>
            <w:vAlign w:val="center"/>
          </w:tcPr>
          <w:p w14:paraId="43E569DF">
            <w:pPr>
              <w:pStyle w:val="41"/>
              <w:rPr>
                <w:rFonts w:hint="eastAsia"/>
              </w:rPr>
            </w:pPr>
          </w:p>
        </w:tc>
      </w:tr>
      <w:tr w14:paraId="6268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319" w:type="pct"/>
            <w:vMerge w:val="continue"/>
            <w:shd w:val="clear" w:color="auto" w:fill="auto"/>
            <w:vAlign w:val="center"/>
          </w:tcPr>
          <w:p w14:paraId="5D59C622">
            <w:pPr>
              <w:pStyle w:val="41"/>
              <w:rPr>
                <w:rFonts w:hint="eastAsia"/>
              </w:rPr>
            </w:pPr>
          </w:p>
        </w:tc>
        <w:tc>
          <w:tcPr>
            <w:tcW w:w="196" w:type="pct"/>
            <w:vMerge w:val="continue"/>
            <w:shd w:val="clear" w:color="auto" w:fill="auto"/>
            <w:vAlign w:val="center"/>
          </w:tcPr>
          <w:p w14:paraId="5812F4A5">
            <w:pPr>
              <w:pStyle w:val="41"/>
              <w:rPr>
                <w:rFonts w:hint="eastAsia"/>
              </w:rPr>
            </w:pPr>
          </w:p>
        </w:tc>
        <w:tc>
          <w:tcPr>
            <w:tcW w:w="160" w:type="pct"/>
            <w:vMerge w:val="continue"/>
            <w:shd w:val="clear" w:color="auto" w:fill="auto"/>
            <w:vAlign w:val="center"/>
          </w:tcPr>
          <w:p w14:paraId="6A40462A">
            <w:pPr>
              <w:pStyle w:val="41"/>
              <w:rPr>
                <w:rFonts w:hint="eastAsia"/>
              </w:rPr>
            </w:pPr>
          </w:p>
        </w:tc>
        <w:tc>
          <w:tcPr>
            <w:tcW w:w="849" w:type="pct"/>
            <w:vMerge w:val="continue"/>
            <w:shd w:val="clear" w:color="auto" w:fill="auto"/>
            <w:vAlign w:val="center"/>
          </w:tcPr>
          <w:p w14:paraId="3ED0AC7F">
            <w:pPr>
              <w:pStyle w:val="41"/>
              <w:rPr>
                <w:rFonts w:hint="eastAsia"/>
              </w:rPr>
            </w:pPr>
          </w:p>
        </w:tc>
        <w:tc>
          <w:tcPr>
            <w:tcW w:w="902" w:type="pct"/>
            <w:shd w:val="clear" w:color="auto" w:fill="auto"/>
            <w:vAlign w:val="center"/>
          </w:tcPr>
          <w:p w14:paraId="66766BE9">
            <w:pPr>
              <w:pStyle w:val="41"/>
              <w:rPr>
                <w:rFonts w:hint="eastAsia"/>
              </w:rPr>
            </w:pPr>
            <w:r>
              <w:rPr>
                <w:rFonts w:hint="eastAsia"/>
              </w:rPr>
              <w:t>25.5未面向公众的数量</w:t>
            </w:r>
          </w:p>
        </w:tc>
        <w:tc>
          <w:tcPr>
            <w:tcW w:w="1220" w:type="pct"/>
            <w:vMerge w:val="continue"/>
            <w:shd w:val="clear" w:color="auto" w:fill="auto"/>
            <w:vAlign w:val="center"/>
          </w:tcPr>
          <w:p w14:paraId="6816B96F">
            <w:pPr>
              <w:pStyle w:val="41"/>
              <w:rPr>
                <w:rFonts w:hint="eastAsia"/>
              </w:rPr>
            </w:pPr>
          </w:p>
        </w:tc>
        <w:tc>
          <w:tcPr>
            <w:tcW w:w="1351" w:type="pct"/>
            <w:vMerge w:val="continue"/>
            <w:shd w:val="clear" w:color="auto" w:fill="auto"/>
            <w:vAlign w:val="center"/>
          </w:tcPr>
          <w:p w14:paraId="4AD4D7D3">
            <w:pPr>
              <w:pStyle w:val="41"/>
              <w:rPr>
                <w:rFonts w:hint="eastAsia"/>
              </w:rPr>
            </w:pPr>
          </w:p>
        </w:tc>
      </w:tr>
      <w:tr w14:paraId="6818D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3E3186E">
            <w:pPr>
              <w:pStyle w:val="41"/>
              <w:rPr>
                <w:rFonts w:hint="eastAsia"/>
              </w:rPr>
            </w:pPr>
          </w:p>
        </w:tc>
        <w:tc>
          <w:tcPr>
            <w:tcW w:w="196" w:type="pct"/>
            <w:vMerge w:val="continue"/>
            <w:shd w:val="clear" w:color="auto" w:fill="auto"/>
            <w:vAlign w:val="center"/>
          </w:tcPr>
          <w:p w14:paraId="1A2D2A0D">
            <w:pPr>
              <w:pStyle w:val="41"/>
              <w:rPr>
                <w:rFonts w:hint="eastAsia"/>
              </w:rPr>
            </w:pPr>
          </w:p>
        </w:tc>
        <w:tc>
          <w:tcPr>
            <w:tcW w:w="160" w:type="pct"/>
            <w:vMerge w:val="restart"/>
            <w:shd w:val="clear" w:color="auto" w:fill="auto"/>
            <w:vAlign w:val="center"/>
          </w:tcPr>
          <w:p w14:paraId="51B2F263">
            <w:pPr>
              <w:pStyle w:val="41"/>
              <w:rPr>
                <w:rFonts w:hint="eastAsia"/>
              </w:rPr>
            </w:pPr>
            <w:r>
              <w:rPr>
                <w:rFonts w:hint="eastAsia"/>
              </w:rPr>
              <w:t>26</w:t>
            </w:r>
          </w:p>
        </w:tc>
        <w:tc>
          <w:tcPr>
            <w:tcW w:w="849" w:type="pct"/>
            <w:vMerge w:val="restart"/>
            <w:shd w:val="clear" w:color="auto" w:fill="auto"/>
            <w:vAlign w:val="center"/>
          </w:tcPr>
          <w:p w14:paraId="5909AC9C">
            <w:pPr>
              <w:pStyle w:val="41"/>
              <w:rPr>
                <w:rFonts w:hint="eastAsia"/>
              </w:rPr>
            </w:pPr>
            <w:r>
              <w:rPr>
                <w:rFonts w:hint="eastAsia"/>
              </w:rPr>
              <w:t>☆</w:t>
            </w:r>
            <w:r>
              <w:t>公园绿化活动场地服务半径覆盖率（%）</w:t>
            </w:r>
          </w:p>
        </w:tc>
        <w:tc>
          <w:tcPr>
            <w:tcW w:w="902" w:type="pct"/>
            <w:shd w:val="clear" w:color="auto" w:fill="auto"/>
            <w:vAlign w:val="center"/>
          </w:tcPr>
          <w:p w14:paraId="632FC50C">
            <w:pPr>
              <w:pStyle w:val="41"/>
              <w:rPr>
                <w:rFonts w:hint="eastAsia"/>
              </w:rPr>
            </w:pPr>
            <w:r>
              <w:rPr>
                <w:rFonts w:hint="eastAsia"/>
              </w:rPr>
              <w:t>26.1公园绿化活动场地服务半径覆盖的居住用地面积</w:t>
            </w:r>
          </w:p>
        </w:tc>
        <w:tc>
          <w:tcPr>
            <w:tcW w:w="1220" w:type="pct"/>
            <w:vMerge w:val="restart"/>
            <w:shd w:val="clear" w:color="auto" w:fill="auto"/>
            <w:vAlign w:val="center"/>
          </w:tcPr>
          <w:p w14:paraId="3AA7382C">
            <w:pPr>
              <w:pStyle w:val="41"/>
              <w:rPr>
                <w:rFonts w:hint="eastAsia"/>
              </w:rPr>
            </w:pPr>
            <w:r>
              <w:rPr>
                <w:rFonts w:hint="eastAsia"/>
              </w:rPr>
              <w:t>1）公园绿化活动场地是否配建。</w:t>
            </w:r>
          </w:p>
          <w:p w14:paraId="3C22CF85">
            <w:pPr>
              <w:pStyle w:val="41"/>
              <w:rPr>
                <w:rFonts w:hint="eastAsia"/>
              </w:rPr>
            </w:pPr>
            <w:r>
              <w:rPr>
                <w:rFonts w:hint="eastAsia"/>
              </w:rPr>
              <w:t>2）公园绿化活动场地面积是否达标。根据《国家园林城市评选标准》（2022版），国家生态园林城市公园绿化活动场地服务半径覆盖率≥90%；国家园林城市公园绿化活动场地服务半径覆盖率≥85%。</w:t>
            </w:r>
          </w:p>
          <w:p w14:paraId="1E7FEB7F">
            <w:pPr>
              <w:pStyle w:val="41"/>
              <w:rPr>
                <w:rFonts w:hint="eastAsia"/>
              </w:rPr>
            </w:pPr>
            <w:r>
              <w:rPr>
                <w:rFonts w:hint="eastAsia"/>
              </w:rPr>
              <w:t>3）公园绿化活动场地布局是否均衡。</w:t>
            </w:r>
          </w:p>
        </w:tc>
        <w:tc>
          <w:tcPr>
            <w:tcW w:w="1351" w:type="pct"/>
            <w:vMerge w:val="restart"/>
            <w:shd w:val="clear" w:color="auto" w:fill="auto"/>
            <w:vAlign w:val="center"/>
          </w:tcPr>
          <w:p w14:paraId="2C7A3A3C">
            <w:pPr>
              <w:pStyle w:val="41"/>
              <w:rPr>
                <w:rFonts w:hint="eastAsia"/>
              </w:rPr>
            </w:pPr>
            <w:r>
              <w:rPr>
                <w:rFonts w:hint="eastAsia"/>
              </w:rPr>
              <w:t>市城管局、遥感解译数据、行业部门调查统计数据，街道管理员或专业人员现场调研复核</w:t>
            </w:r>
          </w:p>
        </w:tc>
      </w:tr>
      <w:tr w14:paraId="14CEB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B8EE901">
            <w:pPr>
              <w:pStyle w:val="41"/>
              <w:rPr>
                <w:rFonts w:hint="eastAsia"/>
              </w:rPr>
            </w:pPr>
          </w:p>
        </w:tc>
        <w:tc>
          <w:tcPr>
            <w:tcW w:w="196" w:type="pct"/>
            <w:vMerge w:val="continue"/>
            <w:shd w:val="clear" w:color="auto" w:fill="auto"/>
            <w:vAlign w:val="center"/>
          </w:tcPr>
          <w:p w14:paraId="548D9E3C">
            <w:pPr>
              <w:pStyle w:val="41"/>
              <w:rPr>
                <w:rFonts w:hint="eastAsia"/>
              </w:rPr>
            </w:pPr>
          </w:p>
        </w:tc>
        <w:tc>
          <w:tcPr>
            <w:tcW w:w="160" w:type="pct"/>
            <w:vMerge w:val="continue"/>
            <w:shd w:val="clear" w:color="auto" w:fill="auto"/>
            <w:vAlign w:val="center"/>
          </w:tcPr>
          <w:p w14:paraId="57FC3997">
            <w:pPr>
              <w:pStyle w:val="41"/>
              <w:rPr>
                <w:rFonts w:hint="eastAsia"/>
              </w:rPr>
            </w:pPr>
          </w:p>
        </w:tc>
        <w:tc>
          <w:tcPr>
            <w:tcW w:w="849" w:type="pct"/>
            <w:vMerge w:val="continue"/>
            <w:shd w:val="clear" w:color="auto" w:fill="auto"/>
            <w:vAlign w:val="center"/>
          </w:tcPr>
          <w:p w14:paraId="023A2EE0">
            <w:pPr>
              <w:pStyle w:val="41"/>
              <w:rPr>
                <w:rFonts w:hint="eastAsia"/>
              </w:rPr>
            </w:pPr>
          </w:p>
        </w:tc>
        <w:tc>
          <w:tcPr>
            <w:tcW w:w="902" w:type="pct"/>
            <w:shd w:val="clear" w:color="auto" w:fill="auto"/>
            <w:vAlign w:val="center"/>
          </w:tcPr>
          <w:p w14:paraId="0D24F2C3">
            <w:pPr>
              <w:pStyle w:val="41"/>
              <w:rPr>
                <w:rFonts w:hint="eastAsia"/>
              </w:rPr>
            </w:pPr>
            <w:r>
              <w:rPr>
                <w:rFonts w:hint="eastAsia"/>
              </w:rPr>
              <w:t>26.2街道内居住用地总面积</w:t>
            </w:r>
          </w:p>
        </w:tc>
        <w:tc>
          <w:tcPr>
            <w:tcW w:w="1220" w:type="pct"/>
            <w:vMerge w:val="continue"/>
            <w:shd w:val="clear" w:color="auto" w:fill="auto"/>
            <w:vAlign w:val="center"/>
          </w:tcPr>
          <w:p w14:paraId="5D81DCD6">
            <w:pPr>
              <w:pStyle w:val="41"/>
              <w:rPr>
                <w:rFonts w:hint="eastAsia"/>
              </w:rPr>
            </w:pPr>
          </w:p>
        </w:tc>
        <w:tc>
          <w:tcPr>
            <w:tcW w:w="1351" w:type="pct"/>
            <w:vMerge w:val="continue"/>
            <w:shd w:val="clear" w:color="auto" w:fill="auto"/>
            <w:vAlign w:val="center"/>
          </w:tcPr>
          <w:p w14:paraId="5A01DED7">
            <w:pPr>
              <w:pStyle w:val="41"/>
              <w:rPr>
                <w:rFonts w:hint="eastAsia"/>
              </w:rPr>
            </w:pPr>
          </w:p>
        </w:tc>
      </w:tr>
      <w:tr w14:paraId="11D63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97F1011">
            <w:pPr>
              <w:pStyle w:val="41"/>
              <w:rPr>
                <w:rFonts w:hint="eastAsia"/>
              </w:rPr>
            </w:pPr>
          </w:p>
        </w:tc>
        <w:tc>
          <w:tcPr>
            <w:tcW w:w="196" w:type="pct"/>
            <w:vMerge w:val="continue"/>
            <w:shd w:val="clear" w:color="auto" w:fill="auto"/>
            <w:vAlign w:val="center"/>
          </w:tcPr>
          <w:p w14:paraId="7A984B71">
            <w:pPr>
              <w:pStyle w:val="41"/>
              <w:rPr>
                <w:rFonts w:hint="eastAsia"/>
              </w:rPr>
            </w:pPr>
          </w:p>
        </w:tc>
        <w:tc>
          <w:tcPr>
            <w:tcW w:w="160" w:type="pct"/>
            <w:vMerge w:val="restart"/>
            <w:shd w:val="clear" w:color="auto" w:fill="auto"/>
            <w:vAlign w:val="center"/>
          </w:tcPr>
          <w:p w14:paraId="3F932423">
            <w:pPr>
              <w:pStyle w:val="41"/>
              <w:rPr>
                <w:rFonts w:hint="eastAsia"/>
              </w:rPr>
            </w:pPr>
            <w:r>
              <w:rPr>
                <w:rFonts w:hint="eastAsia"/>
              </w:rPr>
              <w:t>27</w:t>
            </w:r>
          </w:p>
        </w:tc>
        <w:tc>
          <w:tcPr>
            <w:tcW w:w="849" w:type="pct"/>
            <w:vMerge w:val="restart"/>
            <w:shd w:val="clear" w:color="auto" w:fill="auto"/>
            <w:vAlign w:val="center"/>
          </w:tcPr>
          <w:p w14:paraId="0ADE36BF">
            <w:pPr>
              <w:pStyle w:val="41"/>
              <w:rPr>
                <w:rFonts w:hint="eastAsia"/>
              </w:rPr>
            </w:pPr>
            <w:r>
              <w:rPr>
                <w:rFonts w:hint="eastAsia"/>
              </w:rPr>
              <w:t>☆</w:t>
            </w:r>
            <w:r>
              <w:t>存在乱停放车辆问题的道路数量（条）</w:t>
            </w:r>
          </w:p>
        </w:tc>
        <w:tc>
          <w:tcPr>
            <w:tcW w:w="902" w:type="pct"/>
            <w:shd w:val="clear" w:color="auto" w:fill="auto"/>
            <w:vAlign w:val="center"/>
          </w:tcPr>
          <w:p w14:paraId="09E703AC">
            <w:pPr>
              <w:pStyle w:val="41"/>
              <w:rPr>
                <w:rFonts w:hint="eastAsia"/>
              </w:rPr>
            </w:pPr>
            <w:r>
              <w:rPr>
                <w:rFonts w:hint="eastAsia"/>
              </w:rPr>
              <w:t>27.1违停机动车连续超过3辆或非机动车连续超过10辆的道路数量</w:t>
            </w:r>
          </w:p>
        </w:tc>
        <w:tc>
          <w:tcPr>
            <w:tcW w:w="1220" w:type="pct"/>
            <w:vMerge w:val="restart"/>
            <w:shd w:val="clear" w:color="auto" w:fill="auto"/>
            <w:vAlign w:val="center"/>
          </w:tcPr>
          <w:p w14:paraId="7E849F7E">
            <w:pPr>
              <w:pStyle w:val="41"/>
              <w:rPr>
                <w:rFonts w:hint="eastAsia"/>
              </w:rPr>
            </w:pPr>
            <w:r>
              <w:rPr>
                <w:rFonts w:hint="eastAsia"/>
              </w:rPr>
              <w:t>查找街道上机动车、非机动车无序停放、占用绿化带和人行道的问题。</w:t>
            </w:r>
          </w:p>
        </w:tc>
        <w:tc>
          <w:tcPr>
            <w:tcW w:w="1351" w:type="pct"/>
            <w:vMerge w:val="restart"/>
            <w:shd w:val="clear" w:color="auto" w:fill="auto"/>
            <w:vAlign w:val="center"/>
          </w:tcPr>
          <w:p w14:paraId="40E7A5F3">
            <w:pPr>
              <w:pStyle w:val="41"/>
              <w:rPr>
                <w:rFonts w:hint="eastAsia"/>
              </w:rPr>
            </w:pPr>
            <w:r>
              <w:rPr>
                <w:rFonts w:hint="eastAsia"/>
              </w:rPr>
              <w:t>市公安局、市城市管理综合行政执法局、街道管理员或专业人员现场调研填报；大数据辅助分析</w:t>
            </w:r>
          </w:p>
        </w:tc>
      </w:tr>
      <w:tr w14:paraId="3795B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 w:hRule="atLeast"/>
        </w:trPr>
        <w:tc>
          <w:tcPr>
            <w:tcW w:w="319" w:type="pct"/>
            <w:vMerge w:val="continue"/>
            <w:shd w:val="clear" w:color="auto" w:fill="auto"/>
            <w:vAlign w:val="center"/>
          </w:tcPr>
          <w:p w14:paraId="629B07BD">
            <w:pPr>
              <w:pStyle w:val="41"/>
              <w:rPr>
                <w:rFonts w:hint="eastAsia"/>
              </w:rPr>
            </w:pPr>
          </w:p>
        </w:tc>
        <w:tc>
          <w:tcPr>
            <w:tcW w:w="196" w:type="pct"/>
            <w:vMerge w:val="continue"/>
            <w:shd w:val="clear" w:color="auto" w:fill="auto"/>
            <w:vAlign w:val="center"/>
          </w:tcPr>
          <w:p w14:paraId="7084D71E">
            <w:pPr>
              <w:pStyle w:val="41"/>
              <w:rPr>
                <w:rFonts w:hint="eastAsia"/>
              </w:rPr>
            </w:pPr>
          </w:p>
        </w:tc>
        <w:tc>
          <w:tcPr>
            <w:tcW w:w="160" w:type="pct"/>
            <w:vMerge w:val="continue"/>
            <w:shd w:val="clear" w:color="auto" w:fill="auto"/>
            <w:vAlign w:val="center"/>
          </w:tcPr>
          <w:p w14:paraId="333D8499">
            <w:pPr>
              <w:pStyle w:val="41"/>
              <w:rPr>
                <w:rFonts w:hint="eastAsia"/>
              </w:rPr>
            </w:pPr>
          </w:p>
        </w:tc>
        <w:tc>
          <w:tcPr>
            <w:tcW w:w="849" w:type="pct"/>
            <w:vMerge w:val="continue"/>
            <w:shd w:val="clear" w:color="auto" w:fill="auto"/>
            <w:vAlign w:val="center"/>
          </w:tcPr>
          <w:p w14:paraId="5A14AE3B">
            <w:pPr>
              <w:pStyle w:val="41"/>
              <w:rPr>
                <w:rFonts w:hint="eastAsia"/>
              </w:rPr>
            </w:pPr>
          </w:p>
        </w:tc>
        <w:tc>
          <w:tcPr>
            <w:tcW w:w="902" w:type="pct"/>
            <w:shd w:val="clear" w:color="auto" w:fill="auto"/>
            <w:vAlign w:val="center"/>
          </w:tcPr>
          <w:p w14:paraId="666D06AA">
            <w:pPr>
              <w:pStyle w:val="41"/>
              <w:rPr>
                <w:rFonts w:hint="eastAsia"/>
              </w:rPr>
            </w:pPr>
            <w:r>
              <w:rPr>
                <w:rFonts w:hint="eastAsia"/>
              </w:rPr>
              <w:t>27.2占用绿化带和人行道的道路数量</w:t>
            </w:r>
          </w:p>
        </w:tc>
        <w:tc>
          <w:tcPr>
            <w:tcW w:w="1220" w:type="pct"/>
            <w:vMerge w:val="continue"/>
            <w:shd w:val="clear" w:color="auto" w:fill="auto"/>
            <w:vAlign w:val="center"/>
          </w:tcPr>
          <w:p w14:paraId="7FA5A3E9">
            <w:pPr>
              <w:pStyle w:val="41"/>
              <w:rPr>
                <w:rFonts w:hint="eastAsia"/>
              </w:rPr>
            </w:pPr>
          </w:p>
        </w:tc>
        <w:tc>
          <w:tcPr>
            <w:tcW w:w="1351" w:type="pct"/>
            <w:vMerge w:val="continue"/>
            <w:shd w:val="clear" w:color="auto" w:fill="auto"/>
            <w:vAlign w:val="center"/>
          </w:tcPr>
          <w:p w14:paraId="108E2107">
            <w:pPr>
              <w:pStyle w:val="41"/>
              <w:rPr>
                <w:rFonts w:hint="eastAsia"/>
              </w:rPr>
            </w:pPr>
          </w:p>
        </w:tc>
      </w:tr>
      <w:tr w14:paraId="4541C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6" w:hRule="atLeast"/>
        </w:trPr>
        <w:tc>
          <w:tcPr>
            <w:tcW w:w="319" w:type="pct"/>
            <w:vMerge w:val="continue"/>
            <w:shd w:val="clear" w:color="auto" w:fill="auto"/>
            <w:vAlign w:val="center"/>
          </w:tcPr>
          <w:p w14:paraId="054AC876">
            <w:pPr>
              <w:pStyle w:val="41"/>
              <w:rPr>
                <w:rFonts w:hint="eastAsia"/>
              </w:rPr>
            </w:pPr>
          </w:p>
        </w:tc>
        <w:tc>
          <w:tcPr>
            <w:tcW w:w="196" w:type="pct"/>
            <w:vMerge w:val="restart"/>
            <w:shd w:val="clear" w:color="auto" w:fill="auto"/>
            <w:vAlign w:val="center"/>
          </w:tcPr>
          <w:p w14:paraId="20F8FA9C">
            <w:pPr>
              <w:pStyle w:val="41"/>
              <w:rPr>
                <w:rFonts w:hint="eastAsia"/>
              </w:rPr>
            </w:pPr>
            <w:r>
              <w:rPr>
                <w:rFonts w:hint="eastAsia"/>
              </w:rPr>
              <w:t>特色活力</w:t>
            </w:r>
          </w:p>
        </w:tc>
        <w:tc>
          <w:tcPr>
            <w:tcW w:w="160" w:type="pct"/>
            <w:vMerge w:val="restart"/>
            <w:shd w:val="clear" w:color="auto" w:fill="auto"/>
            <w:vAlign w:val="center"/>
          </w:tcPr>
          <w:p w14:paraId="0AB2FECD">
            <w:pPr>
              <w:pStyle w:val="41"/>
              <w:rPr>
                <w:rFonts w:hint="eastAsia"/>
              </w:rPr>
            </w:pPr>
            <w:r>
              <w:rPr>
                <w:rFonts w:hint="eastAsia"/>
              </w:rPr>
              <w:t>28</w:t>
            </w:r>
          </w:p>
        </w:tc>
        <w:tc>
          <w:tcPr>
            <w:tcW w:w="849" w:type="pct"/>
            <w:vMerge w:val="restart"/>
            <w:shd w:val="clear" w:color="auto" w:fill="auto"/>
            <w:vAlign w:val="center"/>
          </w:tcPr>
          <w:p w14:paraId="0FE5C6EE">
            <w:pPr>
              <w:pStyle w:val="41"/>
              <w:rPr>
                <w:rFonts w:hint="eastAsia"/>
              </w:rPr>
            </w:pPr>
            <w:r>
              <w:rPr>
                <w:rFonts w:hint="eastAsia"/>
              </w:rPr>
              <w:t>需要更新改造的老旧商业街数量（个）</w:t>
            </w:r>
          </w:p>
        </w:tc>
        <w:tc>
          <w:tcPr>
            <w:tcW w:w="902" w:type="pct"/>
            <w:shd w:val="clear" w:color="auto" w:fill="auto"/>
            <w:vAlign w:val="center"/>
          </w:tcPr>
          <w:p w14:paraId="7D0D64BC">
            <w:pPr>
              <w:pStyle w:val="41"/>
              <w:rPr>
                <w:rFonts w:hint="eastAsia"/>
              </w:rPr>
            </w:pPr>
            <w:r>
              <w:rPr>
                <w:rFonts w:hint="eastAsia"/>
              </w:rPr>
              <w:t>28.1老旧商业街区既包括高等级的城市老旧商圈、步行街，也包括街道、社区层级的商业节点及商业街道。老旧商业街区可以是单体商业综合体、线性商业集中的道路或商圈面状区域。</w:t>
            </w:r>
          </w:p>
        </w:tc>
        <w:tc>
          <w:tcPr>
            <w:tcW w:w="1220" w:type="pct"/>
            <w:vMerge w:val="restart"/>
            <w:shd w:val="clear" w:color="auto" w:fill="auto"/>
            <w:vAlign w:val="center"/>
          </w:tcPr>
          <w:p w14:paraId="05DE7D0E">
            <w:pPr>
              <w:pStyle w:val="41"/>
              <w:rPr>
                <w:rFonts w:hint="eastAsia"/>
              </w:rPr>
            </w:pPr>
            <w:r>
              <w:rPr>
                <w:rFonts w:hint="eastAsia"/>
              </w:rPr>
              <w:t>查找老旧商业街区在购物、娱乐、旅游、文化等多功能多业态集聚、公共空间塑造、步行环境整治、特色化品牌化服务等方面的问题与短板。</w:t>
            </w:r>
          </w:p>
        </w:tc>
        <w:tc>
          <w:tcPr>
            <w:tcW w:w="1351" w:type="pct"/>
            <w:vMerge w:val="restart"/>
            <w:shd w:val="clear" w:color="auto" w:fill="auto"/>
            <w:vAlign w:val="center"/>
          </w:tcPr>
          <w:p w14:paraId="43704632">
            <w:pPr>
              <w:pStyle w:val="41"/>
              <w:rPr>
                <w:rFonts w:hint="eastAsia"/>
              </w:rPr>
            </w:pPr>
            <w:r>
              <w:rPr>
                <w:rFonts w:hint="eastAsia"/>
              </w:rPr>
              <w:t>行业部门调查统计数据，街道管理员或专业人员现场调研复核</w:t>
            </w:r>
          </w:p>
        </w:tc>
      </w:tr>
      <w:tr w14:paraId="4BC7B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4" w:hRule="atLeast"/>
        </w:trPr>
        <w:tc>
          <w:tcPr>
            <w:tcW w:w="319" w:type="pct"/>
            <w:vMerge w:val="continue"/>
            <w:shd w:val="clear" w:color="auto" w:fill="auto"/>
            <w:vAlign w:val="center"/>
          </w:tcPr>
          <w:p w14:paraId="07F9BEAB">
            <w:pPr>
              <w:pStyle w:val="41"/>
              <w:rPr>
                <w:rFonts w:hint="eastAsia"/>
              </w:rPr>
            </w:pPr>
          </w:p>
        </w:tc>
        <w:tc>
          <w:tcPr>
            <w:tcW w:w="196" w:type="pct"/>
            <w:vMerge w:val="continue"/>
            <w:shd w:val="clear" w:color="auto" w:fill="auto"/>
            <w:vAlign w:val="center"/>
          </w:tcPr>
          <w:p w14:paraId="1314546E">
            <w:pPr>
              <w:pStyle w:val="41"/>
              <w:rPr>
                <w:rFonts w:hint="eastAsia"/>
              </w:rPr>
            </w:pPr>
          </w:p>
        </w:tc>
        <w:tc>
          <w:tcPr>
            <w:tcW w:w="160" w:type="pct"/>
            <w:vMerge w:val="continue"/>
            <w:shd w:val="clear" w:color="auto" w:fill="auto"/>
            <w:vAlign w:val="center"/>
          </w:tcPr>
          <w:p w14:paraId="0DF7BD2E">
            <w:pPr>
              <w:pStyle w:val="41"/>
              <w:rPr>
                <w:rFonts w:hint="eastAsia"/>
              </w:rPr>
            </w:pPr>
          </w:p>
        </w:tc>
        <w:tc>
          <w:tcPr>
            <w:tcW w:w="849" w:type="pct"/>
            <w:vMerge w:val="continue"/>
            <w:shd w:val="clear" w:color="auto" w:fill="auto"/>
            <w:vAlign w:val="center"/>
          </w:tcPr>
          <w:p w14:paraId="7421508B">
            <w:pPr>
              <w:pStyle w:val="41"/>
              <w:rPr>
                <w:rFonts w:hint="eastAsia"/>
              </w:rPr>
            </w:pPr>
          </w:p>
        </w:tc>
        <w:tc>
          <w:tcPr>
            <w:tcW w:w="902" w:type="pct"/>
            <w:shd w:val="clear" w:color="auto" w:fill="auto"/>
            <w:vAlign w:val="center"/>
          </w:tcPr>
          <w:p w14:paraId="3D1BE599">
            <w:pPr>
              <w:pStyle w:val="41"/>
              <w:rPr>
                <w:rFonts w:hint="eastAsia"/>
              </w:rPr>
            </w:pPr>
            <w:r>
              <w:rPr>
                <w:rFonts w:hint="eastAsia"/>
              </w:rPr>
              <w:t>28.2重点查找老旧商业街区在业态集聚、公共空间塑造、步行环境整治、特色化服务等方面的问题与短板。</w:t>
            </w:r>
          </w:p>
        </w:tc>
        <w:tc>
          <w:tcPr>
            <w:tcW w:w="1220" w:type="pct"/>
            <w:vMerge w:val="continue"/>
            <w:shd w:val="clear" w:color="auto" w:fill="auto"/>
            <w:vAlign w:val="center"/>
          </w:tcPr>
          <w:p w14:paraId="7243F738">
            <w:pPr>
              <w:pStyle w:val="41"/>
              <w:rPr>
                <w:rFonts w:hint="eastAsia"/>
              </w:rPr>
            </w:pPr>
          </w:p>
        </w:tc>
        <w:tc>
          <w:tcPr>
            <w:tcW w:w="1351" w:type="pct"/>
            <w:vMerge w:val="continue"/>
            <w:shd w:val="clear" w:color="auto" w:fill="auto"/>
            <w:vAlign w:val="center"/>
          </w:tcPr>
          <w:p w14:paraId="34701AFA">
            <w:pPr>
              <w:pStyle w:val="41"/>
              <w:rPr>
                <w:rFonts w:hint="eastAsia"/>
              </w:rPr>
            </w:pPr>
          </w:p>
        </w:tc>
      </w:tr>
      <w:tr w14:paraId="30F6E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9" w:hRule="atLeast"/>
        </w:trPr>
        <w:tc>
          <w:tcPr>
            <w:tcW w:w="319" w:type="pct"/>
            <w:vMerge w:val="continue"/>
            <w:shd w:val="clear" w:color="auto" w:fill="auto"/>
            <w:vAlign w:val="center"/>
          </w:tcPr>
          <w:p w14:paraId="47DA3235">
            <w:pPr>
              <w:pStyle w:val="41"/>
              <w:rPr>
                <w:rFonts w:hint="eastAsia"/>
              </w:rPr>
            </w:pPr>
          </w:p>
        </w:tc>
        <w:tc>
          <w:tcPr>
            <w:tcW w:w="196" w:type="pct"/>
            <w:vMerge w:val="continue"/>
            <w:shd w:val="clear" w:color="auto" w:fill="auto"/>
            <w:vAlign w:val="center"/>
          </w:tcPr>
          <w:p w14:paraId="18C4F0C0">
            <w:pPr>
              <w:pStyle w:val="41"/>
              <w:rPr>
                <w:rFonts w:hint="eastAsia"/>
              </w:rPr>
            </w:pPr>
          </w:p>
        </w:tc>
        <w:tc>
          <w:tcPr>
            <w:tcW w:w="160" w:type="pct"/>
            <w:vMerge w:val="continue"/>
            <w:shd w:val="clear" w:color="auto" w:fill="auto"/>
            <w:vAlign w:val="center"/>
          </w:tcPr>
          <w:p w14:paraId="5654B2E4">
            <w:pPr>
              <w:pStyle w:val="41"/>
              <w:rPr>
                <w:rFonts w:hint="eastAsia"/>
              </w:rPr>
            </w:pPr>
          </w:p>
        </w:tc>
        <w:tc>
          <w:tcPr>
            <w:tcW w:w="849" w:type="pct"/>
            <w:vMerge w:val="continue"/>
            <w:shd w:val="clear" w:color="auto" w:fill="auto"/>
            <w:vAlign w:val="center"/>
          </w:tcPr>
          <w:p w14:paraId="0A5FB710">
            <w:pPr>
              <w:pStyle w:val="41"/>
              <w:rPr>
                <w:rFonts w:hint="eastAsia"/>
              </w:rPr>
            </w:pPr>
          </w:p>
        </w:tc>
        <w:tc>
          <w:tcPr>
            <w:tcW w:w="902" w:type="pct"/>
            <w:shd w:val="clear" w:color="auto" w:fill="auto"/>
            <w:vAlign w:val="center"/>
          </w:tcPr>
          <w:p w14:paraId="14FE9950">
            <w:pPr>
              <w:pStyle w:val="41"/>
              <w:rPr>
                <w:rFonts w:hint="eastAsia"/>
              </w:rPr>
            </w:pPr>
            <w:r>
              <w:rPr>
                <w:rFonts w:hint="eastAsia"/>
              </w:rPr>
              <w:t>28.3综合评估问题及潜力后，区级政府及街道应确定本街区需要更新改造的老旧商业街区数量。</w:t>
            </w:r>
          </w:p>
        </w:tc>
        <w:tc>
          <w:tcPr>
            <w:tcW w:w="1220" w:type="pct"/>
            <w:vMerge w:val="continue"/>
            <w:shd w:val="clear" w:color="auto" w:fill="auto"/>
            <w:vAlign w:val="center"/>
          </w:tcPr>
          <w:p w14:paraId="064C43E5">
            <w:pPr>
              <w:pStyle w:val="41"/>
              <w:rPr>
                <w:rFonts w:hint="eastAsia"/>
              </w:rPr>
            </w:pPr>
          </w:p>
        </w:tc>
        <w:tc>
          <w:tcPr>
            <w:tcW w:w="1351" w:type="pct"/>
            <w:vMerge w:val="continue"/>
            <w:shd w:val="clear" w:color="auto" w:fill="auto"/>
            <w:vAlign w:val="center"/>
          </w:tcPr>
          <w:p w14:paraId="36D553A7">
            <w:pPr>
              <w:pStyle w:val="41"/>
              <w:rPr>
                <w:rFonts w:hint="eastAsia"/>
              </w:rPr>
            </w:pPr>
          </w:p>
        </w:tc>
      </w:tr>
      <w:tr w14:paraId="69742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4" w:hRule="atLeast"/>
        </w:trPr>
        <w:tc>
          <w:tcPr>
            <w:tcW w:w="319" w:type="pct"/>
            <w:vMerge w:val="continue"/>
            <w:shd w:val="clear" w:color="auto" w:fill="auto"/>
            <w:vAlign w:val="center"/>
          </w:tcPr>
          <w:p w14:paraId="0C2D82D7">
            <w:pPr>
              <w:pStyle w:val="41"/>
              <w:rPr>
                <w:rFonts w:hint="eastAsia"/>
              </w:rPr>
            </w:pPr>
          </w:p>
        </w:tc>
        <w:tc>
          <w:tcPr>
            <w:tcW w:w="196" w:type="pct"/>
            <w:vMerge w:val="continue"/>
            <w:shd w:val="clear" w:color="auto" w:fill="auto"/>
            <w:vAlign w:val="center"/>
          </w:tcPr>
          <w:p w14:paraId="4901183E">
            <w:pPr>
              <w:pStyle w:val="41"/>
              <w:rPr>
                <w:rFonts w:hint="eastAsia"/>
              </w:rPr>
            </w:pPr>
          </w:p>
        </w:tc>
        <w:tc>
          <w:tcPr>
            <w:tcW w:w="160" w:type="pct"/>
            <w:vMerge w:val="continue"/>
            <w:shd w:val="clear" w:color="auto" w:fill="auto"/>
            <w:vAlign w:val="center"/>
          </w:tcPr>
          <w:p w14:paraId="4A0BEDD2">
            <w:pPr>
              <w:pStyle w:val="41"/>
              <w:rPr>
                <w:rFonts w:hint="eastAsia"/>
              </w:rPr>
            </w:pPr>
          </w:p>
        </w:tc>
        <w:tc>
          <w:tcPr>
            <w:tcW w:w="849" w:type="pct"/>
            <w:vMerge w:val="continue"/>
            <w:shd w:val="clear" w:color="auto" w:fill="auto"/>
            <w:vAlign w:val="center"/>
          </w:tcPr>
          <w:p w14:paraId="46AF6F53">
            <w:pPr>
              <w:pStyle w:val="41"/>
              <w:rPr>
                <w:rFonts w:hint="eastAsia"/>
              </w:rPr>
            </w:pPr>
          </w:p>
        </w:tc>
        <w:tc>
          <w:tcPr>
            <w:tcW w:w="902" w:type="pct"/>
            <w:shd w:val="clear" w:color="auto" w:fill="auto"/>
            <w:vAlign w:val="center"/>
          </w:tcPr>
          <w:p w14:paraId="534E9B6B">
            <w:pPr>
              <w:pStyle w:val="41"/>
              <w:rPr>
                <w:rFonts w:hint="eastAsia"/>
              </w:rPr>
            </w:pPr>
            <w:r>
              <w:rPr>
                <w:rFonts w:hint="eastAsia"/>
              </w:rPr>
              <w:t>28.4具体体检细则可参考商务部《城市商圈建设指南》《步行街改造提升评价指标（2019版）》《高品位步行街评价指标（试行）》《上海街道设计导则》等结合本地地方标准与实际情况进一步细化确定。</w:t>
            </w:r>
          </w:p>
        </w:tc>
        <w:tc>
          <w:tcPr>
            <w:tcW w:w="1220" w:type="pct"/>
            <w:vMerge w:val="continue"/>
            <w:shd w:val="clear" w:color="auto" w:fill="auto"/>
            <w:vAlign w:val="center"/>
          </w:tcPr>
          <w:p w14:paraId="09AD30AA">
            <w:pPr>
              <w:pStyle w:val="41"/>
              <w:rPr>
                <w:rFonts w:hint="eastAsia"/>
              </w:rPr>
            </w:pPr>
          </w:p>
        </w:tc>
        <w:tc>
          <w:tcPr>
            <w:tcW w:w="1351" w:type="pct"/>
            <w:vMerge w:val="continue"/>
            <w:shd w:val="clear" w:color="auto" w:fill="auto"/>
            <w:vAlign w:val="center"/>
          </w:tcPr>
          <w:p w14:paraId="5430A699">
            <w:pPr>
              <w:pStyle w:val="41"/>
              <w:rPr>
                <w:rFonts w:hint="eastAsia"/>
              </w:rPr>
            </w:pPr>
          </w:p>
        </w:tc>
      </w:tr>
      <w:tr w14:paraId="10AD4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66" w:hRule="atLeast"/>
        </w:trPr>
        <w:tc>
          <w:tcPr>
            <w:tcW w:w="319" w:type="pct"/>
            <w:vMerge w:val="continue"/>
            <w:shd w:val="clear" w:color="auto" w:fill="auto"/>
            <w:vAlign w:val="center"/>
          </w:tcPr>
          <w:p w14:paraId="283B0151">
            <w:pPr>
              <w:pStyle w:val="41"/>
              <w:rPr>
                <w:rFonts w:hint="eastAsia"/>
              </w:rPr>
            </w:pPr>
          </w:p>
        </w:tc>
        <w:tc>
          <w:tcPr>
            <w:tcW w:w="196" w:type="pct"/>
            <w:vMerge w:val="continue"/>
            <w:shd w:val="clear" w:color="auto" w:fill="auto"/>
            <w:vAlign w:val="center"/>
          </w:tcPr>
          <w:p w14:paraId="7AAE571D">
            <w:pPr>
              <w:pStyle w:val="41"/>
              <w:rPr>
                <w:rFonts w:hint="eastAsia"/>
              </w:rPr>
            </w:pPr>
          </w:p>
        </w:tc>
        <w:tc>
          <w:tcPr>
            <w:tcW w:w="160" w:type="pct"/>
            <w:vMerge w:val="restart"/>
            <w:shd w:val="clear" w:color="auto" w:fill="auto"/>
            <w:vAlign w:val="center"/>
          </w:tcPr>
          <w:p w14:paraId="0D50F9CF">
            <w:pPr>
              <w:pStyle w:val="41"/>
              <w:rPr>
                <w:rFonts w:hint="eastAsia"/>
              </w:rPr>
            </w:pPr>
            <w:r>
              <w:rPr>
                <w:rFonts w:hint="eastAsia"/>
              </w:rPr>
              <w:t>29</w:t>
            </w:r>
          </w:p>
        </w:tc>
        <w:tc>
          <w:tcPr>
            <w:tcW w:w="849" w:type="pct"/>
            <w:vMerge w:val="restart"/>
            <w:shd w:val="clear" w:color="auto" w:fill="auto"/>
            <w:vAlign w:val="center"/>
          </w:tcPr>
          <w:p w14:paraId="768C40DB">
            <w:pPr>
              <w:pStyle w:val="41"/>
              <w:rPr>
                <w:rFonts w:hint="eastAsia"/>
              </w:rPr>
            </w:pPr>
            <w:r>
              <w:rPr>
                <w:rFonts w:hint="eastAsia"/>
              </w:rPr>
              <w:t>需要更新改造的老旧厂区数量（个）</w:t>
            </w:r>
          </w:p>
        </w:tc>
        <w:tc>
          <w:tcPr>
            <w:tcW w:w="902" w:type="pct"/>
            <w:shd w:val="clear" w:color="auto" w:fill="auto"/>
            <w:vAlign w:val="center"/>
          </w:tcPr>
          <w:p w14:paraId="7DA0F669">
            <w:pPr>
              <w:pStyle w:val="41"/>
              <w:rPr>
                <w:rFonts w:hint="eastAsia"/>
              </w:rPr>
            </w:pPr>
            <w:r>
              <w:rPr>
                <w:rFonts w:hint="eastAsia"/>
              </w:rPr>
              <w:t>29.1老旧厂区既包括独立单体厂房，也包括含有多栋厂房的厂区。</w:t>
            </w:r>
          </w:p>
        </w:tc>
        <w:tc>
          <w:tcPr>
            <w:tcW w:w="1220" w:type="pct"/>
            <w:vMerge w:val="restart"/>
            <w:shd w:val="clear" w:color="auto" w:fill="auto"/>
            <w:vAlign w:val="center"/>
          </w:tcPr>
          <w:p w14:paraId="231A06DE">
            <w:pPr>
              <w:pStyle w:val="41"/>
              <w:rPr>
                <w:rFonts w:hint="eastAsia"/>
              </w:rPr>
            </w:pPr>
            <w:r>
              <w:rPr>
                <w:rFonts w:hint="eastAsia"/>
              </w:rPr>
              <w:t>查找老旧厂区在闲置资源盘活利用、新业态新功能植入、产业转型升级以及专业化运营管理等方面存在的问题和短板</w:t>
            </w:r>
          </w:p>
        </w:tc>
        <w:tc>
          <w:tcPr>
            <w:tcW w:w="1351" w:type="pct"/>
            <w:vMerge w:val="restart"/>
            <w:shd w:val="clear" w:color="auto" w:fill="auto"/>
            <w:vAlign w:val="center"/>
          </w:tcPr>
          <w:p w14:paraId="38863BB4">
            <w:pPr>
              <w:pStyle w:val="41"/>
              <w:rPr>
                <w:rFonts w:hint="eastAsia"/>
              </w:rPr>
            </w:pPr>
            <w:r>
              <w:rPr>
                <w:rFonts w:hint="eastAsia"/>
              </w:rPr>
              <w:t>市住建局、行业部门调查统计数据，街道管理员或专业人员现场调研复核</w:t>
            </w:r>
          </w:p>
        </w:tc>
      </w:tr>
      <w:tr w14:paraId="20E7F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2" w:hRule="atLeast"/>
        </w:trPr>
        <w:tc>
          <w:tcPr>
            <w:tcW w:w="319" w:type="pct"/>
            <w:vMerge w:val="continue"/>
            <w:shd w:val="clear" w:color="auto" w:fill="auto"/>
            <w:vAlign w:val="center"/>
          </w:tcPr>
          <w:p w14:paraId="62653C82">
            <w:pPr>
              <w:pStyle w:val="41"/>
              <w:rPr>
                <w:rFonts w:hint="eastAsia"/>
              </w:rPr>
            </w:pPr>
          </w:p>
        </w:tc>
        <w:tc>
          <w:tcPr>
            <w:tcW w:w="196" w:type="pct"/>
            <w:vMerge w:val="continue"/>
            <w:shd w:val="clear" w:color="auto" w:fill="auto"/>
            <w:vAlign w:val="center"/>
          </w:tcPr>
          <w:p w14:paraId="60CF349F">
            <w:pPr>
              <w:pStyle w:val="41"/>
              <w:rPr>
                <w:rFonts w:hint="eastAsia"/>
              </w:rPr>
            </w:pPr>
          </w:p>
        </w:tc>
        <w:tc>
          <w:tcPr>
            <w:tcW w:w="160" w:type="pct"/>
            <w:vMerge w:val="continue"/>
            <w:shd w:val="clear" w:color="auto" w:fill="auto"/>
            <w:vAlign w:val="center"/>
          </w:tcPr>
          <w:p w14:paraId="08229919">
            <w:pPr>
              <w:pStyle w:val="41"/>
              <w:rPr>
                <w:rFonts w:hint="eastAsia"/>
              </w:rPr>
            </w:pPr>
          </w:p>
        </w:tc>
        <w:tc>
          <w:tcPr>
            <w:tcW w:w="849" w:type="pct"/>
            <w:vMerge w:val="continue"/>
            <w:shd w:val="clear" w:color="auto" w:fill="auto"/>
            <w:vAlign w:val="center"/>
          </w:tcPr>
          <w:p w14:paraId="325805B0">
            <w:pPr>
              <w:pStyle w:val="41"/>
              <w:rPr>
                <w:rFonts w:hint="eastAsia"/>
              </w:rPr>
            </w:pPr>
          </w:p>
        </w:tc>
        <w:tc>
          <w:tcPr>
            <w:tcW w:w="902" w:type="pct"/>
            <w:shd w:val="clear" w:color="auto" w:fill="auto"/>
            <w:vAlign w:val="center"/>
          </w:tcPr>
          <w:p w14:paraId="75DEEDDA">
            <w:pPr>
              <w:pStyle w:val="41"/>
              <w:rPr>
                <w:rFonts w:hint="eastAsia"/>
              </w:rPr>
            </w:pPr>
            <w:r>
              <w:rPr>
                <w:rFonts w:hint="eastAsia"/>
              </w:rPr>
              <w:t>29.2重点查找街区内老旧厂区的上位规划要求、产业转型升级需求、资源闲置情况、低效情况、功能产出情况、文化创意等新功能植入情况以及专业化运营管理等方面的问题和短板。其中经济产出标准应结合本地平均水平划定。</w:t>
            </w:r>
          </w:p>
        </w:tc>
        <w:tc>
          <w:tcPr>
            <w:tcW w:w="1220" w:type="pct"/>
            <w:vMerge w:val="continue"/>
            <w:shd w:val="clear" w:color="auto" w:fill="auto"/>
            <w:vAlign w:val="center"/>
          </w:tcPr>
          <w:p w14:paraId="0457B7E3">
            <w:pPr>
              <w:pStyle w:val="41"/>
              <w:rPr>
                <w:rFonts w:hint="eastAsia"/>
              </w:rPr>
            </w:pPr>
          </w:p>
        </w:tc>
        <w:tc>
          <w:tcPr>
            <w:tcW w:w="1351" w:type="pct"/>
            <w:vMerge w:val="continue"/>
            <w:shd w:val="clear" w:color="auto" w:fill="auto"/>
            <w:vAlign w:val="center"/>
          </w:tcPr>
          <w:p w14:paraId="34364453">
            <w:pPr>
              <w:pStyle w:val="41"/>
              <w:rPr>
                <w:rFonts w:hint="eastAsia"/>
              </w:rPr>
            </w:pPr>
          </w:p>
        </w:tc>
      </w:tr>
      <w:tr w14:paraId="60542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E9D6FBA">
            <w:pPr>
              <w:pStyle w:val="41"/>
              <w:rPr>
                <w:rFonts w:hint="eastAsia"/>
              </w:rPr>
            </w:pPr>
          </w:p>
        </w:tc>
        <w:tc>
          <w:tcPr>
            <w:tcW w:w="196" w:type="pct"/>
            <w:vMerge w:val="continue"/>
            <w:shd w:val="clear" w:color="auto" w:fill="auto"/>
            <w:vAlign w:val="center"/>
          </w:tcPr>
          <w:p w14:paraId="78D43159">
            <w:pPr>
              <w:pStyle w:val="41"/>
              <w:rPr>
                <w:rFonts w:hint="eastAsia"/>
              </w:rPr>
            </w:pPr>
          </w:p>
        </w:tc>
        <w:tc>
          <w:tcPr>
            <w:tcW w:w="160" w:type="pct"/>
            <w:vMerge w:val="continue"/>
            <w:shd w:val="clear" w:color="auto" w:fill="auto"/>
            <w:vAlign w:val="center"/>
          </w:tcPr>
          <w:p w14:paraId="7F760A0E">
            <w:pPr>
              <w:pStyle w:val="41"/>
              <w:rPr>
                <w:rFonts w:hint="eastAsia"/>
              </w:rPr>
            </w:pPr>
          </w:p>
        </w:tc>
        <w:tc>
          <w:tcPr>
            <w:tcW w:w="849" w:type="pct"/>
            <w:vMerge w:val="continue"/>
            <w:shd w:val="clear" w:color="auto" w:fill="auto"/>
            <w:vAlign w:val="center"/>
          </w:tcPr>
          <w:p w14:paraId="6E6CBC7C">
            <w:pPr>
              <w:pStyle w:val="41"/>
              <w:rPr>
                <w:rFonts w:hint="eastAsia"/>
              </w:rPr>
            </w:pPr>
          </w:p>
        </w:tc>
        <w:tc>
          <w:tcPr>
            <w:tcW w:w="902" w:type="pct"/>
            <w:shd w:val="clear" w:color="auto" w:fill="auto"/>
            <w:vAlign w:val="center"/>
          </w:tcPr>
          <w:p w14:paraId="5C87D58F">
            <w:pPr>
              <w:pStyle w:val="41"/>
              <w:rPr>
                <w:rFonts w:hint="eastAsia"/>
              </w:rPr>
            </w:pPr>
            <w:r>
              <w:rPr>
                <w:rFonts w:hint="eastAsia"/>
              </w:rPr>
              <w:t>29.3根据各省（区、市）《低效工业用地认定办法》、集中型的工业园区可参考中国工程建设标准化协会标准《既有城市工业区功能提升与改造后评估标准》（征求意见稿）、中国城市规划学会团体标准《城镇更新区划定技术导则》表A.2工矿用地、仓储用地评估要求表等，根据本地实际情况及需求进一步细化确定具体体检细则与标准。</w:t>
            </w:r>
          </w:p>
        </w:tc>
        <w:tc>
          <w:tcPr>
            <w:tcW w:w="1220" w:type="pct"/>
            <w:vMerge w:val="continue"/>
            <w:shd w:val="clear" w:color="auto" w:fill="auto"/>
            <w:vAlign w:val="center"/>
          </w:tcPr>
          <w:p w14:paraId="6218BA2B">
            <w:pPr>
              <w:pStyle w:val="41"/>
              <w:rPr>
                <w:rFonts w:hint="eastAsia"/>
              </w:rPr>
            </w:pPr>
          </w:p>
        </w:tc>
        <w:tc>
          <w:tcPr>
            <w:tcW w:w="1351" w:type="pct"/>
            <w:vMerge w:val="continue"/>
            <w:shd w:val="clear" w:color="auto" w:fill="auto"/>
            <w:vAlign w:val="center"/>
          </w:tcPr>
          <w:p w14:paraId="69AB010D">
            <w:pPr>
              <w:pStyle w:val="41"/>
              <w:rPr>
                <w:rFonts w:hint="eastAsia"/>
              </w:rPr>
            </w:pPr>
          </w:p>
        </w:tc>
      </w:tr>
      <w:tr w14:paraId="2570E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82D0697">
            <w:pPr>
              <w:pStyle w:val="41"/>
              <w:rPr>
                <w:rFonts w:hint="eastAsia"/>
              </w:rPr>
            </w:pPr>
          </w:p>
        </w:tc>
        <w:tc>
          <w:tcPr>
            <w:tcW w:w="196" w:type="pct"/>
            <w:vMerge w:val="continue"/>
            <w:shd w:val="clear" w:color="auto" w:fill="auto"/>
            <w:vAlign w:val="center"/>
          </w:tcPr>
          <w:p w14:paraId="12628F39">
            <w:pPr>
              <w:pStyle w:val="41"/>
              <w:rPr>
                <w:rFonts w:hint="eastAsia"/>
              </w:rPr>
            </w:pPr>
          </w:p>
        </w:tc>
        <w:tc>
          <w:tcPr>
            <w:tcW w:w="160" w:type="pct"/>
            <w:vMerge w:val="continue"/>
            <w:shd w:val="clear" w:color="auto" w:fill="auto"/>
            <w:vAlign w:val="center"/>
          </w:tcPr>
          <w:p w14:paraId="6A1D324E">
            <w:pPr>
              <w:pStyle w:val="41"/>
              <w:rPr>
                <w:rFonts w:hint="eastAsia"/>
              </w:rPr>
            </w:pPr>
          </w:p>
        </w:tc>
        <w:tc>
          <w:tcPr>
            <w:tcW w:w="849" w:type="pct"/>
            <w:vMerge w:val="continue"/>
            <w:shd w:val="clear" w:color="auto" w:fill="auto"/>
            <w:vAlign w:val="center"/>
          </w:tcPr>
          <w:p w14:paraId="7D1FC7CE">
            <w:pPr>
              <w:pStyle w:val="41"/>
              <w:rPr>
                <w:rFonts w:hint="eastAsia"/>
              </w:rPr>
            </w:pPr>
          </w:p>
        </w:tc>
        <w:tc>
          <w:tcPr>
            <w:tcW w:w="902" w:type="pct"/>
            <w:shd w:val="clear" w:color="auto" w:fill="auto"/>
            <w:vAlign w:val="center"/>
          </w:tcPr>
          <w:p w14:paraId="47411223">
            <w:pPr>
              <w:pStyle w:val="41"/>
              <w:rPr>
                <w:rFonts w:hint="eastAsia"/>
              </w:rPr>
            </w:pPr>
            <w:r>
              <w:rPr>
                <w:rFonts w:hint="eastAsia"/>
              </w:rPr>
              <w:t>29.4综合评估以确定本街区需要更新改造的老旧厂区/厂房数量。</w:t>
            </w:r>
          </w:p>
        </w:tc>
        <w:tc>
          <w:tcPr>
            <w:tcW w:w="1220" w:type="pct"/>
            <w:vMerge w:val="continue"/>
            <w:shd w:val="clear" w:color="auto" w:fill="auto"/>
            <w:vAlign w:val="center"/>
          </w:tcPr>
          <w:p w14:paraId="26619C90">
            <w:pPr>
              <w:pStyle w:val="41"/>
              <w:rPr>
                <w:rFonts w:hint="eastAsia"/>
              </w:rPr>
            </w:pPr>
          </w:p>
        </w:tc>
        <w:tc>
          <w:tcPr>
            <w:tcW w:w="1351" w:type="pct"/>
            <w:vMerge w:val="continue"/>
            <w:shd w:val="clear" w:color="auto" w:fill="auto"/>
            <w:vAlign w:val="center"/>
          </w:tcPr>
          <w:p w14:paraId="09BFFD9C">
            <w:pPr>
              <w:pStyle w:val="41"/>
              <w:rPr>
                <w:rFonts w:hint="eastAsia"/>
              </w:rPr>
            </w:pPr>
          </w:p>
        </w:tc>
      </w:tr>
      <w:tr w14:paraId="56A63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8454826">
            <w:pPr>
              <w:pStyle w:val="41"/>
              <w:rPr>
                <w:rFonts w:hint="eastAsia"/>
              </w:rPr>
            </w:pPr>
          </w:p>
        </w:tc>
        <w:tc>
          <w:tcPr>
            <w:tcW w:w="196" w:type="pct"/>
            <w:vMerge w:val="continue"/>
            <w:shd w:val="clear" w:color="auto" w:fill="auto"/>
            <w:vAlign w:val="center"/>
          </w:tcPr>
          <w:p w14:paraId="14EDD91C">
            <w:pPr>
              <w:pStyle w:val="41"/>
              <w:rPr>
                <w:rFonts w:hint="eastAsia"/>
              </w:rPr>
            </w:pPr>
          </w:p>
        </w:tc>
        <w:tc>
          <w:tcPr>
            <w:tcW w:w="160" w:type="pct"/>
            <w:vMerge w:val="restart"/>
            <w:shd w:val="clear" w:color="auto" w:fill="auto"/>
            <w:vAlign w:val="center"/>
          </w:tcPr>
          <w:p w14:paraId="03AED207">
            <w:pPr>
              <w:pStyle w:val="41"/>
              <w:rPr>
                <w:rFonts w:hint="eastAsia"/>
              </w:rPr>
            </w:pPr>
            <w:r>
              <w:rPr>
                <w:rFonts w:hint="eastAsia"/>
              </w:rPr>
              <w:t>30</w:t>
            </w:r>
          </w:p>
        </w:tc>
        <w:tc>
          <w:tcPr>
            <w:tcW w:w="849" w:type="pct"/>
            <w:vMerge w:val="restart"/>
            <w:shd w:val="clear" w:color="auto" w:fill="auto"/>
            <w:vAlign w:val="center"/>
          </w:tcPr>
          <w:p w14:paraId="64BC1BA0">
            <w:pPr>
              <w:pStyle w:val="41"/>
              <w:rPr>
                <w:rFonts w:hint="eastAsia"/>
              </w:rPr>
            </w:pPr>
            <w:r>
              <w:rPr>
                <w:rFonts w:hint="eastAsia"/>
              </w:rPr>
              <w:t>☆</w:t>
            </w:r>
            <w:r>
              <w:t>需要更新改造的老旧街区数量（个）</w:t>
            </w:r>
          </w:p>
        </w:tc>
        <w:tc>
          <w:tcPr>
            <w:tcW w:w="902" w:type="pct"/>
            <w:shd w:val="clear" w:color="auto" w:fill="auto"/>
            <w:vAlign w:val="center"/>
          </w:tcPr>
          <w:p w14:paraId="1F7CB519">
            <w:pPr>
              <w:pStyle w:val="41"/>
              <w:rPr>
                <w:rFonts w:hint="eastAsia"/>
              </w:rPr>
            </w:pPr>
            <w:r>
              <w:rPr>
                <w:rFonts w:hint="eastAsia"/>
              </w:rPr>
              <w:t>30.1老旧街区指街道辖区内建成年代较早，以居住为主导功能，具有一定文化特色的区域。</w:t>
            </w:r>
          </w:p>
        </w:tc>
        <w:tc>
          <w:tcPr>
            <w:tcW w:w="1220" w:type="pct"/>
            <w:vMerge w:val="restart"/>
            <w:shd w:val="clear" w:color="auto" w:fill="auto"/>
            <w:vAlign w:val="center"/>
          </w:tcPr>
          <w:p w14:paraId="0E3C501C">
            <w:pPr>
              <w:pStyle w:val="41"/>
              <w:rPr>
                <w:rFonts w:hint="eastAsia"/>
              </w:rPr>
            </w:pPr>
            <w:r>
              <w:rPr>
                <w:rFonts w:hint="eastAsia"/>
              </w:rPr>
              <w:t>查找老旧街区在既有建筑保留利用、城市客厅等服务设施配置、基础设施更新改造以及功能转换、活力提升等方面存在的问题和短板。</w:t>
            </w:r>
          </w:p>
        </w:tc>
        <w:tc>
          <w:tcPr>
            <w:tcW w:w="1351" w:type="pct"/>
            <w:vMerge w:val="restart"/>
            <w:shd w:val="clear" w:color="auto" w:fill="auto"/>
            <w:vAlign w:val="center"/>
          </w:tcPr>
          <w:p w14:paraId="3AD9F559">
            <w:pPr>
              <w:pStyle w:val="41"/>
              <w:rPr>
                <w:rFonts w:hint="eastAsia"/>
              </w:rPr>
            </w:pPr>
            <w:r>
              <w:rPr>
                <w:rFonts w:hint="eastAsia"/>
              </w:rPr>
              <w:t>各区政府、行业部门调查统计数据，街道管理员或专业人员现场调研复核</w:t>
            </w:r>
          </w:p>
        </w:tc>
      </w:tr>
      <w:tr w14:paraId="0C3C5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11252A6">
            <w:pPr>
              <w:pStyle w:val="41"/>
              <w:rPr>
                <w:rFonts w:hint="eastAsia"/>
              </w:rPr>
            </w:pPr>
          </w:p>
        </w:tc>
        <w:tc>
          <w:tcPr>
            <w:tcW w:w="196" w:type="pct"/>
            <w:vMerge w:val="continue"/>
            <w:shd w:val="clear" w:color="auto" w:fill="auto"/>
            <w:vAlign w:val="center"/>
          </w:tcPr>
          <w:p w14:paraId="76F97707">
            <w:pPr>
              <w:pStyle w:val="41"/>
              <w:rPr>
                <w:rFonts w:hint="eastAsia"/>
              </w:rPr>
            </w:pPr>
          </w:p>
        </w:tc>
        <w:tc>
          <w:tcPr>
            <w:tcW w:w="160" w:type="pct"/>
            <w:vMerge w:val="continue"/>
            <w:shd w:val="clear" w:color="auto" w:fill="auto"/>
            <w:vAlign w:val="center"/>
          </w:tcPr>
          <w:p w14:paraId="5B5847BE">
            <w:pPr>
              <w:pStyle w:val="41"/>
              <w:rPr>
                <w:rFonts w:hint="eastAsia"/>
              </w:rPr>
            </w:pPr>
          </w:p>
        </w:tc>
        <w:tc>
          <w:tcPr>
            <w:tcW w:w="849" w:type="pct"/>
            <w:vMerge w:val="continue"/>
            <w:shd w:val="clear" w:color="auto" w:fill="auto"/>
            <w:vAlign w:val="center"/>
          </w:tcPr>
          <w:p w14:paraId="64C53C22">
            <w:pPr>
              <w:pStyle w:val="41"/>
              <w:rPr>
                <w:rFonts w:hint="eastAsia"/>
              </w:rPr>
            </w:pPr>
          </w:p>
        </w:tc>
        <w:tc>
          <w:tcPr>
            <w:tcW w:w="902" w:type="pct"/>
            <w:shd w:val="clear" w:color="auto" w:fill="auto"/>
            <w:vAlign w:val="center"/>
          </w:tcPr>
          <w:p w14:paraId="7DA0C4B5">
            <w:pPr>
              <w:pStyle w:val="41"/>
              <w:rPr>
                <w:rFonts w:hint="eastAsia"/>
              </w:rPr>
            </w:pPr>
            <w:r>
              <w:rPr>
                <w:rFonts w:hint="eastAsia"/>
              </w:rPr>
              <w:t>30.2重点查找老旧街区的闲置资源利用情况、服务设施配置、基础设施配置及功能活力提升等方面的问题和短板。老旧街区可参考各省（区、市）老旧小区、完整社区改造管理办法等确定。</w:t>
            </w:r>
          </w:p>
        </w:tc>
        <w:tc>
          <w:tcPr>
            <w:tcW w:w="1220" w:type="pct"/>
            <w:vMerge w:val="continue"/>
            <w:shd w:val="clear" w:color="auto" w:fill="auto"/>
            <w:vAlign w:val="center"/>
          </w:tcPr>
          <w:p w14:paraId="1BA74439">
            <w:pPr>
              <w:pStyle w:val="41"/>
              <w:rPr>
                <w:rFonts w:hint="eastAsia"/>
              </w:rPr>
            </w:pPr>
          </w:p>
        </w:tc>
        <w:tc>
          <w:tcPr>
            <w:tcW w:w="1351" w:type="pct"/>
            <w:vMerge w:val="continue"/>
            <w:shd w:val="clear" w:color="auto" w:fill="auto"/>
            <w:vAlign w:val="center"/>
          </w:tcPr>
          <w:p w14:paraId="7AF10AE8">
            <w:pPr>
              <w:pStyle w:val="41"/>
              <w:rPr>
                <w:rFonts w:hint="eastAsia"/>
              </w:rPr>
            </w:pPr>
          </w:p>
        </w:tc>
      </w:tr>
      <w:tr w14:paraId="7E897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2A4E6B3">
            <w:pPr>
              <w:pStyle w:val="41"/>
              <w:rPr>
                <w:rFonts w:hint="eastAsia"/>
              </w:rPr>
            </w:pPr>
          </w:p>
        </w:tc>
        <w:tc>
          <w:tcPr>
            <w:tcW w:w="196" w:type="pct"/>
            <w:vMerge w:val="continue"/>
            <w:shd w:val="clear" w:color="auto" w:fill="auto"/>
            <w:vAlign w:val="center"/>
          </w:tcPr>
          <w:p w14:paraId="0B33116F">
            <w:pPr>
              <w:pStyle w:val="41"/>
              <w:rPr>
                <w:rFonts w:hint="eastAsia"/>
              </w:rPr>
            </w:pPr>
          </w:p>
        </w:tc>
        <w:tc>
          <w:tcPr>
            <w:tcW w:w="160" w:type="pct"/>
            <w:vMerge w:val="continue"/>
            <w:shd w:val="clear" w:color="auto" w:fill="auto"/>
            <w:vAlign w:val="center"/>
          </w:tcPr>
          <w:p w14:paraId="41308FD7">
            <w:pPr>
              <w:pStyle w:val="41"/>
              <w:rPr>
                <w:rFonts w:hint="eastAsia"/>
              </w:rPr>
            </w:pPr>
          </w:p>
        </w:tc>
        <w:tc>
          <w:tcPr>
            <w:tcW w:w="849" w:type="pct"/>
            <w:vMerge w:val="continue"/>
            <w:shd w:val="clear" w:color="auto" w:fill="auto"/>
            <w:vAlign w:val="center"/>
          </w:tcPr>
          <w:p w14:paraId="7F0B04A2">
            <w:pPr>
              <w:pStyle w:val="41"/>
              <w:rPr>
                <w:rFonts w:hint="eastAsia"/>
              </w:rPr>
            </w:pPr>
          </w:p>
        </w:tc>
        <w:tc>
          <w:tcPr>
            <w:tcW w:w="902" w:type="pct"/>
            <w:shd w:val="clear" w:color="auto" w:fill="auto"/>
            <w:vAlign w:val="center"/>
          </w:tcPr>
          <w:p w14:paraId="64BDAE17">
            <w:pPr>
              <w:pStyle w:val="41"/>
              <w:rPr>
                <w:rFonts w:hint="eastAsia"/>
              </w:rPr>
            </w:pPr>
            <w:r>
              <w:rPr>
                <w:rFonts w:hint="eastAsia"/>
              </w:rPr>
              <w:t>30.3综合评估以确定本街区需要更新改造的老旧街区数量。</w:t>
            </w:r>
          </w:p>
        </w:tc>
        <w:tc>
          <w:tcPr>
            <w:tcW w:w="1220" w:type="pct"/>
            <w:vMerge w:val="continue"/>
            <w:shd w:val="clear" w:color="auto" w:fill="auto"/>
            <w:vAlign w:val="center"/>
          </w:tcPr>
          <w:p w14:paraId="5BCC9048">
            <w:pPr>
              <w:pStyle w:val="41"/>
              <w:rPr>
                <w:rFonts w:hint="eastAsia"/>
              </w:rPr>
            </w:pPr>
          </w:p>
        </w:tc>
        <w:tc>
          <w:tcPr>
            <w:tcW w:w="1351" w:type="pct"/>
            <w:vMerge w:val="continue"/>
            <w:shd w:val="clear" w:color="auto" w:fill="auto"/>
            <w:vAlign w:val="center"/>
          </w:tcPr>
          <w:p w14:paraId="51C7F186">
            <w:pPr>
              <w:pStyle w:val="41"/>
              <w:rPr>
                <w:rFonts w:hint="eastAsia"/>
              </w:rPr>
            </w:pPr>
          </w:p>
        </w:tc>
      </w:tr>
      <w:tr w14:paraId="40E5C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A23BCB2">
            <w:pPr>
              <w:pStyle w:val="41"/>
              <w:rPr>
                <w:rFonts w:hint="eastAsia"/>
              </w:rPr>
            </w:pPr>
          </w:p>
        </w:tc>
        <w:tc>
          <w:tcPr>
            <w:tcW w:w="196" w:type="pct"/>
            <w:vMerge w:val="continue"/>
            <w:shd w:val="clear" w:color="auto" w:fill="auto"/>
            <w:vAlign w:val="center"/>
          </w:tcPr>
          <w:p w14:paraId="480AE0E4">
            <w:pPr>
              <w:pStyle w:val="41"/>
              <w:rPr>
                <w:rFonts w:hint="eastAsia"/>
              </w:rPr>
            </w:pPr>
          </w:p>
        </w:tc>
        <w:tc>
          <w:tcPr>
            <w:tcW w:w="160" w:type="pct"/>
            <w:vMerge w:val="continue"/>
            <w:shd w:val="clear" w:color="auto" w:fill="auto"/>
            <w:vAlign w:val="center"/>
          </w:tcPr>
          <w:p w14:paraId="646257C7">
            <w:pPr>
              <w:pStyle w:val="41"/>
              <w:rPr>
                <w:rFonts w:hint="eastAsia"/>
              </w:rPr>
            </w:pPr>
          </w:p>
        </w:tc>
        <w:tc>
          <w:tcPr>
            <w:tcW w:w="849" w:type="pct"/>
            <w:vMerge w:val="continue"/>
            <w:shd w:val="clear" w:color="auto" w:fill="auto"/>
            <w:vAlign w:val="center"/>
          </w:tcPr>
          <w:p w14:paraId="2BCE5C0A">
            <w:pPr>
              <w:pStyle w:val="41"/>
              <w:rPr>
                <w:rFonts w:hint="eastAsia"/>
              </w:rPr>
            </w:pPr>
          </w:p>
        </w:tc>
        <w:tc>
          <w:tcPr>
            <w:tcW w:w="902" w:type="pct"/>
            <w:shd w:val="clear" w:color="auto" w:fill="auto"/>
            <w:vAlign w:val="center"/>
          </w:tcPr>
          <w:p w14:paraId="26ADB0F1">
            <w:pPr>
              <w:pStyle w:val="41"/>
              <w:rPr>
                <w:rFonts w:hint="eastAsia"/>
              </w:rPr>
            </w:pPr>
            <w:r>
              <w:rPr>
                <w:rFonts w:hint="eastAsia"/>
              </w:rPr>
              <w:t>30.4结合本地实际情况并根据老旧小区、完整社区、历史街区等需求进一步细化确定具体体检细则。</w:t>
            </w:r>
          </w:p>
        </w:tc>
        <w:tc>
          <w:tcPr>
            <w:tcW w:w="1220" w:type="pct"/>
            <w:vMerge w:val="continue"/>
            <w:shd w:val="clear" w:color="auto" w:fill="auto"/>
            <w:vAlign w:val="center"/>
          </w:tcPr>
          <w:p w14:paraId="7069E810">
            <w:pPr>
              <w:pStyle w:val="41"/>
              <w:rPr>
                <w:rFonts w:hint="eastAsia"/>
              </w:rPr>
            </w:pPr>
          </w:p>
        </w:tc>
        <w:tc>
          <w:tcPr>
            <w:tcW w:w="1351" w:type="pct"/>
            <w:vMerge w:val="continue"/>
            <w:shd w:val="clear" w:color="auto" w:fill="auto"/>
            <w:vAlign w:val="center"/>
          </w:tcPr>
          <w:p w14:paraId="29F897D6">
            <w:pPr>
              <w:pStyle w:val="41"/>
              <w:rPr>
                <w:rFonts w:hint="eastAsia"/>
              </w:rPr>
            </w:pPr>
          </w:p>
        </w:tc>
      </w:tr>
      <w:tr w14:paraId="48D4D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restart"/>
            <w:shd w:val="clear" w:color="auto" w:fill="auto"/>
            <w:vAlign w:val="center"/>
          </w:tcPr>
          <w:p w14:paraId="4A229240">
            <w:pPr>
              <w:pStyle w:val="41"/>
              <w:rPr>
                <w:rFonts w:hint="eastAsia"/>
              </w:rPr>
            </w:pPr>
            <w:r>
              <w:rPr>
                <w:rFonts w:hint="eastAsia"/>
              </w:rPr>
              <w:t>城区（城市）</w:t>
            </w:r>
          </w:p>
        </w:tc>
        <w:tc>
          <w:tcPr>
            <w:tcW w:w="196" w:type="pct"/>
            <w:vMerge w:val="restart"/>
            <w:shd w:val="clear" w:color="auto" w:fill="auto"/>
            <w:vAlign w:val="center"/>
          </w:tcPr>
          <w:p w14:paraId="2B516F8D">
            <w:pPr>
              <w:pStyle w:val="41"/>
              <w:rPr>
                <w:rFonts w:hint="eastAsia"/>
              </w:rPr>
            </w:pPr>
            <w:r>
              <w:rPr>
                <w:rFonts w:hint="eastAsia"/>
              </w:rPr>
              <w:t>生态宜居</w:t>
            </w:r>
          </w:p>
        </w:tc>
        <w:tc>
          <w:tcPr>
            <w:tcW w:w="160" w:type="pct"/>
            <w:vMerge w:val="restart"/>
            <w:shd w:val="clear" w:color="auto" w:fill="auto"/>
            <w:vAlign w:val="center"/>
          </w:tcPr>
          <w:p w14:paraId="6E3146F1">
            <w:pPr>
              <w:pStyle w:val="41"/>
              <w:rPr>
                <w:rFonts w:hint="eastAsia"/>
              </w:rPr>
            </w:pPr>
            <w:r>
              <w:rPr>
                <w:rFonts w:hint="eastAsia"/>
              </w:rPr>
              <w:t>31</w:t>
            </w:r>
          </w:p>
        </w:tc>
        <w:tc>
          <w:tcPr>
            <w:tcW w:w="849" w:type="pct"/>
            <w:vMerge w:val="restart"/>
            <w:shd w:val="clear" w:color="auto" w:fill="auto"/>
            <w:vAlign w:val="center"/>
          </w:tcPr>
          <w:p w14:paraId="737B79C4">
            <w:pPr>
              <w:pStyle w:val="41"/>
              <w:rPr>
                <w:rFonts w:hint="eastAsia"/>
              </w:rPr>
            </w:pPr>
            <w:r>
              <w:rPr>
                <w:rFonts w:hint="eastAsia"/>
              </w:rPr>
              <w:t>城市生活污水集中收集率（%）</w:t>
            </w:r>
          </w:p>
        </w:tc>
        <w:tc>
          <w:tcPr>
            <w:tcW w:w="902" w:type="pct"/>
            <w:shd w:val="clear" w:color="auto" w:fill="auto"/>
            <w:vAlign w:val="center"/>
          </w:tcPr>
          <w:p w14:paraId="62FB5BE5">
            <w:pPr>
              <w:pStyle w:val="41"/>
              <w:rPr>
                <w:rFonts w:hint="eastAsia"/>
              </w:rPr>
            </w:pPr>
            <w:r>
              <w:rPr>
                <w:rFonts w:hint="eastAsia"/>
              </w:rPr>
              <w:t>31.1污水处理厂进水量</w:t>
            </w:r>
          </w:p>
        </w:tc>
        <w:tc>
          <w:tcPr>
            <w:tcW w:w="1220" w:type="pct"/>
            <w:vMerge w:val="restart"/>
            <w:shd w:val="clear" w:color="auto" w:fill="auto"/>
            <w:vAlign w:val="center"/>
          </w:tcPr>
          <w:p w14:paraId="60015E98">
            <w:pPr>
              <w:pStyle w:val="41"/>
              <w:rPr>
                <w:rFonts w:hint="eastAsia"/>
              </w:rPr>
            </w:pPr>
            <w:r>
              <w:rPr>
                <w:rFonts w:hint="eastAsia"/>
              </w:rPr>
              <w:t>按照城市生活污水集中收集率达到70%的目标，调查分析影响生活污水集中收集效能的各种因素，查找城市污水收集管网建设改造、运维等方面的差距和问题。</w:t>
            </w:r>
          </w:p>
        </w:tc>
        <w:tc>
          <w:tcPr>
            <w:tcW w:w="1351" w:type="pct"/>
            <w:vMerge w:val="restart"/>
            <w:shd w:val="clear" w:color="auto" w:fill="auto"/>
            <w:vAlign w:val="center"/>
          </w:tcPr>
          <w:p w14:paraId="2F96D778">
            <w:pPr>
              <w:pStyle w:val="41"/>
              <w:rPr>
                <w:rFonts w:hint="eastAsia"/>
              </w:rPr>
            </w:pPr>
            <w:r>
              <w:rPr>
                <w:rFonts w:hint="eastAsia"/>
              </w:rPr>
              <w:t>市城管局、行业部门调查统计数据</w:t>
            </w:r>
          </w:p>
        </w:tc>
      </w:tr>
      <w:tr w14:paraId="4DDE3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99A80B5">
            <w:pPr>
              <w:pStyle w:val="41"/>
              <w:rPr>
                <w:rFonts w:hint="eastAsia"/>
              </w:rPr>
            </w:pPr>
          </w:p>
        </w:tc>
        <w:tc>
          <w:tcPr>
            <w:tcW w:w="196" w:type="pct"/>
            <w:vMerge w:val="continue"/>
            <w:shd w:val="clear" w:color="auto" w:fill="auto"/>
            <w:vAlign w:val="center"/>
          </w:tcPr>
          <w:p w14:paraId="2748734D">
            <w:pPr>
              <w:pStyle w:val="41"/>
              <w:rPr>
                <w:rFonts w:hint="eastAsia"/>
              </w:rPr>
            </w:pPr>
          </w:p>
        </w:tc>
        <w:tc>
          <w:tcPr>
            <w:tcW w:w="160" w:type="pct"/>
            <w:vMerge w:val="continue"/>
            <w:shd w:val="clear" w:color="auto" w:fill="auto"/>
            <w:vAlign w:val="center"/>
          </w:tcPr>
          <w:p w14:paraId="217C18C2">
            <w:pPr>
              <w:pStyle w:val="41"/>
              <w:rPr>
                <w:rFonts w:hint="eastAsia"/>
              </w:rPr>
            </w:pPr>
          </w:p>
        </w:tc>
        <w:tc>
          <w:tcPr>
            <w:tcW w:w="849" w:type="pct"/>
            <w:vMerge w:val="continue"/>
            <w:shd w:val="clear" w:color="auto" w:fill="auto"/>
            <w:vAlign w:val="center"/>
          </w:tcPr>
          <w:p w14:paraId="30CE7E67">
            <w:pPr>
              <w:pStyle w:val="41"/>
              <w:rPr>
                <w:rFonts w:hint="eastAsia"/>
              </w:rPr>
            </w:pPr>
          </w:p>
        </w:tc>
        <w:tc>
          <w:tcPr>
            <w:tcW w:w="902" w:type="pct"/>
            <w:shd w:val="clear" w:color="auto" w:fill="auto"/>
            <w:vAlign w:val="center"/>
          </w:tcPr>
          <w:p w14:paraId="7CD40A88">
            <w:pPr>
              <w:pStyle w:val="41"/>
              <w:rPr>
                <w:rFonts w:hint="eastAsia"/>
              </w:rPr>
            </w:pPr>
            <w:r>
              <w:rPr>
                <w:rFonts w:hint="eastAsia"/>
              </w:rPr>
              <w:t>31.2污水处理厂进厂的生活污染物浓度</w:t>
            </w:r>
          </w:p>
        </w:tc>
        <w:tc>
          <w:tcPr>
            <w:tcW w:w="1220" w:type="pct"/>
            <w:vMerge w:val="continue"/>
            <w:shd w:val="clear" w:color="auto" w:fill="auto"/>
            <w:vAlign w:val="center"/>
          </w:tcPr>
          <w:p w14:paraId="6DA510CB">
            <w:pPr>
              <w:pStyle w:val="41"/>
              <w:rPr>
                <w:rFonts w:hint="eastAsia"/>
              </w:rPr>
            </w:pPr>
          </w:p>
        </w:tc>
        <w:tc>
          <w:tcPr>
            <w:tcW w:w="1351" w:type="pct"/>
            <w:vMerge w:val="continue"/>
            <w:shd w:val="clear" w:color="auto" w:fill="auto"/>
            <w:vAlign w:val="center"/>
          </w:tcPr>
          <w:p w14:paraId="708232A8">
            <w:pPr>
              <w:pStyle w:val="41"/>
              <w:rPr>
                <w:rFonts w:hint="eastAsia"/>
              </w:rPr>
            </w:pPr>
          </w:p>
        </w:tc>
      </w:tr>
      <w:tr w14:paraId="1AFA2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18C9B2B">
            <w:pPr>
              <w:pStyle w:val="41"/>
              <w:rPr>
                <w:rFonts w:hint="eastAsia"/>
              </w:rPr>
            </w:pPr>
          </w:p>
        </w:tc>
        <w:tc>
          <w:tcPr>
            <w:tcW w:w="196" w:type="pct"/>
            <w:vMerge w:val="continue"/>
            <w:shd w:val="clear" w:color="auto" w:fill="auto"/>
            <w:vAlign w:val="center"/>
          </w:tcPr>
          <w:p w14:paraId="6A29AFF6">
            <w:pPr>
              <w:pStyle w:val="41"/>
              <w:rPr>
                <w:rFonts w:hint="eastAsia"/>
              </w:rPr>
            </w:pPr>
          </w:p>
        </w:tc>
        <w:tc>
          <w:tcPr>
            <w:tcW w:w="160" w:type="pct"/>
            <w:vMerge w:val="continue"/>
            <w:shd w:val="clear" w:color="auto" w:fill="auto"/>
            <w:vAlign w:val="center"/>
          </w:tcPr>
          <w:p w14:paraId="5C506D6C">
            <w:pPr>
              <w:pStyle w:val="41"/>
              <w:rPr>
                <w:rFonts w:hint="eastAsia"/>
              </w:rPr>
            </w:pPr>
          </w:p>
        </w:tc>
        <w:tc>
          <w:tcPr>
            <w:tcW w:w="849" w:type="pct"/>
            <w:vMerge w:val="continue"/>
            <w:shd w:val="clear" w:color="auto" w:fill="auto"/>
            <w:vAlign w:val="center"/>
          </w:tcPr>
          <w:p w14:paraId="1482A825">
            <w:pPr>
              <w:pStyle w:val="41"/>
              <w:rPr>
                <w:rFonts w:hint="eastAsia"/>
              </w:rPr>
            </w:pPr>
          </w:p>
        </w:tc>
        <w:tc>
          <w:tcPr>
            <w:tcW w:w="902" w:type="pct"/>
            <w:shd w:val="clear" w:color="auto" w:fill="auto"/>
            <w:vAlign w:val="center"/>
          </w:tcPr>
          <w:p w14:paraId="73795A19">
            <w:pPr>
              <w:pStyle w:val="41"/>
              <w:rPr>
                <w:rFonts w:hint="eastAsia"/>
              </w:rPr>
            </w:pPr>
            <w:r>
              <w:rPr>
                <w:rFonts w:hint="eastAsia"/>
              </w:rPr>
              <w:t>31.3城区用水总人口</w:t>
            </w:r>
          </w:p>
        </w:tc>
        <w:tc>
          <w:tcPr>
            <w:tcW w:w="1220" w:type="pct"/>
            <w:vMerge w:val="continue"/>
            <w:shd w:val="clear" w:color="auto" w:fill="auto"/>
            <w:vAlign w:val="center"/>
          </w:tcPr>
          <w:p w14:paraId="118255F0">
            <w:pPr>
              <w:pStyle w:val="41"/>
              <w:rPr>
                <w:rFonts w:hint="eastAsia"/>
              </w:rPr>
            </w:pPr>
          </w:p>
        </w:tc>
        <w:tc>
          <w:tcPr>
            <w:tcW w:w="1351" w:type="pct"/>
            <w:vMerge w:val="continue"/>
            <w:shd w:val="clear" w:color="auto" w:fill="auto"/>
            <w:vAlign w:val="center"/>
          </w:tcPr>
          <w:p w14:paraId="50279E8B">
            <w:pPr>
              <w:pStyle w:val="41"/>
              <w:rPr>
                <w:rFonts w:hint="eastAsia"/>
              </w:rPr>
            </w:pPr>
          </w:p>
        </w:tc>
      </w:tr>
      <w:tr w14:paraId="20CC2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A23F3CD">
            <w:pPr>
              <w:pStyle w:val="41"/>
              <w:rPr>
                <w:rFonts w:hint="eastAsia"/>
              </w:rPr>
            </w:pPr>
          </w:p>
        </w:tc>
        <w:tc>
          <w:tcPr>
            <w:tcW w:w="196" w:type="pct"/>
            <w:vMerge w:val="continue"/>
            <w:shd w:val="clear" w:color="auto" w:fill="auto"/>
            <w:vAlign w:val="center"/>
          </w:tcPr>
          <w:p w14:paraId="204CB905">
            <w:pPr>
              <w:pStyle w:val="41"/>
              <w:rPr>
                <w:rFonts w:hint="eastAsia"/>
              </w:rPr>
            </w:pPr>
          </w:p>
        </w:tc>
        <w:tc>
          <w:tcPr>
            <w:tcW w:w="160" w:type="pct"/>
            <w:vMerge w:val="continue"/>
            <w:shd w:val="clear" w:color="auto" w:fill="auto"/>
            <w:vAlign w:val="center"/>
          </w:tcPr>
          <w:p w14:paraId="3A62BB79">
            <w:pPr>
              <w:pStyle w:val="41"/>
              <w:rPr>
                <w:rFonts w:hint="eastAsia"/>
              </w:rPr>
            </w:pPr>
          </w:p>
        </w:tc>
        <w:tc>
          <w:tcPr>
            <w:tcW w:w="849" w:type="pct"/>
            <w:vMerge w:val="continue"/>
            <w:shd w:val="clear" w:color="auto" w:fill="auto"/>
            <w:vAlign w:val="center"/>
          </w:tcPr>
          <w:p w14:paraId="78BEF5CF">
            <w:pPr>
              <w:pStyle w:val="41"/>
              <w:rPr>
                <w:rFonts w:hint="eastAsia"/>
              </w:rPr>
            </w:pPr>
          </w:p>
        </w:tc>
        <w:tc>
          <w:tcPr>
            <w:tcW w:w="902" w:type="pct"/>
            <w:shd w:val="clear" w:color="auto" w:fill="auto"/>
            <w:vAlign w:val="center"/>
          </w:tcPr>
          <w:p w14:paraId="50E8F2C5">
            <w:pPr>
              <w:pStyle w:val="41"/>
              <w:rPr>
                <w:rFonts w:hint="eastAsia"/>
              </w:rPr>
            </w:pPr>
            <w:r>
              <w:rPr>
                <w:rFonts w:hint="eastAsia"/>
              </w:rPr>
              <w:t>31.4人均日生活污染物排放量</w:t>
            </w:r>
          </w:p>
        </w:tc>
        <w:tc>
          <w:tcPr>
            <w:tcW w:w="1220" w:type="pct"/>
            <w:vMerge w:val="continue"/>
            <w:shd w:val="clear" w:color="auto" w:fill="auto"/>
            <w:vAlign w:val="center"/>
          </w:tcPr>
          <w:p w14:paraId="13B6510D">
            <w:pPr>
              <w:pStyle w:val="41"/>
              <w:rPr>
                <w:rFonts w:hint="eastAsia"/>
              </w:rPr>
            </w:pPr>
          </w:p>
        </w:tc>
        <w:tc>
          <w:tcPr>
            <w:tcW w:w="1351" w:type="pct"/>
            <w:vMerge w:val="continue"/>
            <w:shd w:val="clear" w:color="auto" w:fill="auto"/>
            <w:vAlign w:val="center"/>
          </w:tcPr>
          <w:p w14:paraId="54501F43">
            <w:pPr>
              <w:pStyle w:val="41"/>
              <w:rPr>
                <w:rFonts w:hint="eastAsia"/>
              </w:rPr>
            </w:pPr>
          </w:p>
        </w:tc>
      </w:tr>
      <w:tr w14:paraId="064D7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335DF50">
            <w:pPr>
              <w:pStyle w:val="41"/>
              <w:rPr>
                <w:rFonts w:hint="eastAsia"/>
              </w:rPr>
            </w:pPr>
          </w:p>
        </w:tc>
        <w:tc>
          <w:tcPr>
            <w:tcW w:w="196" w:type="pct"/>
            <w:vMerge w:val="continue"/>
            <w:shd w:val="clear" w:color="auto" w:fill="auto"/>
            <w:vAlign w:val="center"/>
          </w:tcPr>
          <w:p w14:paraId="54C4E43E">
            <w:pPr>
              <w:pStyle w:val="41"/>
              <w:rPr>
                <w:rFonts w:hint="eastAsia"/>
              </w:rPr>
            </w:pPr>
          </w:p>
        </w:tc>
        <w:tc>
          <w:tcPr>
            <w:tcW w:w="160" w:type="pct"/>
            <w:shd w:val="clear" w:color="auto" w:fill="auto"/>
            <w:vAlign w:val="center"/>
          </w:tcPr>
          <w:p w14:paraId="2074F2BF">
            <w:pPr>
              <w:pStyle w:val="41"/>
              <w:rPr>
                <w:rFonts w:hint="eastAsia"/>
              </w:rPr>
            </w:pPr>
            <w:r>
              <w:rPr>
                <w:rFonts w:hint="eastAsia"/>
              </w:rPr>
              <w:t>32</w:t>
            </w:r>
          </w:p>
        </w:tc>
        <w:tc>
          <w:tcPr>
            <w:tcW w:w="849" w:type="pct"/>
            <w:shd w:val="clear" w:color="auto" w:fill="auto"/>
            <w:vAlign w:val="center"/>
          </w:tcPr>
          <w:p w14:paraId="41914328">
            <w:pPr>
              <w:pStyle w:val="41"/>
              <w:rPr>
                <w:rFonts w:hint="eastAsia"/>
              </w:rPr>
            </w:pPr>
            <w:r>
              <w:rPr>
                <w:rFonts w:hint="eastAsia"/>
              </w:rPr>
              <w:t>☆</w:t>
            </w:r>
            <w:r>
              <w:t>城市黑臭水体数量（个）</w:t>
            </w:r>
          </w:p>
        </w:tc>
        <w:tc>
          <w:tcPr>
            <w:tcW w:w="902" w:type="pct"/>
            <w:shd w:val="clear" w:color="auto" w:fill="auto"/>
            <w:vAlign w:val="center"/>
          </w:tcPr>
          <w:p w14:paraId="7CCA3117">
            <w:pPr>
              <w:pStyle w:val="41"/>
              <w:rPr>
                <w:rFonts w:hint="eastAsia"/>
              </w:rPr>
            </w:pPr>
            <w:r>
              <w:rPr>
                <w:rFonts w:hint="eastAsia"/>
              </w:rPr>
              <w:t>计算单元为建成区，由各市辖区统计建成区内现存黑臭水体数量汇总。</w:t>
            </w:r>
          </w:p>
        </w:tc>
        <w:tc>
          <w:tcPr>
            <w:tcW w:w="1220" w:type="pct"/>
            <w:shd w:val="clear" w:color="auto" w:fill="auto"/>
            <w:vAlign w:val="center"/>
          </w:tcPr>
          <w:p w14:paraId="73CA3E35">
            <w:pPr>
              <w:pStyle w:val="41"/>
              <w:rPr>
                <w:rFonts w:hint="eastAsia"/>
              </w:rPr>
            </w:pPr>
            <w:r>
              <w:rPr>
                <w:rFonts w:hint="eastAsia"/>
              </w:rPr>
              <w:t>按照深入打好城市黑臭水体治理攻坚战的要求，调查市辖区建成区内现存黑臭水体（包括返黑黑臭水体）数量。</w:t>
            </w:r>
          </w:p>
        </w:tc>
        <w:tc>
          <w:tcPr>
            <w:tcW w:w="1351" w:type="pct"/>
            <w:shd w:val="clear" w:color="auto" w:fill="auto"/>
            <w:vAlign w:val="center"/>
          </w:tcPr>
          <w:p w14:paraId="30C16506">
            <w:pPr>
              <w:pStyle w:val="41"/>
              <w:rPr>
                <w:rFonts w:hint="eastAsia"/>
              </w:rPr>
            </w:pPr>
            <w:r>
              <w:rPr>
                <w:rFonts w:hint="eastAsia"/>
              </w:rPr>
              <w:t>市城管局、市生态环境局、行业部门调查统计数据</w:t>
            </w:r>
          </w:p>
        </w:tc>
      </w:tr>
      <w:tr w14:paraId="45736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490D781">
            <w:pPr>
              <w:pStyle w:val="41"/>
              <w:rPr>
                <w:rFonts w:hint="eastAsia"/>
              </w:rPr>
            </w:pPr>
          </w:p>
        </w:tc>
        <w:tc>
          <w:tcPr>
            <w:tcW w:w="196" w:type="pct"/>
            <w:vMerge w:val="continue"/>
            <w:shd w:val="clear" w:color="auto" w:fill="auto"/>
            <w:vAlign w:val="center"/>
          </w:tcPr>
          <w:p w14:paraId="23A850E6">
            <w:pPr>
              <w:pStyle w:val="41"/>
              <w:rPr>
                <w:rFonts w:hint="eastAsia"/>
              </w:rPr>
            </w:pPr>
          </w:p>
        </w:tc>
        <w:tc>
          <w:tcPr>
            <w:tcW w:w="160" w:type="pct"/>
            <w:vMerge w:val="restart"/>
            <w:shd w:val="clear" w:color="auto" w:fill="auto"/>
            <w:vAlign w:val="center"/>
          </w:tcPr>
          <w:p w14:paraId="0B3443A7">
            <w:pPr>
              <w:pStyle w:val="41"/>
              <w:rPr>
                <w:rFonts w:hint="eastAsia"/>
              </w:rPr>
            </w:pPr>
            <w:r>
              <w:rPr>
                <w:rFonts w:hint="eastAsia"/>
              </w:rPr>
              <w:t>33</w:t>
            </w:r>
          </w:p>
        </w:tc>
        <w:tc>
          <w:tcPr>
            <w:tcW w:w="849" w:type="pct"/>
            <w:vMerge w:val="restart"/>
            <w:shd w:val="clear" w:color="auto" w:fill="auto"/>
            <w:vAlign w:val="center"/>
          </w:tcPr>
          <w:p w14:paraId="6F1404B4">
            <w:pPr>
              <w:pStyle w:val="41"/>
              <w:rPr>
                <w:rFonts w:hint="eastAsia"/>
              </w:rPr>
            </w:pPr>
            <w:r>
              <w:rPr>
                <w:rFonts w:hint="eastAsia"/>
              </w:rPr>
              <w:t>城市绿道服务半径覆盖率（%）</w:t>
            </w:r>
          </w:p>
        </w:tc>
        <w:tc>
          <w:tcPr>
            <w:tcW w:w="902" w:type="pct"/>
            <w:shd w:val="clear" w:color="auto" w:fill="auto"/>
            <w:vAlign w:val="center"/>
          </w:tcPr>
          <w:p w14:paraId="6E055F94">
            <w:pPr>
              <w:pStyle w:val="41"/>
              <w:rPr>
                <w:rFonts w:hint="eastAsia"/>
              </w:rPr>
            </w:pPr>
            <w:r>
              <w:rPr>
                <w:rFonts w:hint="eastAsia"/>
              </w:rPr>
              <w:t>33.1城市绿道1千米半径（步行15分钟或骑行5分钟）覆盖的市辖区建成区居住用地面积</w:t>
            </w:r>
          </w:p>
        </w:tc>
        <w:tc>
          <w:tcPr>
            <w:tcW w:w="1220" w:type="pct"/>
            <w:vMerge w:val="restart"/>
            <w:shd w:val="clear" w:color="auto" w:fill="auto"/>
            <w:vAlign w:val="center"/>
          </w:tcPr>
          <w:p w14:paraId="5F30AA13">
            <w:pPr>
              <w:pStyle w:val="41"/>
              <w:rPr>
                <w:rFonts w:hint="eastAsia"/>
              </w:rPr>
            </w:pPr>
            <w:r>
              <w:rPr>
                <w:rFonts w:hint="eastAsia"/>
              </w:rPr>
              <w:t>按照绿道服务半径覆盖率不低于70%的目标，调查分析市辖区建成区内绿道两侧1公里服务半径覆盖的居住用地面积，占总居住用地面积的百分比，查找城市绿道长度、布局、贯通性、建设品质等方面的差距和问题。</w:t>
            </w:r>
          </w:p>
        </w:tc>
        <w:tc>
          <w:tcPr>
            <w:tcW w:w="1351" w:type="pct"/>
            <w:vMerge w:val="restart"/>
            <w:shd w:val="clear" w:color="auto" w:fill="auto"/>
            <w:vAlign w:val="center"/>
          </w:tcPr>
          <w:p w14:paraId="68F977BC">
            <w:pPr>
              <w:pStyle w:val="41"/>
              <w:rPr>
                <w:rFonts w:hint="eastAsia"/>
              </w:rPr>
            </w:pPr>
            <w:r>
              <w:rPr>
                <w:rFonts w:hint="eastAsia"/>
              </w:rPr>
              <w:t>市城管局、官方统计数据、行业部门调查统计数据</w:t>
            </w:r>
          </w:p>
        </w:tc>
      </w:tr>
      <w:tr w14:paraId="4D50E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7A407AD">
            <w:pPr>
              <w:pStyle w:val="41"/>
              <w:rPr>
                <w:rFonts w:hint="eastAsia"/>
              </w:rPr>
            </w:pPr>
          </w:p>
        </w:tc>
        <w:tc>
          <w:tcPr>
            <w:tcW w:w="196" w:type="pct"/>
            <w:vMerge w:val="continue"/>
            <w:shd w:val="clear" w:color="auto" w:fill="auto"/>
            <w:vAlign w:val="center"/>
          </w:tcPr>
          <w:p w14:paraId="6AC77B6B">
            <w:pPr>
              <w:pStyle w:val="41"/>
              <w:rPr>
                <w:rFonts w:hint="eastAsia"/>
              </w:rPr>
            </w:pPr>
          </w:p>
        </w:tc>
        <w:tc>
          <w:tcPr>
            <w:tcW w:w="160" w:type="pct"/>
            <w:vMerge w:val="continue"/>
            <w:shd w:val="clear" w:color="auto" w:fill="auto"/>
            <w:vAlign w:val="center"/>
          </w:tcPr>
          <w:p w14:paraId="01D6B694">
            <w:pPr>
              <w:pStyle w:val="41"/>
              <w:rPr>
                <w:rFonts w:hint="eastAsia"/>
              </w:rPr>
            </w:pPr>
          </w:p>
        </w:tc>
        <w:tc>
          <w:tcPr>
            <w:tcW w:w="849" w:type="pct"/>
            <w:vMerge w:val="continue"/>
            <w:shd w:val="clear" w:color="auto" w:fill="auto"/>
            <w:vAlign w:val="center"/>
          </w:tcPr>
          <w:p w14:paraId="2527053D">
            <w:pPr>
              <w:pStyle w:val="41"/>
              <w:rPr>
                <w:rFonts w:hint="eastAsia"/>
              </w:rPr>
            </w:pPr>
          </w:p>
        </w:tc>
        <w:tc>
          <w:tcPr>
            <w:tcW w:w="902" w:type="pct"/>
            <w:shd w:val="clear" w:color="auto" w:fill="auto"/>
            <w:vAlign w:val="center"/>
          </w:tcPr>
          <w:p w14:paraId="6500B4DA">
            <w:pPr>
              <w:pStyle w:val="41"/>
              <w:rPr>
                <w:rFonts w:hint="eastAsia"/>
              </w:rPr>
            </w:pPr>
            <w:r>
              <w:rPr>
                <w:rFonts w:hint="eastAsia"/>
              </w:rPr>
              <w:t>33.2市辖区建成区总居住用地面积</w:t>
            </w:r>
          </w:p>
        </w:tc>
        <w:tc>
          <w:tcPr>
            <w:tcW w:w="1220" w:type="pct"/>
            <w:vMerge w:val="continue"/>
            <w:shd w:val="clear" w:color="auto" w:fill="auto"/>
            <w:vAlign w:val="center"/>
          </w:tcPr>
          <w:p w14:paraId="6726E8CF">
            <w:pPr>
              <w:pStyle w:val="41"/>
              <w:rPr>
                <w:rFonts w:hint="eastAsia"/>
              </w:rPr>
            </w:pPr>
          </w:p>
        </w:tc>
        <w:tc>
          <w:tcPr>
            <w:tcW w:w="1351" w:type="pct"/>
            <w:vMerge w:val="continue"/>
            <w:shd w:val="clear" w:color="auto" w:fill="auto"/>
            <w:vAlign w:val="center"/>
          </w:tcPr>
          <w:p w14:paraId="5ABE3054">
            <w:pPr>
              <w:pStyle w:val="41"/>
              <w:rPr>
                <w:rFonts w:hint="eastAsia"/>
              </w:rPr>
            </w:pPr>
          </w:p>
        </w:tc>
      </w:tr>
      <w:tr w14:paraId="718A5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484E02B">
            <w:pPr>
              <w:pStyle w:val="41"/>
              <w:rPr>
                <w:rFonts w:hint="eastAsia"/>
              </w:rPr>
            </w:pPr>
          </w:p>
        </w:tc>
        <w:tc>
          <w:tcPr>
            <w:tcW w:w="196" w:type="pct"/>
            <w:vMerge w:val="continue"/>
            <w:shd w:val="clear" w:color="auto" w:fill="auto"/>
            <w:vAlign w:val="center"/>
          </w:tcPr>
          <w:p w14:paraId="6898A7F0">
            <w:pPr>
              <w:pStyle w:val="41"/>
              <w:rPr>
                <w:rFonts w:hint="eastAsia"/>
              </w:rPr>
            </w:pPr>
          </w:p>
        </w:tc>
        <w:tc>
          <w:tcPr>
            <w:tcW w:w="160" w:type="pct"/>
            <w:vMerge w:val="restart"/>
            <w:shd w:val="clear" w:color="auto" w:fill="auto"/>
            <w:vAlign w:val="center"/>
          </w:tcPr>
          <w:p w14:paraId="436F859E">
            <w:pPr>
              <w:pStyle w:val="41"/>
              <w:rPr>
                <w:rFonts w:hint="eastAsia"/>
              </w:rPr>
            </w:pPr>
            <w:r>
              <w:rPr>
                <w:rFonts w:hint="eastAsia"/>
              </w:rPr>
              <w:t>34</w:t>
            </w:r>
          </w:p>
        </w:tc>
        <w:tc>
          <w:tcPr>
            <w:tcW w:w="849" w:type="pct"/>
            <w:vMerge w:val="restart"/>
            <w:shd w:val="clear" w:color="auto" w:fill="auto"/>
            <w:vAlign w:val="center"/>
          </w:tcPr>
          <w:p w14:paraId="2865D9AA">
            <w:pPr>
              <w:pStyle w:val="41"/>
              <w:rPr>
                <w:rFonts w:hint="eastAsia"/>
              </w:rPr>
            </w:pPr>
            <w:r>
              <w:rPr>
                <w:rFonts w:hint="eastAsia"/>
              </w:rPr>
              <w:t>人均体育场地面积（平方米/人）</w:t>
            </w:r>
          </w:p>
        </w:tc>
        <w:tc>
          <w:tcPr>
            <w:tcW w:w="902" w:type="pct"/>
            <w:shd w:val="clear" w:color="auto" w:fill="auto"/>
            <w:vAlign w:val="center"/>
          </w:tcPr>
          <w:p w14:paraId="665C0B5F">
            <w:pPr>
              <w:pStyle w:val="41"/>
              <w:rPr>
                <w:rFonts w:hint="eastAsia"/>
              </w:rPr>
            </w:pPr>
            <w:r>
              <w:rPr>
                <w:rFonts w:hint="eastAsia"/>
              </w:rPr>
              <w:t>34.1市辖区建成区内体育健身场地总面积</w:t>
            </w:r>
          </w:p>
        </w:tc>
        <w:tc>
          <w:tcPr>
            <w:tcW w:w="1220" w:type="pct"/>
            <w:vMerge w:val="restart"/>
            <w:shd w:val="clear" w:color="auto" w:fill="auto"/>
            <w:vAlign w:val="center"/>
          </w:tcPr>
          <w:p w14:paraId="742D39B0">
            <w:pPr>
              <w:pStyle w:val="41"/>
              <w:rPr>
                <w:rFonts w:hint="eastAsia"/>
              </w:rPr>
            </w:pPr>
            <w:r>
              <w:rPr>
                <w:rFonts w:hint="eastAsia"/>
              </w:rPr>
              <w:t>按照人均体育场地面积不低于2.6平方米的目标，调查市辖区建成区内常住人口人均拥有的体育场地面积情况，查找城市体育场地、健身设施等方面的差距和问题。</w:t>
            </w:r>
          </w:p>
        </w:tc>
        <w:tc>
          <w:tcPr>
            <w:tcW w:w="1351" w:type="pct"/>
            <w:vMerge w:val="restart"/>
            <w:shd w:val="clear" w:color="auto" w:fill="auto"/>
            <w:vAlign w:val="center"/>
          </w:tcPr>
          <w:p w14:paraId="060B10A6">
            <w:pPr>
              <w:pStyle w:val="41"/>
              <w:rPr>
                <w:rFonts w:hint="eastAsia"/>
              </w:rPr>
            </w:pPr>
            <w:r>
              <w:rPr>
                <w:rFonts w:hint="eastAsia"/>
              </w:rPr>
              <w:t>市体育局、官方统计数据、行业部门调查统计数据</w:t>
            </w:r>
          </w:p>
        </w:tc>
      </w:tr>
      <w:tr w14:paraId="24A38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319" w:type="pct"/>
            <w:vMerge w:val="continue"/>
            <w:shd w:val="clear" w:color="auto" w:fill="auto"/>
            <w:vAlign w:val="center"/>
          </w:tcPr>
          <w:p w14:paraId="6481C892">
            <w:pPr>
              <w:pStyle w:val="41"/>
              <w:rPr>
                <w:rFonts w:hint="eastAsia"/>
              </w:rPr>
            </w:pPr>
          </w:p>
        </w:tc>
        <w:tc>
          <w:tcPr>
            <w:tcW w:w="196" w:type="pct"/>
            <w:vMerge w:val="continue"/>
            <w:shd w:val="clear" w:color="auto" w:fill="auto"/>
            <w:vAlign w:val="center"/>
          </w:tcPr>
          <w:p w14:paraId="61F8632D">
            <w:pPr>
              <w:pStyle w:val="41"/>
              <w:rPr>
                <w:rFonts w:hint="eastAsia"/>
              </w:rPr>
            </w:pPr>
          </w:p>
        </w:tc>
        <w:tc>
          <w:tcPr>
            <w:tcW w:w="160" w:type="pct"/>
            <w:vMerge w:val="continue"/>
            <w:shd w:val="clear" w:color="auto" w:fill="auto"/>
            <w:vAlign w:val="center"/>
          </w:tcPr>
          <w:p w14:paraId="1101A2E5">
            <w:pPr>
              <w:pStyle w:val="41"/>
              <w:rPr>
                <w:rFonts w:hint="eastAsia"/>
              </w:rPr>
            </w:pPr>
          </w:p>
        </w:tc>
        <w:tc>
          <w:tcPr>
            <w:tcW w:w="849" w:type="pct"/>
            <w:vMerge w:val="continue"/>
            <w:shd w:val="clear" w:color="auto" w:fill="auto"/>
            <w:vAlign w:val="center"/>
          </w:tcPr>
          <w:p w14:paraId="06D2F41A">
            <w:pPr>
              <w:pStyle w:val="41"/>
              <w:rPr>
                <w:rFonts w:hint="eastAsia"/>
              </w:rPr>
            </w:pPr>
          </w:p>
        </w:tc>
        <w:tc>
          <w:tcPr>
            <w:tcW w:w="902" w:type="pct"/>
            <w:shd w:val="clear" w:color="auto" w:fill="auto"/>
            <w:vAlign w:val="center"/>
          </w:tcPr>
          <w:p w14:paraId="65EB32CE">
            <w:pPr>
              <w:pStyle w:val="41"/>
              <w:rPr>
                <w:rFonts w:hint="eastAsia"/>
              </w:rPr>
            </w:pPr>
            <w:r>
              <w:rPr>
                <w:rFonts w:hint="eastAsia"/>
              </w:rPr>
              <w:t>34.2市辖区建成区常住人口</w:t>
            </w:r>
          </w:p>
        </w:tc>
        <w:tc>
          <w:tcPr>
            <w:tcW w:w="1220" w:type="pct"/>
            <w:vMerge w:val="continue"/>
            <w:shd w:val="clear" w:color="auto" w:fill="auto"/>
            <w:vAlign w:val="center"/>
          </w:tcPr>
          <w:p w14:paraId="0B08ECDE">
            <w:pPr>
              <w:pStyle w:val="41"/>
              <w:rPr>
                <w:rFonts w:hint="eastAsia"/>
              </w:rPr>
            </w:pPr>
          </w:p>
        </w:tc>
        <w:tc>
          <w:tcPr>
            <w:tcW w:w="1351" w:type="pct"/>
            <w:vMerge w:val="continue"/>
            <w:shd w:val="clear" w:color="auto" w:fill="auto"/>
            <w:vAlign w:val="center"/>
          </w:tcPr>
          <w:p w14:paraId="7073C6EE">
            <w:pPr>
              <w:pStyle w:val="41"/>
              <w:rPr>
                <w:rFonts w:hint="eastAsia"/>
              </w:rPr>
            </w:pPr>
          </w:p>
        </w:tc>
      </w:tr>
      <w:tr w14:paraId="27635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F926CA2">
            <w:pPr>
              <w:pStyle w:val="41"/>
              <w:rPr>
                <w:rFonts w:hint="eastAsia"/>
              </w:rPr>
            </w:pPr>
          </w:p>
        </w:tc>
        <w:tc>
          <w:tcPr>
            <w:tcW w:w="196" w:type="pct"/>
            <w:vMerge w:val="continue"/>
            <w:shd w:val="clear" w:color="auto" w:fill="auto"/>
            <w:vAlign w:val="center"/>
          </w:tcPr>
          <w:p w14:paraId="1F5E42FE">
            <w:pPr>
              <w:pStyle w:val="41"/>
              <w:rPr>
                <w:rFonts w:hint="eastAsia"/>
              </w:rPr>
            </w:pPr>
          </w:p>
        </w:tc>
        <w:tc>
          <w:tcPr>
            <w:tcW w:w="160" w:type="pct"/>
            <w:vMerge w:val="restart"/>
            <w:shd w:val="clear" w:color="auto" w:fill="auto"/>
            <w:vAlign w:val="center"/>
          </w:tcPr>
          <w:p w14:paraId="7E3CD054">
            <w:pPr>
              <w:pStyle w:val="41"/>
              <w:rPr>
                <w:rFonts w:hint="eastAsia"/>
              </w:rPr>
            </w:pPr>
            <w:r>
              <w:rPr>
                <w:rFonts w:hint="eastAsia"/>
              </w:rPr>
              <w:t>35</w:t>
            </w:r>
          </w:p>
        </w:tc>
        <w:tc>
          <w:tcPr>
            <w:tcW w:w="849" w:type="pct"/>
            <w:vMerge w:val="restart"/>
            <w:shd w:val="clear" w:color="auto" w:fill="auto"/>
            <w:vAlign w:val="center"/>
          </w:tcPr>
          <w:p w14:paraId="7E112058">
            <w:pPr>
              <w:pStyle w:val="41"/>
              <w:rPr>
                <w:rFonts w:hint="eastAsia"/>
              </w:rPr>
            </w:pPr>
            <w:r>
              <w:rPr>
                <w:rFonts w:hint="eastAsia"/>
              </w:rPr>
              <w:t>人均公共文化设施面积（平方米/人）</w:t>
            </w:r>
          </w:p>
        </w:tc>
        <w:tc>
          <w:tcPr>
            <w:tcW w:w="902" w:type="pct"/>
            <w:shd w:val="clear" w:color="auto" w:fill="auto"/>
            <w:vAlign w:val="center"/>
          </w:tcPr>
          <w:p w14:paraId="7212DDA8">
            <w:pPr>
              <w:pStyle w:val="41"/>
              <w:rPr>
                <w:rFonts w:hint="eastAsia"/>
              </w:rPr>
            </w:pPr>
            <w:r>
              <w:rPr>
                <w:rFonts w:hint="eastAsia"/>
              </w:rPr>
              <w:t>35.1市辖区建成区内公共文化设施建筑总面积</w:t>
            </w:r>
          </w:p>
        </w:tc>
        <w:tc>
          <w:tcPr>
            <w:tcW w:w="1220" w:type="pct"/>
            <w:vMerge w:val="restart"/>
            <w:shd w:val="clear" w:color="auto" w:fill="auto"/>
            <w:vAlign w:val="center"/>
          </w:tcPr>
          <w:p w14:paraId="58CE6274">
            <w:pPr>
              <w:pStyle w:val="41"/>
              <w:rPr>
                <w:rFonts w:hint="eastAsia"/>
              </w:rPr>
            </w:pPr>
            <w:r>
              <w:rPr>
                <w:rFonts w:hint="eastAsia"/>
              </w:rPr>
              <w:t>按照人均公共文化设施面积不低于0.2平方米的目标，调查市辖区建成区内常住人口人均拥有的公共文化设施面积情况，查找城市公共文化设施、服务体系等方面的差距和问题。</w:t>
            </w:r>
          </w:p>
        </w:tc>
        <w:tc>
          <w:tcPr>
            <w:tcW w:w="1351" w:type="pct"/>
            <w:vMerge w:val="restart"/>
            <w:shd w:val="clear" w:color="auto" w:fill="auto"/>
            <w:vAlign w:val="center"/>
          </w:tcPr>
          <w:p w14:paraId="00A3CFB1">
            <w:pPr>
              <w:pStyle w:val="41"/>
              <w:rPr>
                <w:rFonts w:hint="eastAsia"/>
              </w:rPr>
            </w:pPr>
            <w:r>
              <w:rPr>
                <w:rFonts w:hint="eastAsia"/>
              </w:rPr>
              <w:t>市文化广电和旅游局、市公安局、官方统计数据、行业部门调查统计数据，大数据辅助分析</w:t>
            </w:r>
          </w:p>
        </w:tc>
      </w:tr>
      <w:tr w14:paraId="62566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4" w:hRule="atLeast"/>
        </w:trPr>
        <w:tc>
          <w:tcPr>
            <w:tcW w:w="319" w:type="pct"/>
            <w:vMerge w:val="continue"/>
            <w:shd w:val="clear" w:color="auto" w:fill="auto"/>
            <w:vAlign w:val="center"/>
          </w:tcPr>
          <w:p w14:paraId="299C1F23">
            <w:pPr>
              <w:pStyle w:val="41"/>
              <w:rPr>
                <w:rFonts w:hint="eastAsia"/>
              </w:rPr>
            </w:pPr>
          </w:p>
        </w:tc>
        <w:tc>
          <w:tcPr>
            <w:tcW w:w="196" w:type="pct"/>
            <w:vMerge w:val="continue"/>
            <w:shd w:val="clear" w:color="auto" w:fill="auto"/>
            <w:vAlign w:val="center"/>
          </w:tcPr>
          <w:p w14:paraId="65633BF8">
            <w:pPr>
              <w:pStyle w:val="41"/>
              <w:rPr>
                <w:rFonts w:hint="eastAsia"/>
              </w:rPr>
            </w:pPr>
          </w:p>
        </w:tc>
        <w:tc>
          <w:tcPr>
            <w:tcW w:w="160" w:type="pct"/>
            <w:vMerge w:val="continue"/>
            <w:shd w:val="clear" w:color="auto" w:fill="auto"/>
            <w:vAlign w:val="center"/>
          </w:tcPr>
          <w:p w14:paraId="2B008EC5">
            <w:pPr>
              <w:pStyle w:val="41"/>
              <w:rPr>
                <w:rFonts w:hint="eastAsia"/>
              </w:rPr>
            </w:pPr>
          </w:p>
        </w:tc>
        <w:tc>
          <w:tcPr>
            <w:tcW w:w="849" w:type="pct"/>
            <w:vMerge w:val="continue"/>
            <w:shd w:val="clear" w:color="auto" w:fill="auto"/>
            <w:vAlign w:val="center"/>
          </w:tcPr>
          <w:p w14:paraId="4F71EC7D">
            <w:pPr>
              <w:pStyle w:val="41"/>
              <w:rPr>
                <w:rFonts w:hint="eastAsia"/>
              </w:rPr>
            </w:pPr>
          </w:p>
        </w:tc>
        <w:tc>
          <w:tcPr>
            <w:tcW w:w="902" w:type="pct"/>
            <w:shd w:val="clear" w:color="auto" w:fill="auto"/>
            <w:vAlign w:val="center"/>
          </w:tcPr>
          <w:p w14:paraId="608A57D7">
            <w:pPr>
              <w:pStyle w:val="41"/>
              <w:rPr>
                <w:rFonts w:hint="eastAsia"/>
              </w:rPr>
            </w:pPr>
            <w:r>
              <w:rPr>
                <w:rFonts w:hint="eastAsia"/>
              </w:rPr>
              <w:t>35.2市辖区建成区常住人口</w:t>
            </w:r>
          </w:p>
        </w:tc>
        <w:tc>
          <w:tcPr>
            <w:tcW w:w="1220" w:type="pct"/>
            <w:vMerge w:val="continue"/>
            <w:shd w:val="clear" w:color="auto" w:fill="auto"/>
            <w:vAlign w:val="center"/>
          </w:tcPr>
          <w:p w14:paraId="3658CA8B">
            <w:pPr>
              <w:pStyle w:val="41"/>
              <w:rPr>
                <w:rFonts w:hint="eastAsia"/>
              </w:rPr>
            </w:pPr>
          </w:p>
        </w:tc>
        <w:tc>
          <w:tcPr>
            <w:tcW w:w="1351" w:type="pct"/>
            <w:vMerge w:val="continue"/>
            <w:shd w:val="clear" w:color="auto" w:fill="auto"/>
            <w:vAlign w:val="center"/>
          </w:tcPr>
          <w:p w14:paraId="075EFE82">
            <w:pPr>
              <w:pStyle w:val="41"/>
              <w:rPr>
                <w:rFonts w:hint="eastAsia"/>
              </w:rPr>
            </w:pPr>
          </w:p>
        </w:tc>
      </w:tr>
      <w:tr w14:paraId="1C4D5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2" w:hRule="atLeast"/>
        </w:trPr>
        <w:tc>
          <w:tcPr>
            <w:tcW w:w="319" w:type="pct"/>
            <w:vMerge w:val="continue"/>
            <w:shd w:val="clear" w:color="auto" w:fill="auto"/>
            <w:vAlign w:val="center"/>
          </w:tcPr>
          <w:p w14:paraId="273B6C6C">
            <w:pPr>
              <w:pStyle w:val="41"/>
              <w:rPr>
                <w:rFonts w:hint="eastAsia"/>
              </w:rPr>
            </w:pPr>
          </w:p>
        </w:tc>
        <w:tc>
          <w:tcPr>
            <w:tcW w:w="196" w:type="pct"/>
            <w:vMerge w:val="continue"/>
            <w:shd w:val="clear" w:color="auto" w:fill="auto"/>
            <w:vAlign w:val="center"/>
          </w:tcPr>
          <w:p w14:paraId="2DBB2D06">
            <w:pPr>
              <w:pStyle w:val="41"/>
              <w:rPr>
                <w:rFonts w:hint="eastAsia"/>
              </w:rPr>
            </w:pPr>
          </w:p>
        </w:tc>
        <w:tc>
          <w:tcPr>
            <w:tcW w:w="160" w:type="pct"/>
            <w:shd w:val="clear" w:color="auto" w:fill="auto"/>
            <w:vAlign w:val="center"/>
          </w:tcPr>
          <w:p w14:paraId="00BB0518">
            <w:pPr>
              <w:pStyle w:val="41"/>
              <w:rPr>
                <w:rFonts w:hint="eastAsia"/>
              </w:rPr>
            </w:pPr>
            <w:r>
              <w:rPr>
                <w:rFonts w:hint="eastAsia"/>
              </w:rPr>
              <w:t>36</w:t>
            </w:r>
          </w:p>
        </w:tc>
        <w:tc>
          <w:tcPr>
            <w:tcW w:w="849" w:type="pct"/>
            <w:shd w:val="clear" w:color="auto" w:fill="auto"/>
            <w:vAlign w:val="center"/>
          </w:tcPr>
          <w:p w14:paraId="21BF08E4">
            <w:pPr>
              <w:pStyle w:val="41"/>
              <w:rPr>
                <w:rFonts w:hint="eastAsia"/>
              </w:rPr>
            </w:pPr>
            <w:r>
              <w:rPr>
                <w:rFonts w:hint="eastAsia"/>
              </w:rPr>
              <w:t>未达标配建的妇幼保健机构数量（个）</w:t>
            </w:r>
          </w:p>
        </w:tc>
        <w:tc>
          <w:tcPr>
            <w:tcW w:w="902" w:type="pct"/>
            <w:shd w:val="clear" w:color="auto" w:fill="auto"/>
            <w:vAlign w:val="center"/>
          </w:tcPr>
          <w:p w14:paraId="38C4DBE3">
            <w:pPr>
              <w:pStyle w:val="41"/>
              <w:rPr>
                <w:rFonts w:hint="eastAsia"/>
              </w:rPr>
            </w:pPr>
            <w:r>
              <w:rPr>
                <w:rFonts w:hint="eastAsia"/>
              </w:rPr>
              <w:t>没有按照《2021—2030年中国妇女儿童发展纲要》要求建设或建设规模不符合《妇幼健康服务机构建设标准》的妇幼保健机构数量。</w:t>
            </w:r>
          </w:p>
        </w:tc>
        <w:tc>
          <w:tcPr>
            <w:tcW w:w="1220" w:type="pct"/>
            <w:shd w:val="clear" w:color="auto" w:fill="auto"/>
            <w:vAlign w:val="center"/>
          </w:tcPr>
          <w:p w14:paraId="73345643">
            <w:pPr>
              <w:pStyle w:val="41"/>
              <w:rPr>
                <w:rFonts w:hint="eastAsia"/>
              </w:rPr>
            </w:pPr>
            <w:r>
              <w:rPr>
                <w:rFonts w:hint="eastAsia"/>
              </w:rPr>
              <w:t>按照《2021—2030年中国妇女儿童发展纲要》要求，调查市辖区内没有配建妇幼保健机构或建设规模不达标的妇幼保健机构数量，查找城市妇幼保健机构建设规模不充足、服务体系不健全等方面的问题。</w:t>
            </w:r>
          </w:p>
        </w:tc>
        <w:tc>
          <w:tcPr>
            <w:tcW w:w="1351" w:type="pct"/>
            <w:shd w:val="clear" w:color="auto" w:fill="auto"/>
            <w:vAlign w:val="center"/>
          </w:tcPr>
          <w:p w14:paraId="39DE32BD">
            <w:pPr>
              <w:pStyle w:val="41"/>
              <w:rPr>
                <w:rFonts w:hint="eastAsia"/>
              </w:rPr>
            </w:pPr>
            <w:r>
              <w:rPr>
                <w:rFonts w:hint="eastAsia"/>
              </w:rPr>
              <w:t>市卫健委、行业部门调查统计数据</w:t>
            </w:r>
          </w:p>
        </w:tc>
      </w:tr>
      <w:tr w14:paraId="7DA98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D94C2D3">
            <w:pPr>
              <w:pStyle w:val="41"/>
              <w:rPr>
                <w:rFonts w:hint="eastAsia"/>
              </w:rPr>
            </w:pPr>
          </w:p>
        </w:tc>
        <w:tc>
          <w:tcPr>
            <w:tcW w:w="196" w:type="pct"/>
            <w:vMerge w:val="continue"/>
            <w:shd w:val="clear" w:color="auto" w:fill="auto"/>
            <w:vAlign w:val="center"/>
          </w:tcPr>
          <w:p w14:paraId="2F031350">
            <w:pPr>
              <w:pStyle w:val="41"/>
              <w:rPr>
                <w:rFonts w:hint="eastAsia"/>
              </w:rPr>
            </w:pPr>
          </w:p>
        </w:tc>
        <w:tc>
          <w:tcPr>
            <w:tcW w:w="160" w:type="pct"/>
            <w:vMerge w:val="restart"/>
            <w:shd w:val="clear" w:color="auto" w:fill="auto"/>
            <w:vAlign w:val="center"/>
          </w:tcPr>
          <w:p w14:paraId="2408A4CD">
            <w:pPr>
              <w:pStyle w:val="41"/>
              <w:rPr>
                <w:rFonts w:hint="eastAsia"/>
              </w:rPr>
            </w:pPr>
            <w:r>
              <w:rPr>
                <w:rFonts w:hint="eastAsia"/>
              </w:rPr>
              <w:t>37</w:t>
            </w:r>
          </w:p>
        </w:tc>
        <w:tc>
          <w:tcPr>
            <w:tcW w:w="849" w:type="pct"/>
            <w:vMerge w:val="restart"/>
            <w:shd w:val="clear" w:color="auto" w:fill="auto"/>
            <w:vAlign w:val="center"/>
          </w:tcPr>
          <w:p w14:paraId="7AA723E9">
            <w:pPr>
              <w:pStyle w:val="41"/>
              <w:rPr>
                <w:rFonts w:hint="eastAsia"/>
              </w:rPr>
            </w:pPr>
            <w:r>
              <w:rPr>
                <w:rFonts w:hint="eastAsia"/>
              </w:rPr>
              <w:t>城市道路网密度（千米/平方千米）</w:t>
            </w:r>
          </w:p>
        </w:tc>
        <w:tc>
          <w:tcPr>
            <w:tcW w:w="902" w:type="pct"/>
            <w:shd w:val="clear" w:color="auto" w:fill="auto"/>
            <w:vAlign w:val="center"/>
          </w:tcPr>
          <w:p w14:paraId="7919A0DF">
            <w:pPr>
              <w:pStyle w:val="41"/>
              <w:rPr>
                <w:rFonts w:hint="eastAsia"/>
              </w:rPr>
            </w:pPr>
            <w:r>
              <w:rPr>
                <w:rFonts w:hint="eastAsia"/>
              </w:rPr>
              <w:t>37.1市辖区建成区内主干、次干、支路城市道路长度</w:t>
            </w:r>
          </w:p>
        </w:tc>
        <w:tc>
          <w:tcPr>
            <w:tcW w:w="1220" w:type="pct"/>
            <w:vMerge w:val="restart"/>
            <w:shd w:val="clear" w:color="auto" w:fill="auto"/>
            <w:vAlign w:val="center"/>
          </w:tcPr>
          <w:p w14:paraId="673D7555">
            <w:pPr>
              <w:pStyle w:val="41"/>
              <w:rPr>
                <w:rFonts w:hint="eastAsia"/>
              </w:rPr>
            </w:pPr>
            <w:r>
              <w:rPr>
                <w:rFonts w:hint="eastAsia"/>
              </w:rPr>
              <w:t>按照道路网密度达到8公里/平方公里的目标，调查分析市辖区建成区内城市道路长度（包括快速路、主干路、次干路及支路）与建成区面积的比值，查找城市综合交通体系建设方面存在的差距和问题。</w:t>
            </w:r>
          </w:p>
        </w:tc>
        <w:tc>
          <w:tcPr>
            <w:tcW w:w="1351" w:type="pct"/>
            <w:vMerge w:val="restart"/>
            <w:shd w:val="clear" w:color="auto" w:fill="auto"/>
            <w:vAlign w:val="center"/>
          </w:tcPr>
          <w:p w14:paraId="3BCB347E">
            <w:pPr>
              <w:pStyle w:val="41"/>
              <w:rPr>
                <w:rFonts w:hint="eastAsia"/>
              </w:rPr>
            </w:pPr>
            <w:r>
              <w:rPr>
                <w:rFonts w:hint="eastAsia"/>
              </w:rPr>
              <w:t>市住建局、官方统计数据、行业部门调查统计数据，大数据辅助分析</w:t>
            </w:r>
          </w:p>
        </w:tc>
      </w:tr>
      <w:tr w14:paraId="4A73E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9" w:hRule="atLeast"/>
        </w:trPr>
        <w:tc>
          <w:tcPr>
            <w:tcW w:w="319" w:type="pct"/>
            <w:vMerge w:val="continue"/>
            <w:shd w:val="clear" w:color="auto" w:fill="auto"/>
            <w:vAlign w:val="center"/>
          </w:tcPr>
          <w:p w14:paraId="6CB3DA5B">
            <w:pPr>
              <w:pStyle w:val="41"/>
              <w:rPr>
                <w:rFonts w:hint="eastAsia"/>
              </w:rPr>
            </w:pPr>
          </w:p>
        </w:tc>
        <w:tc>
          <w:tcPr>
            <w:tcW w:w="196" w:type="pct"/>
            <w:vMerge w:val="continue"/>
            <w:shd w:val="clear" w:color="auto" w:fill="auto"/>
            <w:vAlign w:val="center"/>
          </w:tcPr>
          <w:p w14:paraId="4ACCC021">
            <w:pPr>
              <w:pStyle w:val="41"/>
              <w:rPr>
                <w:rFonts w:hint="eastAsia"/>
              </w:rPr>
            </w:pPr>
          </w:p>
        </w:tc>
        <w:tc>
          <w:tcPr>
            <w:tcW w:w="160" w:type="pct"/>
            <w:vMerge w:val="continue"/>
            <w:shd w:val="clear" w:color="auto" w:fill="auto"/>
            <w:vAlign w:val="center"/>
          </w:tcPr>
          <w:p w14:paraId="2BF3A18F">
            <w:pPr>
              <w:pStyle w:val="41"/>
              <w:rPr>
                <w:rFonts w:hint="eastAsia"/>
              </w:rPr>
            </w:pPr>
          </w:p>
        </w:tc>
        <w:tc>
          <w:tcPr>
            <w:tcW w:w="849" w:type="pct"/>
            <w:vMerge w:val="continue"/>
            <w:shd w:val="clear" w:color="auto" w:fill="auto"/>
            <w:vAlign w:val="center"/>
          </w:tcPr>
          <w:p w14:paraId="3C89B02F">
            <w:pPr>
              <w:pStyle w:val="41"/>
              <w:rPr>
                <w:rFonts w:hint="eastAsia"/>
              </w:rPr>
            </w:pPr>
          </w:p>
        </w:tc>
        <w:tc>
          <w:tcPr>
            <w:tcW w:w="902" w:type="pct"/>
            <w:shd w:val="clear" w:color="auto" w:fill="auto"/>
            <w:vAlign w:val="center"/>
          </w:tcPr>
          <w:p w14:paraId="0938CE9F">
            <w:pPr>
              <w:pStyle w:val="41"/>
              <w:rPr>
                <w:rFonts w:hint="eastAsia"/>
              </w:rPr>
            </w:pPr>
            <w:r>
              <w:rPr>
                <w:rFonts w:hint="eastAsia"/>
              </w:rPr>
              <w:t>37.2市辖区建成区面积</w:t>
            </w:r>
          </w:p>
        </w:tc>
        <w:tc>
          <w:tcPr>
            <w:tcW w:w="1220" w:type="pct"/>
            <w:vMerge w:val="continue"/>
            <w:shd w:val="clear" w:color="auto" w:fill="auto"/>
            <w:vAlign w:val="center"/>
          </w:tcPr>
          <w:p w14:paraId="635B718B">
            <w:pPr>
              <w:pStyle w:val="41"/>
              <w:rPr>
                <w:rFonts w:hint="eastAsia"/>
              </w:rPr>
            </w:pPr>
          </w:p>
        </w:tc>
        <w:tc>
          <w:tcPr>
            <w:tcW w:w="1351" w:type="pct"/>
            <w:vMerge w:val="continue"/>
            <w:shd w:val="clear" w:color="auto" w:fill="auto"/>
            <w:vAlign w:val="center"/>
          </w:tcPr>
          <w:p w14:paraId="461FBBC9">
            <w:pPr>
              <w:pStyle w:val="41"/>
              <w:rPr>
                <w:rFonts w:hint="eastAsia"/>
              </w:rPr>
            </w:pPr>
          </w:p>
        </w:tc>
      </w:tr>
      <w:tr w14:paraId="5B8D4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ADD9CBD">
            <w:pPr>
              <w:pStyle w:val="41"/>
              <w:rPr>
                <w:rFonts w:hint="eastAsia"/>
              </w:rPr>
            </w:pPr>
          </w:p>
        </w:tc>
        <w:tc>
          <w:tcPr>
            <w:tcW w:w="196" w:type="pct"/>
            <w:vMerge w:val="continue"/>
            <w:shd w:val="clear" w:color="auto" w:fill="auto"/>
            <w:vAlign w:val="center"/>
          </w:tcPr>
          <w:p w14:paraId="02D2F580">
            <w:pPr>
              <w:pStyle w:val="41"/>
              <w:rPr>
                <w:rFonts w:hint="eastAsia"/>
              </w:rPr>
            </w:pPr>
          </w:p>
        </w:tc>
        <w:tc>
          <w:tcPr>
            <w:tcW w:w="160" w:type="pct"/>
            <w:vMerge w:val="restart"/>
            <w:shd w:val="clear" w:color="auto" w:fill="auto"/>
            <w:vAlign w:val="center"/>
          </w:tcPr>
          <w:p w14:paraId="7220E61F">
            <w:pPr>
              <w:pStyle w:val="41"/>
              <w:rPr>
                <w:rFonts w:hint="eastAsia"/>
              </w:rPr>
            </w:pPr>
            <w:r>
              <w:rPr>
                <w:rFonts w:hint="eastAsia"/>
              </w:rPr>
              <w:t>38</w:t>
            </w:r>
          </w:p>
        </w:tc>
        <w:tc>
          <w:tcPr>
            <w:tcW w:w="849" w:type="pct"/>
            <w:vMerge w:val="restart"/>
            <w:shd w:val="clear" w:color="auto" w:fill="auto"/>
            <w:vAlign w:val="center"/>
          </w:tcPr>
          <w:p w14:paraId="73291D0F">
            <w:pPr>
              <w:pStyle w:val="41"/>
              <w:rPr>
                <w:rFonts w:hint="eastAsia"/>
              </w:rPr>
            </w:pPr>
            <w:r>
              <w:rPr>
                <w:rFonts w:hint="eastAsia"/>
              </w:rPr>
              <w:t>☆</w:t>
            </w:r>
            <w:r>
              <w:t>新建绿色建筑中星级绿色建筑占比（%）</w:t>
            </w:r>
          </w:p>
        </w:tc>
        <w:tc>
          <w:tcPr>
            <w:tcW w:w="902" w:type="pct"/>
            <w:shd w:val="clear" w:color="auto" w:fill="auto"/>
            <w:vAlign w:val="center"/>
          </w:tcPr>
          <w:p w14:paraId="0B4CCBA7">
            <w:pPr>
              <w:pStyle w:val="41"/>
              <w:rPr>
                <w:rFonts w:hint="eastAsia"/>
              </w:rPr>
            </w:pPr>
            <w:r>
              <w:rPr>
                <w:rFonts w:hint="eastAsia"/>
              </w:rPr>
              <w:t>38.1当年市辖区内竣工星级绿色建筑面积</w:t>
            </w:r>
          </w:p>
        </w:tc>
        <w:tc>
          <w:tcPr>
            <w:tcW w:w="1220" w:type="pct"/>
            <w:vMerge w:val="restart"/>
            <w:shd w:val="clear" w:color="auto" w:fill="auto"/>
            <w:vAlign w:val="center"/>
          </w:tcPr>
          <w:p w14:paraId="1C2D7B3F">
            <w:pPr>
              <w:pStyle w:val="41"/>
              <w:rPr>
                <w:rFonts w:hint="eastAsia"/>
              </w:rPr>
            </w:pPr>
            <w:r>
              <w:rPr>
                <w:rFonts w:hint="eastAsia"/>
              </w:rPr>
              <w:t>当年市辖区内竣工星级绿色建筑面积，占竣工绿色建筑总面积的百分比。</w:t>
            </w:r>
          </w:p>
          <w:p w14:paraId="17DDCE7F">
            <w:pPr>
              <w:pStyle w:val="41"/>
              <w:rPr>
                <w:rFonts w:hint="eastAsia"/>
              </w:rPr>
            </w:pPr>
            <w:r>
              <w:rPr>
                <w:rFonts w:hint="eastAsia"/>
              </w:rPr>
              <w:t>绿色建筑指在全寿命期内，节约资源、保护环境、减少污染，为人们提供健康、适用、高效的使用空间，最大限度地实现人与自然和谐共生的高质量建筑。</w:t>
            </w:r>
          </w:p>
        </w:tc>
        <w:tc>
          <w:tcPr>
            <w:tcW w:w="1351" w:type="pct"/>
            <w:vMerge w:val="restart"/>
            <w:shd w:val="clear" w:color="auto" w:fill="auto"/>
            <w:vAlign w:val="center"/>
          </w:tcPr>
          <w:p w14:paraId="334790DD">
            <w:pPr>
              <w:pStyle w:val="41"/>
              <w:rPr>
                <w:rFonts w:hint="eastAsia"/>
              </w:rPr>
            </w:pPr>
            <w:r>
              <w:rPr>
                <w:rFonts w:hint="eastAsia"/>
              </w:rPr>
              <w:t>市住建局、官方统计数据、行业部门调查统计数据</w:t>
            </w:r>
          </w:p>
        </w:tc>
      </w:tr>
      <w:tr w14:paraId="430F8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5" w:hRule="atLeast"/>
        </w:trPr>
        <w:tc>
          <w:tcPr>
            <w:tcW w:w="319" w:type="pct"/>
            <w:vMerge w:val="continue"/>
            <w:shd w:val="clear" w:color="auto" w:fill="auto"/>
            <w:vAlign w:val="center"/>
          </w:tcPr>
          <w:p w14:paraId="55E9A73C">
            <w:pPr>
              <w:pStyle w:val="41"/>
              <w:rPr>
                <w:rFonts w:hint="eastAsia"/>
              </w:rPr>
            </w:pPr>
          </w:p>
        </w:tc>
        <w:tc>
          <w:tcPr>
            <w:tcW w:w="196" w:type="pct"/>
            <w:vMerge w:val="continue"/>
            <w:shd w:val="clear" w:color="auto" w:fill="auto"/>
            <w:vAlign w:val="center"/>
          </w:tcPr>
          <w:p w14:paraId="7FC199A3">
            <w:pPr>
              <w:pStyle w:val="41"/>
              <w:rPr>
                <w:rFonts w:hint="eastAsia"/>
              </w:rPr>
            </w:pPr>
          </w:p>
        </w:tc>
        <w:tc>
          <w:tcPr>
            <w:tcW w:w="160" w:type="pct"/>
            <w:vMerge w:val="continue"/>
            <w:shd w:val="clear" w:color="auto" w:fill="auto"/>
            <w:vAlign w:val="center"/>
          </w:tcPr>
          <w:p w14:paraId="412FF12F">
            <w:pPr>
              <w:pStyle w:val="41"/>
              <w:rPr>
                <w:rFonts w:hint="eastAsia"/>
              </w:rPr>
            </w:pPr>
          </w:p>
        </w:tc>
        <w:tc>
          <w:tcPr>
            <w:tcW w:w="849" w:type="pct"/>
            <w:vMerge w:val="continue"/>
            <w:shd w:val="clear" w:color="auto" w:fill="auto"/>
            <w:vAlign w:val="center"/>
          </w:tcPr>
          <w:p w14:paraId="6744725C">
            <w:pPr>
              <w:pStyle w:val="41"/>
              <w:rPr>
                <w:rFonts w:hint="eastAsia"/>
              </w:rPr>
            </w:pPr>
          </w:p>
        </w:tc>
        <w:tc>
          <w:tcPr>
            <w:tcW w:w="902" w:type="pct"/>
            <w:shd w:val="clear" w:color="auto" w:fill="auto"/>
            <w:vAlign w:val="center"/>
          </w:tcPr>
          <w:p w14:paraId="47E42EE7">
            <w:pPr>
              <w:pStyle w:val="41"/>
              <w:rPr>
                <w:rFonts w:hint="eastAsia"/>
              </w:rPr>
            </w:pPr>
            <w:r>
              <w:rPr>
                <w:rFonts w:hint="eastAsia"/>
              </w:rPr>
              <w:t>38.2当年市辖区内竣工绿色建筑总面积</w:t>
            </w:r>
          </w:p>
        </w:tc>
        <w:tc>
          <w:tcPr>
            <w:tcW w:w="1220" w:type="pct"/>
            <w:vMerge w:val="continue"/>
            <w:shd w:val="clear" w:color="auto" w:fill="auto"/>
            <w:vAlign w:val="center"/>
          </w:tcPr>
          <w:p w14:paraId="17E83AF2">
            <w:pPr>
              <w:pStyle w:val="41"/>
              <w:rPr>
                <w:rFonts w:hint="eastAsia"/>
              </w:rPr>
            </w:pPr>
          </w:p>
        </w:tc>
        <w:tc>
          <w:tcPr>
            <w:tcW w:w="1351" w:type="pct"/>
            <w:vMerge w:val="continue"/>
            <w:shd w:val="clear" w:color="auto" w:fill="auto"/>
            <w:vAlign w:val="center"/>
          </w:tcPr>
          <w:p w14:paraId="432A2663">
            <w:pPr>
              <w:pStyle w:val="41"/>
              <w:rPr>
                <w:rFonts w:hint="eastAsia"/>
              </w:rPr>
            </w:pPr>
          </w:p>
        </w:tc>
      </w:tr>
      <w:tr w14:paraId="5ACA6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4D2D413">
            <w:pPr>
              <w:pStyle w:val="41"/>
              <w:rPr>
                <w:rFonts w:hint="eastAsia"/>
              </w:rPr>
            </w:pPr>
          </w:p>
        </w:tc>
        <w:tc>
          <w:tcPr>
            <w:tcW w:w="196" w:type="pct"/>
            <w:vMerge w:val="continue"/>
            <w:shd w:val="clear" w:color="auto" w:fill="auto"/>
            <w:vAlign w:val="center"/>
          </w:tcPr>
          <w:p w14:paraId="671EC906">
            <w:pPr>
              <w:pStyle w:val="41"/>
              <w:rPr>
                <w:rFonts w:hint="eastAsia"/>
              </w:rPr>
            </w:pPr>
          </w:p>
        </w:tc>
        <w:tc>
          <w:tcPr>
            <w:tcW w:w="160" w:type="pct"/>
            <w:vMerge w:val="restart"/>
            <w:shd w:val="clear" w:color="auto" w:fill="auto"/>
            <w:vAlign w:val="center"/>
          </w:tcPr>
          <w:p w14:paraId="2312C924">
            <w:pPr>
              <w:pStyle w:val="41"/>
              <w:rPr>
                <w:rFonts w:hint="eastAsia"/>
              </w:rPr>
            </w:pPr>
            <w:r>
              <w:rPr>
                <w:rFonts w:hint="eastAsia"/>
              </w:rPr>
              <w:t>39</w:t>
            </w:r>
          </w:p>
        </w:tc>
        <w:tc>
          <w:tcPr>
            <w:tcW w:w="849" w:type="pct"/>
            <w:vMerge w:val="restart"/>
            <w:shd w:val="clear" w:color="auto" w:fill="auto"/>
            <w:vAlign w:val="center"/>
          </w:tcPr>
          <w:p w14:paraId="22BB3B61">
            <w:pPr>
              <w:pStyle w:val="41"/>
              <w:rPr>
                <w:rFonts w:hint="eastAsia"/>
              </w:rPr>
            </w:pPr>
            <w:r>
              <w:rPr>
                <w:rFonts w:hint="eastAsia"/>
              </w:rPr>
              <w:t>建筑垃圾资源化利用率（%）</w:t>
            </w:r>
          </w:p>
        </w:tc>
        <w:tc>
          <w:tcPr>
            <w:tcW w:w="902" w:type="pct"/>
            <w:shd w:val="clear" w:color="auto" w:fill="auto"/>
            <w:vAlign w:val="center"/>
          </w:tcPr>
          <w:p w14:paraId="03E1AECA">
            <w:pPr>
              <w:pStyle w:val="41"/>
              <w:rPr>
                <w:rFonts w:hint="eastAsia"/>
              </w:rPr>
            </w:pPr>
            <w:r>
              <w:rPr>
                <w:rFonts w:hint="eastAsia"/>
              </w:rPr>
              <w:t>39.1当年市辖区内建筑垃圾中工程垃圾、装修垃圾和拆除垃圾的资源化利用量</w:t>
            </w:r>
          </w:p>
        </w:tc>
        <w:tc>
          <w:tcPr>
            <w:tcW w:w="1220" w:type="pct"/>
            <w:vMerge w:val="restart"/>
            <w:shd w:val="clear" w:color="auto" w:fill="auto"/>
            <w:vAlign w:val="center"/>
          </w:tcPr>
          <w:p w14:paraId="03FB37DB">
            <w:pPr>
              <w:pStyle w:val="41"/>
              <w:rPr>
                <w:rFonts w:hint="eastAsia"/>
              </w:rPr>
            </w:pPr>
            <w:r>
              <w:rPr>
                <w:rFonts w:hint="eastAsia"/>
              </w:rPr>
              <w:t>当年市辖区内建筑垃圾中工程垃圾、装修垃圾和拆除垃圾的资源化利用量，占这三类建筑垃圾产生总量的百分比。</w:t>
            </w:r>
          </w:p>
        </w:tc>
        <w:tc>
          <w:tcPr>
            <w:tcW w:w="1351" w:type="pct"/>
            <w:vMerge w:val="restart"/>
            <w:shd w:val="clear" w:color="auto" w:fill="auto"/>
            <w:vAlign w:val="center"/>
          </w:tcPr>
          <w:p w14:paraId="579A7013">
            <w:pPr>
              <w:pStyle w:val="41"/>
              <w:rPr>
                <w:rFonts w:hint="eastAsia"/>
              </w:rPr>
            </w:pPr>
            <w:r>
              <w:rPr>
                <w:rFonts w:hint="eastAsia"/>
              </w:rPr>
              <w:t>市城管局、官方统计数据、行业部门调查统计数据</w:t>
            </w:r>
          </w:p>
        </w:tc>
      </w:tr>
      <w:tr w14:paraId="4CA49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319" w:type="pct"/>
            <w:vMerge w:val="continue"/>
            <w:shd w:val="clear" w:color="auto" w:fill="auto"/>
            <w:vAlign w:val="center"/>
          </w:tcPr>
          <w:p w14:paraId="21CA9E3B">
            <w:pPr>
              <w:pStyle w:val="41"/>
              <w:rPr>
                <w:rFonts w:hint="eastAsia"/>
              </w:rPr>
            </w:pPr>
          </w:p>
        </w:tc>
        <w:tc>
          <w:tcPr>
            <w:tcW w:w="196" w:type="pct"/>
            <w:vMerge w:val="continue"/>
            <w:shd w:val="clear" w:color="auto" w:fill="auto"/>
            <w:vAlign w:val="center"/>
          </w:tcPr>
          <w:p w14:paraId="75250895">
            <w:pPr>
              <w:pStyle w:val="41"/>
              <w:rPr>
                <w:rFonts w:hint="eastAsia"/>
              </w:rPr>
            </w:pPr>
          </w:p>
        </w:tc>
        <w:tc>
          <w:tcPr>
            <w:tcW w:w="160" w:type="pct"/>
            <w:vMerge w:val="continue"/>
            <w:shd w:val="clear" w:color="auto" w:fill="auto"/>
            <w:vAlign w:val="center"/>
          </w:tcPr>
          <w:p w14:paraId="28C74373">
            <w:pPr>
              <w:pStyle w:val="41"/>
              <w:rPr>
                <w:rFonts w:hint="eastAsia"/>
              </w:rPr>
            </w:pPr>
          </w:p>
        </w:tc>
        <w:tc>
          <w:tcPr>
            <w:tcW w:w="849" w:type="pct"/>
            <w:vMerge w:val="continue"/>
            <w:shd w:val="clear" w:color="auto" w:fill="auto"/>
            <w:vAlign w:val="center"/>
          </w:tcPr>
          <w:p w14:paraId="7F736E69">
            <w:pPr>
              <w:pStyle w:val="41"/>
              <w:rPr>
                <w:rFonts w:hint="eastAsia"/>
              </w:rPr>
            </w:pPr>
          </w:p>
        </w:tc>
        <w:tc>
          <w:tcPr>
            <w:tcW w:w="902" w:type="pct"/>
            <w:shd w:val="clear" w:color="auto" w:fill="auto"/>
            <w:vAlign w:val="center"/>
          </w:tcPr>
          <w:p w14:paraId="0A5FB7F8">
            <w:pPr>
              <w:pStyle w:val="41"/>
              <w:rPr>
                <w:rFonts w:hint="eastAsia"/>
              </w:rPr>
            </w:pPr>
            <w:r>
              <w:rPr>
                <w:rFonts w:hint="eastAsia"/>
              </w:rPr>
              <w:t>39.2当年市辖区内建筑垃圾总吨</w:t>
            </w:r>
          </w:p>
        </w:tc>
        <w:tc>
          <w:tcPr>
            <w:tcW w:w="1220" w:type="pct"/>
            <w:vMerge w:val="continue"/>
            <w:shd w:val="clear" w:color="auto" w:fill="auto"/>
            <w:vAlign w:val="center"/>
          </w:tcPr>
          <w:p w14:paraId="15216875">
            <w:pPr>
              <w:pStyle w:val="41"/>
              <w:rPr>
                <w:rFonts w:hint="eastAsia"/>
              </w:rPr>
            </w:pPr>
          </w:p>
        </w:tc>
        <w:tc>
          <w:tcPr>
            <w:tcW w:w="1351" w:type="pct"/>
            <w:vMerge w:val="continue"/>
            <w:shd w:val="clear" w:color="auto" w:fill="auto"/>
            <w:vAlign w:val="center"/>
          </w:tcPr>
          <w:p w14:paraId="3DB10F4B">
            <w:pPr>
              <w:pStyle w:val="41"/>
              <w:rPr>
                <w:rFonts w:hint="eastAsia"/>
              </w:rPr>
            </w:pPr>
          </w:p>
        </w:tc>
      </w:tr>
      <w:tr w14:paraId="1A56B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9" w:hRule="atLeast"/>
        </w:trPr>
        <w:tc>
          <w:tcPr>
            <w:tcW w:w="319" w:type="pct"/>
            <w:vMerge w:val="continue"/>
            <w:shd w:val="clear" w:color="auto" w:fill="auto"/>
            <w:vAlign w:val="center"/>
          </w:tcPr>
          <w:p w14:paraId="608E7170">
            <w:pPr>
              <w:pStyle w:val="41"/>
              <w:rPr>
                <w:rFonts w:hint="eastAsia"/>
              </w:rPr>
            </w:pPr>
          </w:p>
        </w:tc>
        <w:tc>
          <w:tcPr>
            <w:tcW w:w="196" w:type="pct"/>
            <w:vMerge w:val="continue"/>
            <w:shd w:val="clear" w:color="auto" w:fill="auto"/>
            <w:vAlign w:val="center"/>
          </w:tcPr>
          <w:p w14:paraId="53A2B61F">
            <w:pPr>
              <w:pStyle w:val="41"/>
              <w:rPr>
                <w:rFonts w:hint="eastAsia"/>
              </w:rPr>
            </w:pPr>
          </w:p>
        </w:tc>
        <w:tc>
          <w:tcPr>
            <w:tcW w:w="160" w:type="pct"/>
            <w:shd w:val="clear" w:color="auto" w:fill="auto"/>
            <w:vAlign w:val="center"/>
          </w:tcPr>
          <w:p w14:paraId="24319456">
            <w:pPr>
              <w:pStyle w:val="41"/>
              <w:rPr>
                <w:rFonts w:hint="eastAsia"/>
              </w:rPr>
            </w:pPr>
            <w:r>
              <w:rPr>
                <w:rFonts w:hint="eastAsia"/>
              </w:rPr>
              <w:t>40</w:t>
            </w:r>
          </w:p>
        </w:tc>
        <w:tc>
          <w:tcPr>
            <w:tcW w:w="849" w:type="pct"/>
            <w:shd w:val="clear" w:color="auto" w:fill="auto"/>
            <w:vAlign w:val="center"/>
          </w:tcPr>
          <w:p w14:paraId="1D146F40">
            <w:pPr>
              <w:pStyle w:val="41"/>
              <w:rPr>
                <w:rFonts w:hint="eastAsia"/>
              </w:rPr>
            </w:pPr>
            <w:r>
              <w:rPr>
                <w:rFonts w:hint="eastAsia"/>
              </w:rPr>
              <w:t>新建口袋公园数量（个）</w:t>
            </w:r>
          </w:p>
        </w:tc>
        <w:tc>
          <w:tcPr>
            <w:tcW w:w="902" w:type="pct"/>
            <w:shd w:val="clear" w:color="auto" w:fill="auto"/>
            <w:vAlign w:val="center"/>
          </w:tcPr>
          <w:p w14:paraId="33FCB315">
            <w:pPr>
              <w:pStyle w:val="41"/>
              <w:rPr>
                <w:rFonts w:hint="eastAsia"/>
              </w:rPr>
            </w:pPr>
            <w:r>
              <w:rPr>
                <w:rFonts w:hint="eastAsia"/>
              </w:rPr>
              <w:t>当年市辖区建成区内新建口袋公园数量。</w:t>
            </w:r>
          </w:p>
          <w:p w14:paraId="006EF563">
            <w:pPr>
              <w:pStyle w:val="41"/>
              <w:rPr>
                <w:rFonts w:hint="eastAsia"/>
              </w:rPr>
            </w:pPr>
            <w:r>
              <w:rPr>
                <w:rFonts w:hint="eastAsia"/>
              </w:rPr>
              <w:t>“口袋公园”是面向公众开放，规模较小，形状多样，具有一定游憩功能的公园绿化活动场地，面积一般在400至10000平方米之间，类型包括小游园、小微绿地等。</w:t>
            </w:r>
          </w:p>
        </w:tc>
        <w:tc>
          <w:tcPr>
            <w:tcW w:w="1220" w:type="pct"/>
            <w:shd w:val="clear" w:color="auto" w:fill="auto"/>
            <w:vAlign w:val="center"/>
          </w:tcPr>
          <w:p w14:paraId="3BC898C1">
            <w:pPr>
              <w:pStyle w:val="41"/>
              <w:rPr>
                <w:rFonts w:hint="eastAsia"/>
              </w:rPr>
            </w:pPr>
            <w:r>
              <w:rPr>
                <w:rFonts w:hint="eastAsia"/>
              </w:rPr>
              <w:t>当年市辖区建成区内新建口袋公园的数量，各地要持续加大口袋公园建设力度。</w:t>
            </w:r>
          </w:p>
        </w:tc>
        <w:tc>
          <w:tcPr>
            <w:tcW w:w="1351" w:type="pct"/>
            <w:shd w:val="clear" w:color="auto" w:fill="auto"/>
            <w:vAlign w:val="center"/>
          </w:tcPr>
          <w:p w14:paraId="1998EA06">
            <w:pPr>
              <w:pStyle w:val="41"/>
              <w:rPr>
                <w:rFonts w:hint="eastAsia"/>
              </w:rPr>
            </w:pPr>
            <w:r>
              <w:rPr>
                <w:rFonts w:hint="eastAsia"/>
              </w:rPr>
              <w:t>市城管局、遥感解译数据、行业部门调查统计数据，街道管理员或专业人员现场调研复核</w:t>
            </w:r>
          </w:p>
        </w:tc>
      </w:tr>
      <w:tr w14:paraId="063A1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C0ADAC1">
            <w:pPr>
              <w:pStyle w:val="41"/>
              <w:rPr>
                <w:rFonts w:hint="eastAsia"/>
              </w:rPr>
            </w:pPr>
          </w:p>
        </w:tc>
        <w:tc>
          <w:tcPr>
            <w:tcW w:w="196" w:type="pct"/>
            <w:vMerge w:val="continue"/>
            <w:shd w:val="clear" w:color="auto" w:fill="auto"/>
            <w:vAlign w:val="center"/>
          </w:tcPr>
          <w:p w14:paraId="1776C4B4">
            <w:pPr>
              <w:pStyle w:val="41"/>
              <w:rPr>
                <w:rFonts w:hint="eastAsia"/>
              </w:rPr>
            </w:pPr>
          </w:p>
        </w:tc>
        <w:tc>
          <w:tcPr>
            <w:tcW w:w="160" w:type="pct"/>
            <w:vMerge w:val="restart"/>
            <w:shd w:val="clear" w:color="auto" w:fill="auto"/>
            <w:vAlign w:val="center"/>
          </w:tcPr>
          <w:p w14:paraId="4264F5C6">
            <w:pPr>
              <w:pStyle w:val="41"/>
              <w:rPr>
                <w:rFonts w:hint="eastAsia"/>
              </w:rPr>
            </w:pPr>
            <w:r>
              <w:rPr>
                <w:rFonts w:hint="eastAsia"/>
              </w:rPr>
              <w:t>41</w:t>
            </w:r>
          </w:p>
        </w:tc>
        <w:tc>
          <w:tcPr>
            <w:tcW w:w="849" w:type="pct"/>
            <w:vMerge w:val="restart"/>
            <w:shd w:val="clear" w:color="auto" w:fill="auto"/>
            <w:vAlign w:val="center"/>
          </w:tcPr>
          <w:p w14:paraId="3635723D">
            <w:pPr>
              <w:pStyle w:val="41"/>
              <w:rPr>
                <w:rFonts w:hint="eastAsia"/>
              </w:rPr>
            </w:pPr>
            <w:r>
              <w:rPr>
                <w:rFonts w:hint="eastAsia"/>
              </w:rPr>
              <w:t>城市更新片区（单元）实施率</w:t>
            </w:r>
          </w:p>
        </w:tc>
        <w:tc>
          <w:tcPr>
            <w:tcW w:w="902" w:type="pct"/>
            <w:shd w:val="clear" w:color="auto" w:fill="auto"/>
            <w:vAlign w:val="center"/>
          </w:tcPr>
          <w:p w14:paraId="3B6C68AD">
            <w:pPr>
              <w:pStyle w:val="41"/>
              <w:rPr>
                <w:rFonts w:hint="eastAsia"/>
              </w:rPr>
            </w:pPr>
            <w:r>
              <w:rPr>
                <w:rFonts w:hint="eastAsia"/>
              </w:rPr>
              <w:t>41.1按照《河北省城市更新工作指南》要求，已开展编制城市更新单元（片区）策划方案（更新项目建设方案）或开展城市更新单元（片区、项目）建设的更新单元数量</w:t>
            </w:r>
          </w:p>
        </w:tc>
        <w:tc>
          <w:tcPr>
            <w:tcW w:w="1220" w:type="pct"/>
            <w:vMerge w:val="restart"/>
            <w:shd w:val="clear" w:color="auto" w:fill="auto"/>
            <w:vAlign w:val="center"/>
          </w:tcPr>
          <w:p w14:paraId="48F87882">
            <w:pPr>
              <w:pStyle w:val="41"/>
              <w:rPr>
                <w:rFonts w:hint="eastAsia"/>
              </w:rPr>
            </w:pPr>
            <w:r>
              <w:rPr>
                <w:rFonts w:hint="eastAsia"/>
              </w:rPr>
              <w:t>按照《河北省城市更新工作指南》要求，已开展编制城市更新单元（片区）策划方案（更新项目建设方案）或开展城市更新单元（片区、项目）建设的更新单元数量占建成区（拟）划定的城市更新片区（单元）总数的比重。如一个城市更新单元内有多个更新项目，按一个更新单元计。</w:t>
            </w:r>
          </w:p>
        </w:tc>
        <w:tc>
          <w:tcPr>
            <w:tcW w:w="1351" w:type="pct"/>
            <w:vMerge w:val="restart"/>
            <w:shd w:val="clear" w:color="auto" w:fill="auto"/>
            <w:vAlign w:val="center"/>
          </w:tcPr>
          <w:p w14:paraId="7F33EDE3">
            <w:pPr>
              <w:pStyle w:val="41"/>
              <w:rPr>
                <w:rFonts w:hint="eastAsia"/>
              </w:rPr>
            </w:pPr>
            <w:r>
              <w:rPr>
                <w:rFonts w:hint="eastAsia"/>
              </w:rPr>
              <w:t>市住建局、官方统计数据、行业部门调查统计数据</w:t>
            </w:r>
          </w:p>
        </w:tc>
      </w:tr>
      <w:tr w14:paraId="3A37A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 w:hRule="atLeast"/>
        </w:trPr>
        <w:tc>
          <w:tcPr>
            <w:tcW w:w="319" w:type="pct"/>
            <w:vMerge w:val="continue"/>
            <w:shd w:val="clear" w:color="auto" w:fill="auto"/>
            <w:vAlign w:val="center"/>
          </w:tcPr>
          <w:p w14:paraId="7D54C917">
            <w:pPr>
              <w:pStyle w:val="41"/>
              <w:rPr>
                <w:rFonts w:hint="eastAsia"/>
              </w:rPr>
            </w:pPr>
          </w:p>
        </w:tc>
        <w:tc>
          <w:tcPr>
            <w:tcW w:w="196" w:type="pct"/>
            <w:vMerge w:val="continue"/>
            <w:shd w:val="clear" w:color="auto" w:fill="auto"/>
            <w:vAlign w:val="center"/>
          </w:tcPr>
          <w:p w14:paraId="38B37709">
            <w:pPr>
              <w:pStyle w:val="41"/>
              <w:rPr>
                <w:rFonts w:hint="eastAsia"/>
              </w:rPr>
            </w:pPr>
          </w:p>
        </w:tc>
        <w:tc>
          <w:tcPr>
            <w:tcW w:w="160" w:type="pct"/>
            <w:vMerge w:val="continue"/>
            <w:shd w:val="clear" w:color="auto" w:fill="auto"/>
            <w:vAlign w:val="center"/>
          </w:tcPr>
          <w:p w14:paraId="57EA5B86">
            <w:pPr>
              <w:pStyle w:val="41"/>
              <w:rPr>
                <w:rFonts w:hint="eastAsia"/>
              </w:rPr>
            </w:pPr>
          </w:p>
        </w:tc>
        <w:tc>
          <w:tcPr>
            <w:tcW w:w="849" w:type="pct"/>
            <w:vMerge w:val="continue"/>
            <w:shd w:val="clear" w:color="auto" w:fill="auto"/>
            <w:vAlign w:val="center"/>
          </w:tcPr>
          <w:p w14:paraId="54C619EA">
            <w:pPr>
              <w:pStyle w:val="41"/>
              <w:rPr>
                <w:rFonts w:hint="eastAsia"/>
              </w:rPr>
            </w:pPr>
          </w:p>
        </w:tc>
        <w:tc>
          <w:tcPr>
            <w:tcW w:w="902" w:type="pct"/>
            <w:shd w:val="clear" w:color="auto" w:fill="auto"/>
            <w:vAlign w:val="center"/>
          </w:tcPr>
          <w:p w14:paraId="4EDD17F9">
            <w:pPr>
              <w:pStyle w:val="41"/>
              <w:rPr>
                <w:rFonts w:hint="eastAsia"/>
              </w:rPr>
            </w:pPr>
            <w:r>
              <w:rPr>
                <w:rFonts w:hint="eastAsia"/>
              </w:rPr>
              <w:t>42.2建成区（拟）划定的城市更新片区（单元）总数</w:t>
            </w:r>
          </w:p>
        </w:tc>
        <w:tc>
          <w:tcPr>
            <w:tcW w:w="1220" w:type="pct"/>
            <w:vMerge w:val="continue"/>
            <w:shd w:val="clear" w:color="auto" w:fill="auto"/>
            <w:vAlign w:val="center"/>
          </w:tcPr>
          <w:p w14:paraId="12ED8FDD">
            <w:pPr>
              <w:pStyle w:val="41"/>
              <w:rPr>
                <w:rFonts w:hint="eastAsia"/>
              </w:rPr>
            </w:pPr>
          </w:p>
        </w:tc>
        <w:tc>
          <w:tcPr>
            <w:tcW w:w="1351" w:type="pct"/>
            <w:vMerge w:val="continue"/>
            <w:shd w:val="clear" w:color="auto" w:fill="auto"/>
            <w:vAlign w:val="center"/>
          </w:tcPr>
          <w:p w14:paraId="3EB4D40C">
            <w:pPr>
              <w:pStyle w:val="41"/>
              <w:rPr>
                <w:rFonts w:hint="eastAsia"/>
              </w:rPr>
            </w:pPr>
          </w:p>
        </w:tc>
      </w:tr>
      <w:tr w14:paraId="25FE2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319" w:type="pct"/>
            <w:vMerge w:val="continue"/>
            <w:shd w:val="clear" w:color="auto" w:fill="auto"/>
            <w:vAlign w:val="center"/>
          </w:tcPr>
          <w:p w14:paraId="03A062AE">
            <w:pPr>
              <w:pStyle w:val="41"/>
              <w:rPr>
                <w:rFonts w:hint="eastAsia"/>
              </w:rPr>
            </w:pPr>
          </w:p>
        </w:tc>
        <w:tc>
          <w:tcPr>
            <w:tcW w:w="196" w:type="pct"/>
            <w:vMerge w:val="continue"/>
            <w:shd w:val="clear" w:color="auto" w:fill="auto"/>
            <w:vAlign w:val="center"/>
          </w:tcPr>
          <w:p w14:paraId="3AF654C6">
            <w:pPr>
              <w:pStyle w:val="41"/>
              <w:rPr>
                <w:rFonts w:hint="eastAsia"/>
              </w:rPr>
            </w:pPr>
          </w:p>
        </w:tc>
        <w:tc>
          <w:tcPr>
            <w:tcW w:w="160" w:type="pct"/>
            <w:vMerge w:val="restart"/>
            <w:shd w:val="clear" w:color="auto" w:fill="auto"/>
            <w:vAlign w:val="center"/>
          </w:tcPr>
          <w:p w14:paraId="171F062D">
            <w:pPr>
              <w:pStyle w:val="41"/>
              <w:rPr>
                <w:rFonts w:hint="eastAsia"/>
              </w:rPr>
            </w:pPr>
            <w:r>
              <w:rPr>
                <w:rFonts w:hint="eastAsia"/>
              </w:rPr>
              <w:t>42</w:t>
            </w:r>
          </w:p>
        </w:tc>
        <w:tc>
          <w:tcPr>
            <w:tcW w:w="849" w:type="pct"/>
            <w:vMerge w:val="restart"/>
            <w:shd w:val="clear" w:color="auto" w:fill="auto"/>
            <w:vAlign w:val="center"/>
          </w:tcPr>
          <w:p w14:paraId="1C3CA273">
            <w:pPr>
              <w:pStyle w:val="41"/>
              <w:rPr>
                <w:rFonts w:hint="eastAsia"/>
              </w:rPr>
            </w:pPr>
            <w:r>
              <w:rPr>
                <w:rFonts w:hint="eastAsia"/>
              </w:rPr>
              <w:t>完整居住社区覆盖率（%）</w:t>
            </w:r>
          </w:p>
        </w:tc>
        <w:tc>
          <w:tcPr>
            <w:tcW w:w="902" w:type="pct"/>
            <w:vMerge w:val="restart"/>
            <w:shd w:val="clear" w:color="auto" w:fill="auto"/>
            <w:vAlign w:val="center"/>
          </w:tcPr>
          <w:p w14:paraId="5D30CECC">
            <w:pPr>
              <w:pStyle w:val="41"/>
              <w:rPr>
                <w:rFonts w:hint="eastAsia"/>
              </w:rPr>
            </w:pPr>
            <w:r>
              <w:rPr>
                <w:rFonts w:hint="eastAsia"/>
              </w:rPr>
              <w:t>市辖区建成区内达到《完整居住社区建设标准（试行）》的居住社区数量</w:t>
            </w:r>
          </w:p>
        </w:tc>
        <w:tc>
          <w:tcPr>
            <w:tcW w:w="1220" w:type="pct"/>
            <w:vMerge w:val="restart"/>
            <w:shd w:val="clear" w:color="auto" w:fill="auto"/>
            <w:vAlign w:val="center"/>
          </w:tcPr>
          <w:p w14:paraId="347A4AB7">
            <w:pPr>
              <w:pStyle w:val="41"/>
              <w:rPr>
                <w:rFonts w:hint="eastAsia"/>
              </w:rPr>
            </w:pPr>
            <w:r>
              <w:rPr>
                <w:rFonts w:hint="eastAsia"/>
              </w:rPr>
              <w:t>市辖区建成区内达到《完整居住社区建设标准（试行）》的居住社区数量，占居住社区总数的百分比。</w:t>
            </w:r>
          </w:p>
        </w:tc>
        <w:tc>
          <w:tcPr>
            <w:tcW w:w="1351" w:type="pct"/>
            <w:vMerge w:val="restart"/>
            <w:shd w:val="clear" w:color="auto" w:fill="auto"/>
            <w:vAlign w:val="center"/>
          </w:tcPr>
          <w:p w14:paraId="529129D1">
            <w:pPr>
              <w:pStyle w:val="41"/>
              <w:rPr>
                <w:rFonts w:hint="eastAsia"/>
              </w:rPr>
            </w:pPr>
            <w:r>
              <w:rPr>
                <w:rFonts w:hint="eastAsia"/>
              </w:rPr>
              <w:t>市住建局、各街道办、市卫健委、社区管理员或专业人员现场调研填报</w:t>
            </w:r>
          </w:p>
        </w:tc>
      </w:tr>
      <w:tr w14:paraId="3721A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7" w:hRule="atLeast"/>
        </w:trPr>
        <w:tc>
          <w:tcPr>
            <w:tcW w:w="319" w:type="pct"/>
            <w:vMerge w:val="continue"/>
            <w:shd w:val="clear" w:color="auto" w:fill="auto"/>
            <w:vAlign w:val="center"/>
          </w:tcPr>
          <w:p w14:paraId="21400512">
            <w:pPr>
              <w:pStyle w:val="41"/>
              <w:rPr>
                <w:rFonts w:hint="eastAsia"/>
              </w:rPr>
            </w:pPr>
          </w:p>
        </w:tc>
        <w:tc>
          <w:tcPr>
            <w:tcW w:w="196" w:type="pct"/>
            <w:vMerge w:val="continue"/>
            <w:shd w:val="clear" w:color="auto" w:fill="auto"/>
            <w:vAlign w:val="center"/>
          </w:tcPr>
          <w:p w14:paraId="300F5942">
            <w:pPr>
              <w:pStyle w:val="41"/>
              <w:rPr>
                <w:rFonts w:hint="eastAsia"/>
              </w:rPr>
            </w:pPr>
          </w:p>
        </w:tc>
        <w:tc>
          <w:tcPr>
            <w:tcW w:w="160" w:type="pct"/>
            <w:vMerge w:val="continue"/>
            <w:shd w:val="clear" w:color="auto" w:fill="auto"/>
            <w:vAlign w:val="center"/>
          </w:tcPr>
          <w:p w14:paraId="57E00B06">
            <w:pPr>
              <w:pStyle w:val="41"/>
              <w:rPr>
                <w:rFonts w:hint="eastAsia"/>
              </w:rPr>
            </w:pPr>
          </w:p>
        </w:tc>
        <w:tc>
          <w:tcPr>
            <w:tcW w:w="849" w:type="pct"/>
            <w:vMerge w:val="continue"/>
            <w:shd w:val="clear" w:color="auto" w:fill="auto"/>
            <w:vAlign w:val="center"/>
          </w:tcPr>
          <w:p w14:paraId="4913BB0C">
            <w:pPr>
              <w:pStyle w:val="41"/>
              <w:rPr>
                <w:rFonts w:hint="eastAsia"/>
              </w:rPr>
            </w:pPr>
          </w:p>
        </w:tc>
        <w:tc>
          <w:tcPr>
            <w:tcW w:w="902" w:type="pct"/>
            <w:vMerge w:val="continue"/>
            <w:shd w:val="clear" w:color="auto" w:fill="auto"/>
            <w:vAlign w:val="center"/>
          </w:tcPr>
          <w:p w14:paraId="14FB9B58">
            <w:pPr>
              <w:pStyle w:val="41"/>
              <w:rPr>
                <w:rFonts w:hint="eastAsia"/>
              </w:rPr>
            </w:pPr>
          </w:p>
        </w:tc>
        <w:tc>
          <w:tcPr>
            <w:tcW w:w="1220" w:type="pct"/>
            <w:vMerge w:val="continue"/>
            <w:shd w:val="clear" w:color="auto" w:fill="auto"/>
            <w:vAlign w:val="center"/>
          </w:tcPr>
          <w:p w14:paraId="13834C99">
            <w:pPr>
              <w:pStyle w:val="41"/>
              <w:rPr>
                <w:rFonts w:hint="eastAsia"/>
              </w:rPr>
            </w:pPr>
          </w:p>
        </w:tc>
        <w:tc>
          <w:tcPr>
            <w:tcW w:w="1351" w:type="pct"/>
            <w:vMerge w:val="continue"/>
            <w:shd w:val="clear" w:color="auto" w:fill="auto"/>
            <w:vAlign w:val="center"/>
          </w:tcPr>
          <w:p w14:paraId="2F1E43F4">
            <w:pPr>
              <w:pStyle w:val="41"/>
              <w:rPr>
                <w:rFonts w:hint="eastAsia"/>
              </w:rPr>
            </w:pPr>
          </w:p>
        </w:tc>
      </w:tr>
      <w:tr w14:paraId="49058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0" w:hRule="atLeast"/>
        </w:trPr>
        <w:tc>
          <w:tcPr>
            <w:tcW w:w="319" w:type="pct"/>
            <w:vMerge w:val="continue"/>
            <w:shd w:val="clear" w:color="auto" w:fill="auto"/>
            <w:vAlign w:val="center"/>
          </w:tcPr>
          <w:p w14:paraId="22259E98">
            <w:pPr>
              <w:pStyle w:val="41"/>
              <w:rPr>
                <w:rFonts w:hint="eastAsia"/>
              </w:rPr>
            </w:pPr>
          </w:p>
        </w:tc>
        <w:tc>
          <w:tcPr>
            <w:tcW w:w="196" w:type="pct"/>
            <w:vMerge w:val="continue"/>
            <w:shd w:val="clear" w:color="auto" w:fill="auto"/>
            <w:vAlign w:val="center"/>
          </w:tcPr>
          <w:p w14:paraId="1841F78D">
            <w:pPr>
              <w:pStyle w:val="41"/>
              <w:rPr>
                <w:rFonts w:hint="eastAsia"/>
              </w:rPr>
            </w:pPr>
          </w:p>
        </w:tc>
        <w:tc>
          <w:tcPr>
            <w:tcW w:w="160" w:type="pct"/>
            <w:vMerge w:val="restart"/>
            <w:shd w:val="clear" w:color="auto" w:fill="auto"/>
            <w:vAlign w:val="center"/>
          </w:tcPr>
          <w:p w14:paraId="35C296E4">
            <w:pPr>
              <w:pStyle w:val="41"/>
              <w:rPr>
                <w:rFonts w:hint="eastAsia"/>
              </w:rPr>
            </w:pPr>
            <w:r>
              <w:rPr>
                <w:rFonts w:hint="eastAsia"/>
              </w:rPr>
              <w:t>43</w:t>
            </w:r>
          </w:p>
        </w:tc>
        <w:tc>
          <w:tcPr>
            <w:tcW w:w="849" w:type="pct"/>
            <w:vMerge w:val="restart"/>
            <w:shd w:val="clear" w:color="auto" w:fill="auto"/>
            <w:vAlign w:val="center"/>
          </w:tcPr>
          <w:p w14:paraId="05238B4A">
            <w:pPr>
              <w:pStyle w:val="41"/>
              <w:rPr>
                <w:rFonts w:hint="eastAsia"/>
              </w:rPr>
            </w:pPr>
            <w:r>
              <w:rPr>
                <w:rFonts w:hint="eastAsia"/>
              </w:rPr>
              <w:t>社区便民服务设施覆盖率（%）</w:t>
            </w:r>
          </w:p>
        </w:tc>
        <w:tc>
          <w:tcPr>
            <w:tcW w:w="902" w:type="pct"/>
            <w:vMerge w:val="restart"/>
            <w:shd w:val="clear" w:color="auto" w:fill="auto"/>
            <w:vAlign w:val="center"/>
          </w:tcPr>
          <w:p w14:paraId="3FA33CEC">
            <w:pPr>
              <w:pStyle w:val="41"/>
              <w:rPr>
                <w:rFonts w:hint="eastAsia"/>
              </w:rPr>
            </w:pPr>
            <w:r>
              <w:rPr>
                <w:rFonts w:hint="eastAsia"/>
              </w:rPr>
              <w:t>市辖区建成区内居住社区总数</w:t>
            </w:r>
          </w:p>
        </w:tc>
        <w:tc>
          <w:tcPr>
            <w:tcW w:w="1220" w:type="pct"/>
            <w:vMerge w:val="restart"/>
            <w:shd w:val="clear" w:color="auto" w:fill="auto"/>
            <w:vAlign w:val="center"/>
          </w:tcPr>
          <w:p w14:paraId="7464F58F">
            <w:pPr>
              <w:pStyle w:val="41"/>
              <w:rPr>
                <w:rFonts w:hint="eastAsia"/>
              </w:rPr>
            </w:pPr>
            <w:r>
              <w:rPr>
                <w:rFonts w:hint="eastAsia"/>
              </w:rPr>
              <w:t>市辖区建成区建有便民超市、快递点、再生资源回收网点、综合服务等公共服务的社区数占社区总量的比例。</w:t>
            </w:r>
          </w:p>
        </w:tc>
        <w:tc>
          <w:tcPr>
            <w:tcW w:w="1351" w:type="pct"/>
            <w:vMerge w:val="restart"/>
            <w:shd w:val="clear" w:color="auto" w:fill="auto"/>
            <w:vAlign w:val="center"/>
          </w:tcPr>
          <w:p w14:paraId="602D6842">
            <w:pPr>
              <w:pStyle w:val="41"/>
              <w:rPr>
                <w:rFonts w:hint="eastAsia"/>
              </w:rPr>
            </w:pPr>
            <w:r>
              <w:rPr>
                <w:rFonts w:hint="eastAsia"/>
              </w:rPr>
              <w:t>大数据、各街道办区、社区管理员或专业人员现场调研填报</w:t>
            </w:r>
          </w:p>
        </w:tc>
      </w:tr>
      <w:tr w14:paraId="6EFF6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319" w:type="pct"/>
            <w:vMerge w:val="continue"/>
            <w:shd w:val="clear" w:color="auto" w:fill="auto"/>
            <w:vAlign w:val="center"/>
          </w:tcPr>
          <w:p w14:paraId="745E6F6C">
            <w:pPr>
              <w:pStyle w:val="41"/>
              <w:rPr>
                <w:rFonts w:hint="eastAsia"/>
              </w:rPr>
            </w:pPr>
          </w:p>
        </w:tc>
        <w:tc>
          <w:tcPr>
            <w:tcW w:w="196" w:type="pct"/>
            <w:vMerge w:val="continue"/>
            <w:shd w:val="clear" w:color="auto" w:fill="auto"/>
            <w:vAlign w:val="center"/>
          </w:tcPr>
          <w:p w14:paraId="65E57699">
            <w:pPr>
              <w:pStyle w:val="41"/>
              <w:rPr>
                <w:rFonts w:hint="eastAsia"/>
              </w:rPr>
            </w:pPr>
          </w:p>
        </w:tc>
        <w:tc>
          <w:tcPr>
            <w:tcW w:w="160" w:type="pct"/>
            <w:vMerge w:val="continue"/>
            <w:shd w:val="clear" w:color="auto" w:fill="auto"/>
            <w:vAlign w:val="center"/>
          </w:tcPr>
          <w:p w14:paraId="2F03A8DE">
            <w:pPr>
              <w:pStyle w:val="41"/>
              <w:rPr>
                <w:rFonts w:hint="eastAsia"/>
              </w:rPr>
            </w:pPr>
          </w:p>
        </w:tc>
        <w:tc>
          <w:tcPr>
            <w:tcW w:w="849" w:type="pct"/>
            <w:vMerge w:val="continue"/>
            <w:shd w:val="clear" w:color="auto" w:fill="auto"/>
            <w:vAlign w:val="center"/>
          </w:tcPr>
          <w:p w14:paraId="3A722BF5">
            <w:pPr>
              <w:pStyle w:val="41"/>
              <w:rPr>
                <w:rFonts w:hint="eastAsia"/>
              </w:rPr>
            </w:pPr>
          </w:p>
        </w:tc>
        <w:tc>
          <w:tcPr>
            <w:tcW w:w="902" w:type="pct"/>
            <w:vMerge w:val="continue"/>
            <w:shd w:val="clear" w:color="auto" w:fill="auto"/>
            <w:vAlign w:val="center"/>
          </w:tcPr>
          <w:p w14:paraId="490D31A4">
            <w:pPr>
              <w:pStyle w:val="41"/>
              <w:rPr>
                <w:rFonts w:hint="eastAsia"/>
              </w:rPr>
            </w:pPr>
          </w:p>
        </w:tc>
        <w:tc>
          <w:tcPr>
            <w:tcW w:w="1220" w:type="pct"/>
            <w:vMerge w:val="continue"/>
            <w:shd w:val="clear" w:color="auto" w:fill="auto"/>
            <w:vAlign w:val="center"/>
          </w:tcPr>
          <w:p w14:paraId="1A36400A">
            <w:pPr>
              <w:pStyle w:val="41"/>
              <w:rPr>
                <w:rFonts w:hint="eastAsia"/>
              </w:rPr>
            </w:pPr>
          </w:p>
        </w:tc>
        <w:tc>
          <w:tcPr>
            <w:tcW w:w="1351" w:type="pct"/>
            <w:vMerge w:val="continue"/>
            <w:shd w:val="clear" w:color="auto" w:fill="auto"/>
            <w:vAlign w:val="center"/>
          </w:tcPr>
          <w:p w14:paraId="2E4382D8">
            <w:pPr>
              <w:pStyle w:val="41"/>
              <w:rPr>
                <w:rFonts w:hint="eastAsia"/>
              </w:rPr>
            </w:pPr>
          </w:p>
        </w:tc>
      </w:tr>
      <w:tr w14:paraId="39FCA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86C76E5">
            <w:pPr>
              <w:pStyle w:val="41"/>
              <w:rPr>
                <w:rFonts w:hint="eastAsia"/>
              </w:rPr>
            </w:pPr>
          </w:p>
        </w:tc>
        <w:tc>
          <w:tcPr>
            <w:tcW w:w="196" w:type="pct"/>
            <w:vMerge w:val="continue"/>
            <w:shd w:val="clear" w:color="auto" w:fill="auto"/>
            <w:vAlign w:val="center"/>
          </w:tcPr>
          <w:p w14:paraId="541A25CD">
            <w:pPr>
              <w:pStyle w:val="41"/>
              <w:rPr>
                <w:rFonts w:hint="eastAsia"/>
              </w:rPr>
            </w:pPr>
          </w:p>
        </w:tc>
        <w:tc>
          <w:tcPr>
            <w:tcW w:w="160" w:type="pct"/>
            <w:shd w:val="clear" w:color="auto" w:fill="auto"/>
            <w:vAlign w:val="center"/>
          </w:tcPr>
          <w:p w14:paraId="0A2917EC">
            <w:pPr>
              <w:pStyle w:val="41"/>
              <w:rPr>
                <w:rFonts w:hint="eastAsia"/>
              </w:rPr>
            </w:pPr>
            <w:r>
              <w:rPr>
                <w:rFonts w:hint="eastAsia"/>
              </w:rPr>
              <w:t>44</w:t>
            </w:r>
          </w:p>
        </w:tc>
        <w:tc>
          <w:tcPr>
            <w:tcW w:w="849" w:type="pct"/>
            <w:shd w:val="clear" w:color="auto" w:fill="auto"/>
            <w:vAlign w:val="center"/>
          </w:tcPr>
          <w:p w14:paraId="6587622B">
            <w:pPr>
              <w:pStyle w:val="41"/>
              <w:rPr>
                <w:rFonts w:hint="eastAsia"/>
              </w:rPr>
            </w:pPr>
            <w:r>
              <w:rPr>
                <w:rFonts w:hint="eastAsia"/>
              </w:rPr>
              <w:t>人均预期寿命（岁）</w:t>
            </w:r>
          </w:p>
        </w:tc>
        <w:tc>
          <w:tcPr>
            <w:tcW w:w="902" w:type="pct"/>
            <w:shd w:val="clear" w:color="auto" w:fill="auto"/>
            <w:vAlign w:val="center"/>
          </w:tcPr>
          <w:p w14:paraId="15CDF69F">
            <w:pPr>
              <w:pStyle w:val="41"/>
              <w:rPr>
                <w:rFonts w:hint="eastAsia"/>
              </w:rPr>
            </w:pPr>
            <w:r>
              <w:rPr>
                <w:rFonts w:hint="eastAsia"/>
              </w:rPr>
              <w:t>≥78.3岁或逐年提高</w:t>
            </w:r>
          </w:p>
        </w:tc>
        <w:tc>
          <w:tcPr>
            <w:tcW w:w="1220" w:type="pct"/>
            <w:shd w:val="clear" w:color="auto" w:fill="auto"/>
            <w:vAlign w:val="center"/>
          </w:tcPr>
          <w:p w14:paraId="197AF3ED">
            <w:pPr>
              <w:pStyle w:val="41"/>
              <w:rPr>
                <w:rFonts w:hint="eastAsia"/>
              </w:rPr>
            </w:pPr>
            <w:r>
              <w:rPr>
                <w:rFonts w:hint="eastAsia"/>
              </w:rPr>
              <w:t>对市辖区内人均寿命进行预测</w:t>
            </w:r>
          </w:p>
        </w:tc>
        <w:tc>
          <w:tcPr>
            <w:tcW w:w="1351" w:type="pct"/>
            <w:shd w:val="clear" w:color="auto" w:fill="auto"/>
            <w:vAlign w:val="center"/>
          </w:tcPr>
          <w:p w14:paraId="1CEC8D7D">
            <w:pPr>
              <w:pStyle w:val="41"/>
              <w:rPr>
                <w:rFonts w:hint="eastAsia"/>
              </w:rPr>
            </w:pPr>
            <w:r>
              <w:rPr>
                <w:rFonts w:hint="eastAsia"/>
              </w:rPr>
              <w:t>市卫健委、官方预测数据、行业部门调查预测数据</w:t>
            </w:r>
          </w:p>
        </w:tc>
      </w:tr>
      <w:tr w14:paraId="3100C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C5FC589">
            <w:pPr>
              <w:pStyle w:val="41"/>
              <w:rPr>
                <w:rFonts w:hint="eastAsia"/>
              </w:rPr>
            </w:pPr>
          </w:p>
        </w:tc>
        <w:tc>
          <w:tcPr>
            <w:tcW w:w="196" w:type="pct"/>
            <w:vMerge w:val="restart"/>
            <w:shd w:val="clear" w:color="auto" w:fill="auto"/>
            <w:vAlign w:val="center"/>
          </w:tcPr>
          <w:p w14:paraId="7129E4D2">
            <w:pPr>
              <w:pStyle w:val="41"/>
              <w:rPr>
                <w:rFonts w:hint="eastAsia"/>
              </w:rPr>
            </w:pPr>
            <w:r>
              <w:rPr>
                <w:rFonts w:hint="eastAsia"/>
              </w:rPr>
              <w:t>历史文化保护利用</w:t>
            </w:r>
          </w:p>
        </w:tc>
        <w:tc>
          <w:tcPr>
            <w:tcW w:w="160" w:type="pct"/>
            <w:vMerge w:val="restart"/>
            <w:shd w:val="clear" w:color="auto" w:fill="auto"/>
            <w:vAlign w:val="center"/>
          </w:tcPr>
          <w:p w14:paraId="6F3C3423">
            <w:pPr>
              <w:pStyle w:val="41"/>
              <w:rPr>
                <w:rFonts w:hint="eastAsia"/>
              </w:rPr>
            </w:pPr>
            <w:r>
              <w:rPr>
                <w:rFonts w:hint="eastAsia"/>
              </w:rPr>
              <w:t>45</w:t>
            </w:r>
          </w:p>
        </w:tc>
        <w:tc>
          <w:tcPr>
            <w:tcW w:w="849" w:type="pct"/>
            <w:vMerge w:val="restart"/>
            <w:shd w:val="clear" w:color="auto" w:fill="auto"/>
            <w:vAlign w:val="center"/>
          </w:tcPr>
          <w:p w14:paraId="73A919A0">
            <w:pPr>
              <w:pStyle w:val="41"/>
              <w:rPr>
                <w:rFonts w:hint="eastAsia"/>
              </w:rPr>
            </w:pPr>
            <w:r>
              <w:rPr>
                <w:rFonts w:hint="eastAsia"/>
              </w:rPr>
              <w:t>☆</w:t>
            </w:r>
            <w:r>
              <w:t>历史文化街区、历史建筑挂牌建档率（%）</w:t>
            </w:r>
          </w:p>
        </w:tc>
        <w:tc>
          <w:tcPr>
            <w:tcW w:w="902" w:type="pct"/>
            <w:shd w:val="clear" w:color="auto" w:fill="auto"/>
            <w:vAlign w:val="center"/>
          </w:tcPr>
          <w:p w14:paraId="3948F328">
            <w:pPr>
              <w:pStyle w:val="41"/>
              <w:rPr>
                <w:rFonts w:hint="eastAsia"/>
              </w:rPr>
            </w:pPr>
            <w:r>
              <w:rPr>
                <w:rFonts w:hint="eastAsia"/>
              </w:rPr>
              <w:t>45.1市辖区内完成保护标志牌设置的历史文化街区和历史建筑数量</w:t>
            </w:r>
          </w:p>
        </w:tc>
        <w:tc>
          <w:tcPr>
            <w:tcW w:w="1220" w:type="pct"/>
            <w:vMerge w:val="restart"/>
            <w:shd w:val="clear" w:color="auto" w:fill="auto"/>
            <w:vAlign w:val="center"/>
          </w:tcPr>
          <w:p w14:paraId="3EA50BE4">
            <w:pPr>
              <w:pStyle w:val="41"/>
              <w:rPr>
                <w:rFonts w:hint="eastAsia"/>
              </w:rPr>
            </w:pPr>
            <w:r>
              <w:rPr>
                <w:rFonts w:hint="eastAsia"/>
              </w:rPr>
              <w:t>按照历史文化街区、历史建筑挂牌建档率达到100%的目标，调查分析市辖区内完成挂牌建档的历史文化街区、历史建筑数量，占已认定并公布的历史文化街区、历史建筑总数量的百分比，查找历史文化名城、名镇、名村（传统村落）、街区、历史建筑和历史地段等各类保护对象测绘、建档、挂牌等方面存在的问题。</w:t>
            </w:r>
          </w:p>
        </w:tc>
        <w:tc>
          <w:tcPr>
            <w:tcW w:w="1351" w:type="pct"/>
            <w:vMerge w:val="restart"/>
            <w:shd w:val="clear" w:color="auto" w:fill="auto"/>
            <w:vAlign w:val="center"/>
          </w:tcPr>
          <w:p w14:paraId="5CC5F2CF">
            <w:pPr>
              <w:pStyle w:val="41"/>
              <w:rPr>
                <w:rFonts w:hint="eastAsia"/>
              </w:rPr>
            </w:pPr>
            <w:r>
              <w:rPr>
                <w:rFonts w:hint="eastAsia"/>
              </w:rPr>
              <w:t>市住建局、官方统计数据、行业部门调查统计数据</w:t>
            </w:r>
          </w:p>
        </w:tc>
      </w:tr>
      <w:tr w14:paraId="6E34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trPr>
        <w:tc>
          <w:tcPr>
            <w:tcW w:w="319" w:type="pct"/>
            <w:vMerge w:val="continue"/>
            <w:shd w:val="clear" w:color="auto" w:fill="auto"/>
            <w:vAlign w:val="center"/>
          </w:tcPr>
          <w:p w14:paraId="05B49BBD">
            <w:pPr>
              <w:pStyle w:val="41"/>
              <w:rPr>
                <w:rFonts w:hint="eastAsia"/>
              </w:rPr>
            </w:pPr>
          </w:p>
        </w:tc>
        <w:tc>
          <w:tcPr>
            <w:tcW w:w="196" w:type="pct"/>
            <w:vMerge w:val="continue"/>
            <w:shd w:val="clear" w:color="auto" w:fill="auto"/>
            <w:vAlign w:val="center"/>
          </w:tcPr>
          <w:p w14:paraId="7CC76850">
            <w:pPr>
              <w:pStyle w:val="41"/>
              <w:rPr>
                <w:rFonts w:hint="eastAsia"/>
              </w:rPr>
            </w:pPr>
          </w:p>
        </w:tc>
        <w:tc>
          <w:tcPr>
            <w:tcW w:w="160" w:type="pct"/>
            <w:vMerge w:val="continue"/>
            <w:shd w:val="clear" w:color="auto" w:fill="auto"/>
            <w:vAlign w:val="center"/>
          </w:tcPr>
          <w:p w14:paraId="08F9D048">
            <w:pPr>
              <w:pStyle w:val="41"/>
              <w:rPr>
                <w:rFonts w:hint="eastAsia"/>
              </w:rPr>
            </w:pPr>
          </w:p>
        </w:tc>
        <w:tc>
          <w:tcPr>
            <w:tcW w:w="849" w:type="pct"/>
            <w:vMerge w:val="continue"/>
            <w:shd w:val="clear" w:color="auto" w:fill="auto"/>
            <w:vAlign w:val="center"/>
          </w:tcPr>
          <w:p w14:paraId="72B82083">
            <w:pPr>
              <w:pStyle w:val="41"/>
              <w:rPr>
                <w:rFonts w:hint="eastAsia"/>
              </w:rPr>
            </w:pPr>
          </w:p>
        </w:tc>
        <w:tc>
          <w:tcPr>
            <w:tcW w:w="902" w:type="pct"/>
            <w:shd w:val="clear" w:color="auto" w:fill="auto"/>
            <w:vAlign w:val="center"/>
          </w:tcPr>
          <w:p w14:paraId="1CC430F0">
            <w:pPr>
              <w:pStyle w:val="41"/>
              <w:rPr>
                <w:rFonts w:hint="eastAsia"/>
              </w:rPr>
            </w:pPr>
            <w:r>
              <w:rPr>
                <w:rFonts w:hint="eastAsia"/>
              </w:rPr>
              <w:t>45.2已认定并公布的历史文化街区和历史建筑总数量</w:t>
            </w:r>
          </w:p>
        </w:tc>
        <w:tc>
          <w:tcPr>
            <w:tcW w:w="1220" w:type="pct"/>
            <w:vMerge w:val="continue"/>
            <w:shd w:val="clear" w:color="auto" w:fill="auto"/>
            <w:vAlign w:val="center"/>
          </w:tcPr>
          <w:p w14:paraId="2D9617AB">
            <w:pPr>
              <w:pStyle w:val="41"/>
              <w:rPr>
                <w:rFonts w:hint="eastAsia"/>
              </w:rPr>
            </w:pPr>
          </w:p>
        </w:tc>
        <w:tc>
          <w:tcPr>
            <w:tcW w:w="1351" w:type="pct"/>
            <w:vMerge w:val="continue"/>
            <w:shd w:val="clear" w:color="auto" w:fill="auto"/>
            <w:vAlign w:val="center"/>
          </w:tcPr>
          <w:p w14:paraId="7216C29A">
            <w:pPr>
              <w:pStyle w:val="41"/>
              <w:rPr>
                <w:rFonts w:hint="eastAsia"/>
              </w:rPr>
            </w:pPr>
          </w:p>
        </w:tc>
      </w:tr>
      <w:tr w14:paraId="7F8EC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trPr>
        <w:tc>
          <w:tcPr>
            <w:tcW w:w="319" w:type="pct"/>
            <w:vMerge w:val="continue"/>
            <w:shd w:val="clear" w:color="auto" w:fill="auto"/>
            <w:vAlign w:val="center"/>
          </w:tcPr>
          <w:p w14:paraId="6D2208E2">
            <w:pPr>
              <w:pStyle w:val="41"/>
              <w:rPr>
                <w:rFonts w:hint="eastAsia"/>
              </w:rPr>
            </w:pPr>
          </w:p>
        </w:tc>
        <w:tc>
          <w:tcPr>
            <w:tcW w:w="196" w:type="pct"/>
            <w:vMerge w:val="continue"/>
            <w:shd w:val="clear" w:color="auto" w:fill="auto"/>
            <w:vAlign w:val="center"/>
          </w:tcPr>
          <w:p w14:paraId="4DBBB2AC">
            <w:pPr>
              <w:pStyle w:val="41"/>
              <w:rPr>
                <w:rFonts w:hint="eastAsia"/>
              </w:rPr>
            </w:pPr>
          </w:p>
        </w:tc>
        <w:tc>
          <w:tcPr>
            <w:tcW w:w="160" w:type="pct"/>
            <w:vMerge w:val="restart"/>
            <w:shd w:val="clear" w:color="auto" w:fill="auto"/>
            <w:vAlign w:val="center"/>
          </w:tcPr>
          <w:p w14:paraId="34C251F8">
            <w:pPr>
              <w:pStyle w:val="41"/>
              <w:rPr>
                <w:rFonts w:hint="eastAsia"/>
              </w:rPr>
            </w:pPr>
            <w:r>
              <w:rPr>
                <w:rFonts w:hint="eastAsia"/>
              </w:rPr>
              <w:t>46</w:t>
            </w:r>
          </w:p>
        </w:tc>
        <w:tc>
          <w:tcPr>
            <w:tcW w:w="849" w:type="pct"/>
            <w:vMerge w:val="restart"/>
            <w:shd w:val="clear" w:color="auto" w:fill="auto"/>
            <w:vAlign w:val="center"/>
          </w:tcPr>
          <w:p w14:paraId="1DCF56A3">
            <w:pPr>
              <w:pStyle w:val="41"/>
              <w:rPr>
                <w:rFonts w:hint="eastAsia"/>
              </w:rPr>
            </w:pPr>
            <w:r>
              <w:rPr>
                <w:rFonts w:hint="eastAsia"/>
              </w:rPr>
              <w:t>历史建筑空置率（%）</w:t>
            </w:r>
          </w:p>
        </w:tc>
        <w:tc>
          <w:tcPr>
            <w:tcW w:w="902" w:type="pct"/>
            <w:shd w:val="clear" w:color="auto" w:fill="auto"/>
            <w:vAlign w:val="center"/>
          </w:tcPr>
          <w:p w14:paraId="363B5FE4">
            <w:pPr>
              <w:pStyle w:val="41"/>
              <w:rPr>
                <w:rFonts w:hint="eastAsia"/>
              </w:rPr>
            </w:pPr>
            <w:r>
              <w:rPr>
                <w:rFonts w:hint="eastAsia"/>
              </w:rPr>
              <w:t>46.1市辖区内闲置半年以上的历史建筑数量</w:t>
            </w:r>
          </w:p>
        </w:tc>
        <w:tc>
          <w:tcPr>
            <w:tcW w:w="1220" w:type="pct"/>
            <w:vMerge w:val="restart"/>
            <w:shd w:val="clear" w:color="auto" w:fill="auto"/>
            <w:vAlign w:val="center"/>
          </w:tcPr>
          <w:p w14:paraId="1EDA7BE8">
            <w:pPr>
              <w:pStyle w:val="41"/>
              <w:rPr>
                <w:rFonts w:hint="eastAsia"/>
              </w:rPr>
            </w:pPr>
            <w:r>
              <w:rPr>
                <w:rFonts w:hint="eastAsia"/>
              </w:rPr>
              <w:t>调查市辖区内闲置半年以上的历史建筑数量，占公布的历史建筑总数的百分比，查找城市历史建筑活化利用、以用促保等方面存在的问题。</w:t>
            </w:r>
          </w:p>
          <w:p w14:paraId="3ED03119">
            <w:pPr>
              <w:pStyle w:val="41"/>
              <w:rPr>
                <w:rFonts w:hint="eastAsia"/>
              </w:rPr>
            </w:pPr>
            <w:r>
              <w:rPr>
                <w:rFonts w:hint="eastAsia"/>
              </w:rPr>
              <w:t>对于通过修缮完善的历史建筑，查找产权主体单位是否对建筑的活化利用开展相关投入、经营。</w:t>
            </w:r>
          </w:p>
          <w:p w14:paraId="53F8604D">
            <w:pPr>
              <w:pStyle w:val="41"/>
              <w:rPr>
                <w:rFonts w:hint="eastAsia"/>
              </w:rPr>
            </w:pPr>
            <w:r>
              <w:rPr>
                <w:rFonts w:hint="eastAsia"/>
              </w:rPr>
              <w:t>对于尚未开展修缮完善的历史建筑，符合历史建筑的安全质量评定的，应鼓励民间力量开展活化利用。</w:t>
            </w:r>
          </w:p>
        </w:tc>
        <w:tc>
          <w:tcPr>
            <w:tcW w:w="1351" w:type="pct"/>
            <w:vMerge w:val="restart"/>
            <w:shd w:val="clear" w:color="auto" w:fill="auto"/>
            <w:vAlign w:val="center"/>
          </w:tcPr>
          <w:p w14:paraId="7A934A1A">
            <w:pPr>
              <w:pStyle w:val="41"/>
              <w:rPr>
                <w:rFonts w:hint="eastAsia"/>
              </w:rPr>
            </w:pPr>
            <w:r>
              <w:rPr>
                <w:rFonts w:hint="eastAsia"/>
              </w:rPr>
              <w:t>市住建局、官方统计数据、行业部门调查统计数据</w:t>
            </w:r>
          </w:p>
        </w:tc>
      </w:tr>
      <w:tr w14:paraId="5C291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9" w:hRule="atLeast"/>
        </w:trPr>
        <w:tc>
          <w:tcPr>
            <w:tcW w:w="319" w:type="pct"/>
            <w:vMerge w:val="continue"/>
            <w:shd w:val="clear" w:color="auto" w:fill="auto"/>
            <w:vAlign w:val="center"/>
          </w:tcPr>
          <w:p w14:paraId="23D01A27">
            <w:pPr>
              <w:pStyle w:val="41"/>
              <w:rPr>
                <w:rFonts w:hint="eastAsia"/>
              </w:rPr>
            </w:pPr>
          </w:p>
        </w:tc>
        <w:tc>
          <w:tcPr>
            <w:tcW w:w="196" w:type="pct"/>
            <w:vMerge w:val="continue"/>
            <w:shd w:val="clear" w:color="auto" w:fill="auto"/>
            <w:vAlign w:val="center"/>
          </w:tcPr>
          <w:p w14:paraId="01881F84">
            <w:pPr>
              <w:pStyle w:val="41"/>
              <w:rPr>
                <w:rFonts w:hint="eastAsia"/>
              </w:rPr>
            </w:pPr>
          </w:p>
        </w:tc>
        <w:tc>
          <w:tcPr>
            <w:tcW w:w="160" w:type="pct"/>
            <w:vMerge w:val="continue"/>
            <w:shd w:val="clear" w:color="auto" w:fill="auto"/>
            <w:vAlign w:val="center"/>
          </w:tcPr>
          <w:p w14:paraId="5E2DBA28">
            <w:pPr>
              <w:pStyle w:val="41"/>
              <w:rPr>
                <w:rFonts w:hint="eastAsia"/>
              </w:rPr>
            </w:pPr>
          </w:p>
        </w:tc>
        <w:tc>
          <w:tcPr>
            <w:tcW w:w="849" w:type="pct"/>
            <w:vMerge w:val="continue"/>
            <w:shd w:val="clear" w:color="auto" w:fill="auto"/>
            <w:vAlign w:val="center"/>
          </w:tcPr>
          <w:p w14:paraId="1B4B7B02">
            <w:pPr>
              <w:pStyle w:val="41"/>
              <w:rPr>
                <w:rFonts w:hint="eastAsia"/>
              </w:rPr>
            </w:pPr>
          </w:p>
        </w:tc>
        <w:tc>
          <w:tcPr>
            <w:tcW w:w="902" w:type="pct"/>
            <w:shd w:val="clear" w:color="auto" w:fill="auto"/>
            <w:vAlign w:val="center"/>
          </w:tcPr>
          <w:p w14:paraId="39BABEF0">
            <w:pPr>
              <w:pStyle w:val="41"/>
              <w:rPr>
                <w:rFonts w:hint="eastAsia"/>
              </w:rPr>
            </w:pPr>
            <w:r>
              <w:rPr>
                <w:rFonts w:hint="eastAsia"/>
              </w:rPr>
              <w:t>46.2城市政府公布的历史建筑总数</w:t>
            </w:r>
          </w:p>
        </w:tc>
        <w:tc>
          <w:tcPr>
            <w:tcW w:w="1220" w:type="pct"/>
            <w:vMerge w:val="continue"/>
            <w:shd w:val="clear" w:color="auto" w:fill="auto"/>
            <w:vAlign w:val="center"/>
          </w:tcPr>
          <w:p w14:paraId="4C3BD467">
            <w:pPr>
              <w:pStyle w:val="41"/>
              <w:rPr>
                <w:rFonts w:hint="eastAsia"/>
              </w:rPr>
            </w:pPr>
          </w:p>
        </w:tc>
        <w:tc>
          <w:tcPr>
            <w:tcW w:w="1351" w:type="pct"/>
            <w:vMerge w:val="continue"/>
            <w:shd w:val="clear" w:color="auto" w:fill="auto"/>
            <w:vAlign w:val="center"/>
          </w:tcPr>
          <w:p w14:paraId="2E505DBE">
            <w:pPr>
              <w:pStyle w:val="41"/>
              <w:rPr>
                <w:rFonts w:hint="eastAsia"/>
              </w:rPr>
            </w:pPr>
          </w:p>
        </w:tc>
      </w:tr>
      <w:tr w14:paraId="3F6CF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9" w:hRule="atLeast"/>
        </w:trPr>
        <w:tc>
          <w:tcPr>
            <w:tcW w:w="319" w:type="pct"/>
            <w:vMerge w:val="continue"/>
            <w:shd w:val="clear" w:color="auto" w:fill="auto"/>
            <w:vAlign w:val="center"/>
          </w:tcPr>
          <w:p w14:paraId="2EABEFA4">
            <w:pPr>
              <w:pStyle w:val="41"/>
              <w:rPr>
                <w:rFonts w:hint="eastAsia"/>
              </w:rPr>
            </w:pPr>
          </w:p>
        </w:tc>
        <w:tc>
          <w:tcPr>
            <w:tcW w:w="196" w:type="pct"/>
            <w:vMerge w:val="continue"/>
            <w:shd w:val="clear" w:color="auto" w:fill="auto"/>
            <w:vAlign w:val="center"/>
          </w:tcPr>
          <w:p w14:paraId="15153A80">
            <w:pPr>
              <w:pStyle w:val="41"/>
              <w:rPr>
                <w:rFonts w:hint="eastAsia"/>
              </w:rPr>
            </w:pPr>
          </w:p>
        </w:tc>
        <w:tc>
          <w:tcPr>
            <w:tcW w:w="160" w:type="pct"/>
            <w:shd w:val="clear" w:color="auto" w:fill="auto"/>
            <w:vAlign w:val="center"/>
          </w:tcPr>
          <w:p w14:paraId="6A7204C2">
            <w:pPr>
              <w:pStyle w:val="41"/>
              <w:rPr>
                <w:rFonts w:hint="eastAsia"/>
              </w:rPr>
            </w:pPr>
            <w:r>
              <w:rPr>
                <w:rFonts w:hint="eastAsia"/>
              </w:rPr>
              <w:t>47</w:t>
            </w:r>
          </w:p>
        </w:tc>
        <w:tc>
          <w:tcPr>
            <w:tcW w:w="849" w:type="pct"/>
            <w:shd w:val="clear" w:color="auto" w:fill="auto"/>
            <w:vAlign w:val="center"/>
          </w:tcPr>
          <w:p w14:paraId="332D7286">
            <w:pPr>
              <w:pStyle w:val="41"/>
              <w:rPr>
                <w:rFonts w:hint="eastAsia"/>
              </w:rPr>
            </w:pPr>
            <w:r>
              <w:rPr>
                <w:rFonts w:hint="eastAsia"/>
              </w:rPr>
              <w:t>历史文化资源遭受破坏的负面事件数量（起）</w:t>
            </w:r>
          </w:p>
        </w:tc>
        <w:tc>
          <w:tcPr>
            <w:tcW w:w="902" w:type="pct"/>
            <w:shd w:val="clear" w:color="auto" w:fill="auto"/>
            <w:vAlign w:val="center"/>
          </w:tcPr>
          <w:p w14:paraId="718F55AB">
            <w:pPr>
              <w:pStyle w:val="41"/>
              <w:rPr>
                <w:rFonts w:hint="eastAsia"/>
              </w:rPr>
            </w:pPr>
            <w:r>
              <w:rPr>
                <w:rFonts w:hint="eastAsia"/>
              </w:rPr>
              <w:t>当年市域内存在拆除历史建筑、传统民居，砍大树老树，破坏地形地貌、传统风貌和街道格局等负面事件的个数</w:t>
            </w:r>
          </w:p>
        </w:tc>
        <w:tc>
          <w:tcPr>
            <w:tcW w:w="1220" w:type="pct"/>
            <w:shd w:val="clear" w:color="auto" w:fill="auto"/>
            <w:vAlign w:val="center"/>
          </w:tcPr>
          <w:p w14:paraId="22D67CE8">
            <w:pPr>
              <w:pStyle w:val="41"/>
              <w:rPr>
                <w:rFonts w:hint="eastAsia"/>
              </w:rPr>
            </w:pPr>
            <w:r>
              <w:rPr>
                <w:rFonts w:hint="eastAsia"/>
              </w:rPr>
              <w:t>调查市辖区内文物建筑、历史建筑和各类具有保护价值的建筑，以及古树名木等历史环境要素遭受破坏的负面事件数量，查找城乡建设中历史文化遗产遭破坏、拆除，大规模搬迁原住民等方面的问题。</w:t>
            </w:r>
          </w:p>
        </w:tc>
        <w:tc>
          <w:tcPr>
            <w:tcW w:w="1351" w:type="pct"/>
            <w:shd w:val="clear" w:color="auto" w:fill="auto"/>
            <w:vAlign w:val="center"/>
          </w:tcPr>
          <w:p w14:paraId="19828675">
            <w:pPr>
              <w:pStyle w:val="41"/>
              <w:rPr>
                <w:rFonts w:hint="eastAsia"/>
              </w:rPr>
            </w:pPr>
            <w:r>
              <w:rPr>
                <w:rFonts w:hint="eastAsia"/>
              </w:rPr>
              <w:t>市住建局、官方统计数据、行业部门调查统计数据</w:t>
            </w:r>
          </w:p>
        </w:tc>
      </w:tr>
      <w:tr w14:paraId="62BFC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2391E42">
            <w:pPr>
              <w:pStyle w:val="41"/>
              <w:rPr>
                <w:rFonts w:hint="eastAsia"/>
              </w:rPr>
            </w:pPr>
          </w:p>
        </w:tc>
        <w:tc>
          <w:tcPr>
            <w:tcW w:w="196" w:type="pct"/>
            <w:vMerge w:val="continue"/>
            <w:shd w:val="clear" w:color="auto" w:fill="auto"/>
            <w:vAlign w:val="center"/>
          </w:tcPr>
          <w:p w14:paraId="744AA5B0">
            <w:pPr>
              <w:pStyle w:val="41"/>
              <w:rPr>
                <w:rFonts w:hint="eastAsia"/>
              </w:rPr>
            </w:pPr>
          </w:p>
        </w:tc>
        <w:tc>
          <w:tcPr>
            <w:tcW w:w="160" w:type="pct"/>
            <w:shd w:val="clear" w:color="auto" w:fill="auto"/>
            <w:vAlign w:val="center"/>
          </w:tcPr>
          <w:p w14:paraId="6EC3375D">
            <w:pPr>
              <w:pStyle w:val="41"/>
              <w:rPr>
                <w:rFonts w:hint="eastAsia"/>
              </w:rPr>
            </w:pPr>
            <w:r>
              <w:rPr>
                <w:rFonts w:hint="eastAsia"/>
              </w:rPr>
              <w:t>48</w:t>
            </w:r>
          </w:p>
        </w:tc>
        <w:tc>
          <w:tcPr>
            <w:tcW w:w="849" w:type="pct"/>
            <w:shd w:val="clear" w:color="auto" w:fill="auto"/>
            <w:vAlign w:val="center"/>
          </w:tcPr>
          <w:p w14:paraId="522FD050">
            <w:pPr>
              <w:pStyle w:val="41"/>
              <w:rPr>
                <w:rFonts w:hint="eastAsia"/>
              </w:rPr>
            </w:pPr>
            <w:r>
              <w:rPr>
                <w:rFonts w:hint="eastAsia"/>
              </w:rPr>
              <w:t>擅自拆除历史文化街区内建筑物、构筑物的数量（栋）</w:t>
            </w:r>
          </w:p>
        </w:tc>
        <w:tc>
          <w:tcPr>
            <w:tcW w:w="902" w:type="pct"/>
            <w:shd w:val="clear" w:color="auto" w:fill="auto"/>
            <w:vAlign w:val="center"/>
          </w:tcPr>
          <w:p w14:paraId="0F576BB3">
            <w:pPr>
              <w:pStyle w:val="41"/>
              <w:rPr>
                <w:rFonts w:hint="eastAsia"/>
              </w:rPr>
            </w:pPr>
            <w:r>
              <w:rPr>
                <w:rFonts w:hint="eastAsia"/>
              </w:rPr>
              <w:t>在历史文化街区核心保护范围内，未经有关部门批准，拆除历史建筑以外的建筑物、构筑物或者其他设施的数量。</w:t>
            </w:r>
          </w:p>
        </w:tc>
        <w:tc>
          <w:tcPr>
            <w:tcW w:w="1220" w:type="pct"/>
            <w:shd w:val="clear" w:color="auto" w:fill="auto"/>
            <w:vAlign w:val="center"/>
          </w:tcPr>
          <w:p w14:paraId="27CB7551">
            <w:pPr>
              <w:pStyle w:val="41"/>
              <w:rPr>
                <w:rFonts w:hint="eastAsia"/>
              </w:rPr>
            </w:pPr>
            <w:r>
              <w:rPr>
                <w:rFonts w:hint="eastAsia"/>
              </w:rPr>
              <w:t>调查市辖区历史文化街区核心保护范围内，未经有关部门批准，拆除历史建筑以外的建筑物、构筑物或者其他设施的数量，查找违规拆除或审批管理机制不健全等方面的问题。</w:t>
            </w:r>
          </w:p>
        </w:tc>
        <w:tc>
          <w:tcPr>
            <w:tcW w:w="1351" w:type="pct"/>
            <w:shd w:val="clear" w:color="auto" w:fill="auto"/>
            <w:vAlign w:val="center"/>
          </w:tcPr>
          <w:p w14:paraId="43605C3F">
            <w:pPr>
              <w:pStyle w:val="41"/>
              <w:rPr>
                <w:rFonts w:hint="eastAsia"/>
              </w:rPr>
            </w:pPr>
            <w:r>
              <w:rPr>
                <w:rFonts w:hint="eastAsia"/>
              </w:rPr>
              <w:t>市住建局、官方统计数据、行业部门调查统计数据</w:t>
            </w:r>
          </w:p>
        </w:tc>
      </w:tr>
      <w:tr w14:paraId="260D6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trPr>
        <w:tc>
          <w:tcPr>
            <w:tcW w:w="319" w:type="pct"/>
            <w:vMerge w:val="continue"/>
            <w:shd w:val="clear" w:color="auto" w:fill="auto"/>
            <w:vAlign w:val="center"/>
          </w:tcPr>
          <w:p w14:paraId="71AC19E7">
            <w:pPr>
              <w:pStyle w:val="41"/>
              <w:rPr>
                <w:rFonts w:hint="eastAsia"/>
              </w:rPr>
            </w:pPr>
          </w:p>
        </w:tc>
        <w:tc>
          <w:tcPr>
            <w:tcW w:w="196" w:type="pct"/>
            <w:vMerge w:val="continue"/>
            <w:shd w:val="clear" w:color="auto" w:fill="auto"/>
            <w:vAlign w:val="center"/>
          </w:tcPr>
          <w:p w14:paraId="726A96DF">
            <w:pPr>
              <w:pStyle w:val="41"/>
              <w:rPr>
                <w:rFonts w:hint="eastAsia"/>
              </w:rPr>
            </w:pPr>
          </w:p>
        </w:tc>
        <w:tc>
          <w:tcPr>
            <w:tcW w:w="160" w:type="pct"/>
            <w:vMerge w:val="restart"/>
            <w:shd w:val="clear" w:color="auto" w:fill="auto"/>
            <w:vAlign w:val="center"/>
          </w:tcPr>
          <w:p w14:paraId="7E2ACED6">
            <w:pPr>
              <w:pStyle w:val="41"/>
              <w:rPr>
                <w:rFonts w:hint="eastAsia"/>
              </w:rPr>
            </w:pPr>
            <w:r>
              <w:rPr>
                <w:rFonts w:hint="eastAsia"/>
              </w:rPr>
              <w:t>49</w:t>
            </w:r>
          </w:p>
        </w:tc>
        <w:tc>
          <w:tcPr>
            <w:tcW w:w="849" w:type="pct"/>
            <w:vMerge w:val="restart"/>
            <w:shd w:val="clear" w:color="auto" w:fill="auto"/>
            <w:vAlign w:val="center"/>
          </w:tcPr>
          <w:p w14:paraId="4B4DE240">
            <w:pPr>
              <w:pStyle w:val="41"/>
              <w:rPr>
                <w:rFonts w:hint="eastAsia"/>
              </w:rPr>
            </w:pPr>
            <w:r>
              <w:rPr>
                <w:rFonts w:hint="eastAsia"/>
              </w:rPr>
              <w:t>当年各类保护对象增加数量（个）</w:t>
            </w:r>
          </w:p>
        </w:tc>
        <w:tc>
          <w:tcPr>
            <w:tcW w:w="902" w:type="pct"/>
            <w:shd w:val="clear" w:color="auto" w:fill="auto"/>
            <w:vAlign w:val="center"/>
          </w:tcPr>
          <w:p w14:paraId="05ED8A7E">
            <w:pPr>
              <w:pStyle w:val="41"/>
              <w:rPr>
                <w:rFonts w:hint="eastAsia"/>
              </w:rPr>
            </w:pPr>
            <w:r>
              <w:rPr>
                <w:rFonts w:hint="eastAsia"/>
              </w:rPr>
              <w:t>49.1当年市辖区已认定公布的保护对象数量</w:t>
            </w:r>
          </w:p>
        </w:tc>
        <w:tc>
          <w:tcPr>
            <w:tcW w:w="1220" w:type="pct"/>
            <w:vMerge w:val="restart"/>
            <w:shd w:val="clear" w:color="auto" w:fill="auto"/>
            <w:vAlign w:val="center"/>
          </w:tcPr>
          <w:p w14:paraId="04E6C411">
            <w:pPr>
              <w:pStyle w:val="41"/>
              <w:rPr>
                <w:rFonts w:hint="eastAsia"/>
              </w:rPr>
            </w:pPr>
            <w:r>
              <w:rPr>
                <w:rFonts w:hint="eastAsia"/>
              </w:rPr>
              <w:t>调查市辖区内已认定公布的历史文化街区、不可移动文物、历史建筑、历史地段、工业遗产等保护对象数量比上年度增加数量，查找历史文化资源调查评估机制不健全，未做到应保尽保的问题。</w:t>
            </w:r>
          </w:p>
        </w:tc>
        <w:tc>
          <w:tcPr>
            <w:tcW w:w="1351" w:type="pct"/>
            <w:vMerge w:val="restart"/>
            <w:shd w:val="clear" w:color="auto" w:fill="auto"/>
            <w:vAlign w:val="center"/>
          </w:tcPr>
          <w:p w14:paraId="23FC6DCF">
            <w:pPr>
              <w:pStyle w:val="41"/>
              <w:rPr>
                <w:rFonts w:hint="eastAsia"/>
              </w:rPr>
            </w:pPr>
            <w:r>
              <w:rPr>
                <w:rFonts w:hint="eastAsia"/>
              </w:rPr>
              <w:t>市住建局、官方统计数据、行业部门调查统计数据</w:t>
            </w:r>
          </w:p>
        </w:tc>
      </w:tr>
      <w:tr w14:paraId="33E7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B926285">
            <w:pPr>
              <w:pStyle w:val="41"/>
              <w:rPr>
                <w:rFonts w:hint="eastAsia"/>
              </w:rPr>
            </w:pPr>
          </w:p>
        </w:tc>
        <w:tc>
          <w:tcPr>
            <w:tcW w:w="196" w:type="pct"/>
            <w:vMerge w:val="continue"/>
            <w:shd w:val="clear" w:color="auto" w:fill="auto"/>
            <w:vAlign w:val="center"/>
          </w:tcPr>
          <w:p w14:paraId="69DA860B">
            <w:pPr>
              <w:pStyle w:val="41"/>
              <w:rPr>
                <w:rFonts w:hint="eastAsia"/>
              </w:rPr>
            </w:pPr>
          </w:p>
        </w:tc>
        <w:tc>
          <w:tcPr>
            <w:tcW w:w="160" w:type="pct"/>
            <w:vMerge w:val="continue"/>
            <w:shd w:val="clear" w:color="auto" w:fill="auto"/>
            <w:vAlign w:val="center"/>
          </w:tcPr>
          <w:p w14:paraId="7F554C67">
            <w:pPr>
              <w:pStyle w:val="41"/>
              <w:rPr>
                <w:rFonts w:hint="eastAsia"/>
              </w:rPr>
            </w:pPr>
          </w:p>
        </w:tc>
        <w:tc>
          <w:tcPr>
            <w:tcW w:w="849" w:type="pct"/>
            <w:vMerge w:val="continue"/>
            <w:shd w:val="clear" w:color="auto" w:fill="auto"/>
            <w:vAlign w:val="center"/>
          </w:tcPr>
          <w:p w14:paraId="066107A7">
            <w:pPr>
              <w:pStyle w:val="41"/>
              <w:rPr>
                <w:rFonts w:hint="eastAsia"/>
              </w:rPr>
            </w:pPr>
          </w:p>
        </w:tc>
        <w:tc>
          <w:tcPr>
            <w:tcW w:w="902" w:type="pct"/>
            <w:shd w:val="clear" w:color="auto" w:fill="auto"/>
            <w:vAlign w:val="center"/>
          </w:tcPr>
          <w:p w14:paraId="536F4B70">
            <w:pPr>
              <w:pStyle w:val="41"/>
              <w:rPr>
                <w:rFonts w:hint="eastAsia"/>
              </w:rPr>
            </w:pPr>
            <w:r>
              <w:rPr>
                <w:rFonts w:hint="eastAsia"/>
              </w:rPr>
              <w:t>49.2上一年度保护对象数量</w:t>
            </w:r>
          </w:p>
        </w:tc>
        <w:tc>
          <w:tcPr>
            <w:tcW w:w="1220" w:type="pct"/>
            <w:vMerge w:val="continue"/>
            <w:shd w:val="clear" w:color="auto" w:fill="auto"/>
            <w:vAlign w:val="center"/>
          </w:tcPr>
          <w:p w14:paraId="6FADE33F">
            <w:pPr>
              <w:pStyle w:val="41"/>
              <w:rPr>
                <w:rFonts w:hint="eastAsia"/>
              </w:rPr>
            </w:pPr>
          </w:p>
        </w:tc>
        <w:tc>
          <w:tcPr>
            <w:tcW w:w="1351" w:type="pct"/>
            <w:vMerge w:val="continue"/>
            <w:shd w:val="clear" w:color="auto" w:fill="auto"/>
            <w:vAlign w:val="center"/>
          </w:tcPr>
          <w:p w14:paraId="7CF3E6BD">
            <w:pPr>
              <w:pStyle w:val="41"/>
              <w:rPr>
                <w:rFonts w:hint="eastAsia"/>
              </w:rPr>
            </w:pPr>
          </w:p>
        </w:tc>
      </w:tr>
      <w:tr w14:paraId="10D22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1" w:hRule="atLeast"/>
        </w:trPr>
        <w:tc>
          <w:tcPr>
            <w:tcW w:w="319" w:type="pct"/>
            <w:vMerge w:val="continue"/>
            <w:shd w:val="clear" w:color="auto" w:fill="auto"/>
            <w:vAlign w:val="center"/>
          </w:tcPr>
          <w:p w14:paraId="5EE72FD8">
            <w:pPr>
              <w:pStyle w:val="41"/>
              <w:rPr>
                <w:rFonts w:hint="eastAsia"/>
              </w:rPr>
            </w:pPr>
          </w:p>
        </w:tc>
        <w:tc>
          <w:tcPr>
            <w:tcW w:w="196" w:type="pct"/>
            <w:vMerge w:val="restart"/>
            <w:shd w:val="clear" w:color="auto" w:fill="auto"/>
            <w:vAlign w:val="center"/>
          </w:tcPr>
          <w:p w14:paraId="66236229">
            <w:pPr>
              <w:pStyle w:val="41"/>
              <w:rPr>
                <w:rFonts w:hint="eastAsia"/>
              </w:rPr>
            </w:pPr>
            <w:r>
              <w:rPr>
                <w:rFonts w:hint="eastAsia"/>
              </w:rPr>
              <w:t>产城融合职住平衡</w:t>
            </w:r>
          </w:p>
        </w:tc>
        <w:tc>
          <w:tcPr>
            <w:tcW w:w="160" w:type="pct"/>
            <w:shd w:val="clear" w:color="auto" w:fill="auto"/>
            <w:vAlign w:val="center"/>
          </w:tcPr>
          <w:p w14:paraId="76799FEC">
            <w:pPr>
              <w:pStyle w:val="41"/>
              <w:rPr>
                <w:rFonts w:hint="eastAsia"/>
              </w:rPr>
            </w:pPr>
            <w:r>
              <w:rPr>
                <w:rFonts w:hint="eastAsia"/>
              </w:rPr>
              <w:t>50</w:t>
            </w:r>
          </w:p>
        </w:tc>
        <w:tc>
          <w:tcPr>
            <w:tcW w:w="849" w:type="pct"/>
            <w:shd w:val="clear" w:color="auto" w:fill="auto"/>
            <w:vAlign w:val="center"/>
          </w:tcPr>
          <w:p w14:paraId="32F9298E">
            <w:pPr>
              <w:pStyle w:val="41"/>
              <w:rPr>
                <w:rFonts w:hint="eastAsia"/>
              </w:rPr>
            </w:pPr>
            <w:r>
              <w:rPr>
                <w:rFonts w:hint="eastAsia"/>
              </w:rPr>
              <w:t>城市高峰期机动车平均速度（千米/小时）</w:t>
            </w:r>
          </w:p>
        </w:tc>
        <w:tc>
          <w:tcPr>
            <w:tcW w:w="902" w:type="pct"/>
            <w:shd w:val="clear" w:color="auto" w:fill="auto"/>
            <w:vAlign w:val="center"/>
          </w:tcPr>
          <w:p w14:paraId="1BBBFA24">
            <w:pPr>
              <w:pStyle w:val="41"/>
              <w:rPr>
                <w:rFonts w:hint="eastAsia"/>
              </w:rPr>
            </w:pPr>
            <w:r>
              <w:rPr>
                <w:rFonts w:hint="eastAsia"/>
              </w:rPr>
              <w:t>先计算各路段平均行程速度=统计周期内通过车辆数*路段长度/观察车辆在该路段上行驶时间之和，再按车道公里（统计时段通过的当量小汽车*道路长度）进行加权平均，计算单位：公里/小时。统计范围为城市市辖区建成区。</w:t>
            </w:r>
          </w:p>
        </w:tc>
        <w:tc>
          <w:tcPr>
            <w:tcW w:w="1220" w:type="pct"/>
            <w:shd w:val="clear" w:color="auto" w:fill="auto"/>
            <w:vAlign w:val="center"/>
          </w:tcPr>
          <w:p w14:paraId="1577EA7B">
            <w:pPr>
              <w:pStyle w:val="41"/>
              <w:rPr>
                <w:rFonts w:hint="eastAsia"/>
              </w:rPr>
            </w:pPr>
            <w:r>
              <w:rPr>
                <w:rFonts w:hint="eastAsia"/>
              </w:rPr>
              <w:t>按照城市快速路、主干路早晚高峰期平均车速分别不低于30km/h、20km/h的标准要求，调查工作日早晚高峰时段城市主干路及以上等级道路上各类机动车的平均行驶速度，查找城市交通拥堵情况。</w:t>
            </w:r>
          </w:p>
        </w:tc>
        <w:tc>
          <w:tcPr>
            <w:tcW w:w="1351" w:type="pct"/>
            <w:shd w:val="clear" w:color="auto" w:fill="auto"/>
            <w:vAlign w:val="center"/>
          </w:tcPr>
          <w:p w14:paraId="346B3B63">
            <w:pPr>
              <w:pStyle w:val="41"/>
              <w:rPr>
                <w:rFonts w:hint="eastAsia"/>
              </w:rPr>
            </w:pPr>
            <w:r>
              <w:rPr>
                <w:rFonts w:hint="eastAsia"/>
              </w:rPr>
              <w:t>市公安局、官方统计数据、行业部门调查统计数据</w:t>
            </w:r>
          </w:p>
        </w:tc>
      </w:tr>
      <w:tr w14:paraId="1D93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881702B">
            <w:pPr>
              <w:pStyle w:val="41"/>
              <w:rPr>
                <w:rFonts w:hint="eastAsia"/>
              </w:rPr>
            </w:pPr>
          </w:p>
        </w:tc>
        <w:tc>
          <w:tcPr>
            <w:tcW w:w="196" w:type="pct"/>
            <w:vMerge w:val="continue"/>
            <w:shd w:val="clear" w:color="auto" w:fill="auto"/>
            <w:vAlign w:val="center"/>
          </w:tcPr>
          <w:p w14:paraId="48B91742">
            <w:pPr>
              <w:pStyle w:val="41"/>
              <w:rPr>
                <w:rFonts w:hint="eastAsia"/>
              </w:rPr>
            </w:pPr>
          </w:p>
        </w:tc>
        <w:tc>
          <w:tcPr>
            <w:tcW w:w="160" w:type="pct"/>
            <w:vMerge w:val="restart"/>
            <w:shd w:val="clear" w:color="auto" w:fill="auto"/>
            <w:vAlign w:val="center"/>
          </w:tcPr>
          <w:p w14:paraId="7FBE1F8E">
            <w:pPr>
              <w:pStyle w:val="41"/>
              <w:rPr>
                <w:rFonts w:hint="eastAsia"/>
              </w:rPr>
            </w:pPr>
            <w:r>
              <w:rPr>
                <w:rFonts w:hint="eastAsia"/>
              </w:rPr>
              <w:t>51</w:t>
            </w:r>
          </w:p>
        </w:tc>
        <w:tc>
          <w:tcPr>
            <w:tcW w:w="849" w:type="pct"/>
            <w:vMerge w:val="restart"/>
            <w:shd w:val="clear" w:color="auto" w:fill="auto"/>
            <w:vAlign w:val="center"/>
          </w:tcPr>
          <w:p w14:paraId="3BCD8FF5">
            <w:pPr>
              <w:pStyle w:val="41"/>
              <w:rPr>
                <w:rFonts w:hint="eastAsia"/>
              </w:rPr>
            </w:pPr>
            <w:r>
              <w:rPr>
                <w:rFonts w:hint="eastAsia"/>
              </w:rPr>
              <w:t>☆</w:t>
            </w:r>
            <w:r>
              <w:t>年度保障性住房占比（%）</w:t>
            </w:r>
          </w:p>
        </w:tc>
        <w:tc>
          <w:tcPr>
            <w:tcW w:w="902" w:type="pct"/>
            <w:shd w:val="clear" w:color="auto" w:fill="auto"/>
            <w:vAlign w:val="center"/>
          </w:tcPr>
          <w:p w14:paraId="58189021">
            <w:pPr>
              <w:pStyle w:val="41"/>
              <w:rPr>
                <w:rFonts w:hint="eastAsia"/>
              </w:rPr>
            </w:pPr>
            <w:r>
              <w:rPr>
                <w:rFonts w:hint="eastAsia"/>
              </w:rPr>
              <w:t>51.1市辖区建成区内当年新开工的保障性住房套数</w:t>
            </w:r>
          </w:p>
        </w:tc>
        <w:tc>
          <w:tcPr>
            <w:tcW w:w="1220" w:type="pct"/>
            <w:vMerge w:val="restart"/>
            <w:shd w:val="clear" w:color="auto" w:fill="auto"/>
            <w:vAlign w:val="center"/>
          </w:tcPr>
          <w:p w14:paraId="415E31EE">
            <w:pPr>
              <w:pStyle w:val="41"/>
              <w:rPr>
                <w:rFonts w:hint="eastAsia"/>
              </w:rPr>
            </w:pPr>
            <w:r>
              <w:rPr>
                <w:rFonts w:hint="eastAsia"/>
              </w:rPr>
              <w:t>调查分析当年市辖区新郑保障性住房占当年新增住房供应的比例，摸清保障性住房需求与供应情况。</w:t>
            </w:r>
          </w:p>
        </w:tc>
        <w:tc>
          <w:tcPr>
            <w:tcW w:w="1351" w:type="pct"/>
            <w:vMerge w:val="restart"/>
            <w:shd w:val="clear" w:color="auto" w:fill="auto"/>
            <w:vAlign w:val="center"/>
          </w:tcPr>
          <w:p w14:paraId="55AE5F89">
            <w:pPr>
              <w:pStyle w:val="41"/>
              <w:rPr>
                <w:rFonts w:hint="eastAsia"/>
              </w:rPr>
            </w:pPr>
            <w:r>
              <w:rPr>
                <w:rFonts w:hint="eastAsia"/>
              </w:rPr>
              <w:t>市住建局、官方统计数据、行业部门调查统计数据</w:t>
            </w:r>
          </w:p>
        </w:tc>
      </w:tr>
      <w:tr w14:paraId="3EB28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trPr>
        <w:tc>
          <w:tcPr>
            <w:tcW w:w="319" w:type="pct"/>
            <w:vMerge w:val="continue"/>
            <w:shd w:val="clear" w:color="auto" w:fill="auto"/>
            <w:vAlign w:val="center"/>
          </w:tcPr>
          <w:p w14:paraId="4F6DD28E">
            <w:pPr>
              <w:pStyle w:val="41"/>
              <w:rPr>
                <w:rFonts w:hint="eastAsia"/>
              </w:rPr>
            </w:pPr>
          </w:p>
        </w:tc>
        <w:tc>
          <w:tcPr>
            <w:tcW w:w="196" w:type="pct"/>
            <w:vMerge w:val="continue"/>
            <w:shd w:val="clear" w:color="auto" w:fill="auto"/>
            <w:vAlign w:val="center"/>
          </w:tcPr>
          <w:p w14:paraId="433380A1">
            <w:pPr>
              <w:pStyle w:val="41"/>
              <w:rPr>
                <w:rFonts w:hint="eastAsia"/>
              </w:rPr>
            </w:pPr>
          </w:p>
        </w:tc>
        <w:tc>
          <w:tcPr>
            <w:tcW w:w="160" w:type="pct"/>
            <w:vMerge w:val="continue"/>
            <w:shd w:val="clear" w:color="auto" w:fill="auto"/>
            <w:vAlign w:val="center"/>
          </w:tcPr>
          <w:p w14:paraId="29DA81AC">
            <w:pPr>
              <w:pStyle w:val="41"/>
              <w:rPr>
                <w:rFonts w:hint="eastAsia"/>
              </w:rPr>
            </w:pPr>
          </w:p>
        </w:tc>
        <w:tc>
          <w:tcPr>
            <w:tcW w:w="849" w:type="pct"/>
            <w:vMerge w:val="continue"/>
            <w:shd w:val="clear" w:color="auto" w:fill="auto"/>
            <w:vAlign w:val="center"/>
          </w:tcPr>
          <w:p w14:paraId="3EAD6D84">
            <w:pPr>
              <w:pStyle w:val="41"/>
              <w:rPr>
                <w:rFonts w:hint="eastAsia"/>
              </w:rPr>
            </w:pPr>
          </w:p>
        </w:tc>
        <w:tc>
          <w:tcPr>
            <w:tcW w:w="902" w:type="pct"/>
            <w:shd w:val="clear" w:color="auto" w:fill="auto"/>
            <w:vAlign w:val="center"/>
          </w:tcPr>
          <w:p w14:paraId="1E4F261D">
            <w:pPr>
              <w:pStyle w:val="41"/>
              <w:rPr>
                <w:rFonts w:hint="eastAsia"/>
              </w:rPr>
            </w:pPr>
            <w:r>
              <w:rPr>
                <w:rFonts w:hint="eastAsia"/>
              </w:rPr>
              <w:t>51.2市辖区建成区内当年新开工的所有住房套数</w:t>
            </w:r>
          </w:p>
        </w:tc>
        <w:tc>
          <w:tcPr>
            <w:tcW w:w="1220" w:type="pct"/>
            <w:vMerge w:val="continue"/>
            <w:shd w:val="clear" w:color="auto" w:fill="auto"/>
            <w:vAlign w:val="center"/>
          </w:tcPr>
          <w:p w14:paraId="5D75F31C">
            <w:pPr>
              <w:pStyle w:val="41"/>
              <w:rPr>
                <w:rFonts w:hint="eastAsia"/>
              </w:rPr>
            </w:pPr>
          </w:p>
        </w:tc>
        <w:tc>
          <w:tcPr>
            <w:tcW w:w="1351" w:type="pct"/>
            <w:vMerge w:val="continue"/>
            <w:shd w:val="clear" w:color="auto" w:fill="auto"/>
            <w:vAlign w:val="center"/>
          </w:tcPr>
          <w:p w14:paraId="10FC6B71">
            <w:pPr>
              <w:pStyle w:val="41"/>
              <w:rPr>
                <w:rFonts w:hint="eastAsia"/>
              </w:rPr>
            </w:pPr>
          </w:p>
        </w:tc>
      </w:tr>
      <w:tr w14:paraId="72E40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122C995">
            <w:pPr>
              <w:pStyle w:val="41"/>
              <w:rPr>
                <w:rFonts w:hint="eastAsia"/>
              </w:rPr>
            </w:pPr>
          </w:p>
        </w:tc>
        <w:tc>
          <w:tcPr>
            <w:tcW w:w="196" w:type="pct"/>
            <w:vMerge w:val="continue"/>
            <w:shd w:val="clear" w:color="auto" w:fill="auto"/>
            <w:vAlign w:val="center"/>
          </w:tcPr>
          <w:p w14:paraId="0E9C54C4">
            <w:pPr>
              <w:pStyle w:val="41"/>
              <w:rPr>
                <w:rFonts w:hint="eastAsia"/>
              </w:rPr>
            </w:pPr>
          </w:p>
        </w:tc>
        <w:tc>
          <w:tcPr>
            <w:tcW w:w="160" w:type="pct"/>
            <w:vMerge w:val="restart"/>
            <w:shd w:val="clear" w:color="auto" w:fill="auto"/>
            <w:vAlign w:val="center"/>
          </w:tcPr>
          <w:p w14:paraId="1E6C8B71">
            <w:pPr>
              <w:pStyle w:val="41"/>
              <w:rPr>
                <w:rFonts w:hint="eastAsia"/>
              </w:rPr>
            </w:pPr>
            <w:r>
              <w:rPr>
                <w:rFonts w:hint="eastAsia"/>
              </w:rPr>
              <w:t>52</w:t>
            </w:r>
          </w:p>
        </w:tc>
        <w:tc>
          <w:tcPr>
            <w:tcW w:w="849" w:type="pct"/>
            <w:vMerge w:val="restart"/>
            <w:shd w:val="clear" w:color="auto" w:fill="auto"/>
            <w:vAlign w:val="center"/>
          </w:tcPr>
          <w:p w14:paraId="452E3648">
            <w:pPr>
              <w:pStyle w:val="41"/>
              <w:rPr>
                <w:rFonts w:hint="eastAsia"/>
              </w:rPr>
            </w:pPr>
            <w:r>
              <w:rPr>
                <w:rFonts w:hint="eastAsia"/>
              </w:rPr>
              <w:t>城中村改造完成率（%）</w:t>
            </w:r>
          </w:p>
        </w:tc>
        <w:tc>
          <w:tcPr>
            <w:tcW w:w="902" w:type="pct"/>
            <w:shd w:val="clear" w:color="auto" w:fill="auto"/>
            <w:vAlign w:val="center"/>
          </w:tcPr>
          <w:p w14:paraId="18E545E5">
            <w:pPr>
              <w:pStyle w:val="41"/>
              <w:rPr>
                <w:rFonts w:hint="eastAsia"/>
              </w:rPr>
            </w:pPr>
            <w:r>
              <w:rPr>
                <w:rFonts w:hint="eastAsia"/>
              </w:rPr>
              <w:t>52.1当年完成改造的城中村数量</w:t>
            </w:r>
          </w:p>
        </w:tc>
        <w:tc>
          <w:tcPr>
            <w:tcW w:w="1220" w:type="pct"/>
            <w:vMerge w:val="restart"/>
            <w:shd w:val="clear" w:color="auto" w:fill="auto"/>
            <w:vAlign w:val="center"/>
          </w:tcPr>
          <w:p w14:paraId="2EB71E96">
            <w:pPr>
              <w:pStyle w:val="41"/>
              <w:rPr>
                <w:rFonts w:hint="eastAsia"/>
              </w:rPr>
            </w:pPr>
            <w:r>
              <w:rPr>
                <w:rFonts w:hint="eastAsia"/>
              </w:rPr>
              <w:t>调查当年完成改造的城中村数量，占城镇开发边界内各类需要改造城中村总数量的比例，摸清本区域内城中村总量、分布、规模以及改造情况。</w:t>
            </w:r>
          </w:p>
        </w:tc>
        <w:tc>
          <w:tcPr>
            <w:tcW w:w="1351" w:type="pct"/>
            <w:vMerge w:val="restart"/>
            <w:shd w:val="clear" w:color="auto" w:fill="auto"/>
            <w:vAlign w:val="center"/>
          </w:tcPr>
          <w:p w14:paraId="421D2367">
            <w:pPr>
              <w:pStyle w:val="41"/>
              <w:rPr>
                <w:rFonts w:hint="eastAsia"/>
              </w:rPr>
            </w:pPr>
            <w:r>
              <w:rPr>
                <w:rFonts w:hint="eastAsia"/>
              </w:rPr>
              <w:t>市住建局、官方统计数据、行业部门调查统计数据</w:t>
            </w:r>
          </w:p>
        </w:tc>
      </w:tr>
      <w:tr w14:paraId="1DC79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1188812">
            <w:pPr>
              <w:pStyle w:val="41"/>
              <w:rPr>
                <w:rFonts w:hint="eastAsia"/>
              </w:rPr>
            </w:pPr>
          </w:p>
        </w:tc>
        <w:tc>
          <w:tcPr>
            <w:tcW w:w="196" w:type="pct"/>
            <w:vMerge w:val="continue"/>
            <w:shd w:val="clear" w:color="auto" w:fill="auto"/>
            <w:vAlign w:val="center"/>
          </w:tcPr>
          <w:p w14:paraId="1528E94B">
            <w:pPr>
              <w:pStyle w:val="41"/>
              <w:rPr>
                <w:rFonts w:hint="eastAsia"/>
              </w:rPr>
            </w:pPr>
          </w:p>
        </w:tc>
        <w:tc>
          <w:tcPr>
            <w:tcW w:w="160" w:type="pct"/>
            <w:vMerge w:val="continue"/>
            <w:shd w:val="clear" w:color="auto" w:fill="auto"/>
            <w:vAlign w:val="center"/>
          </w:tcPr>
          <w:p w14:paraId="5D8A920D">
            <w:pPr>
              <w:pStyle w:val="41"/>
              <w:rPr>
                <w:rFonts w:hint="eastAsia"/>
              </w:rPr>
            </w:pPr>
          </w:p>
        </w:tc>
        <w:tc>
          <w:tcPr>
            <w:tcW w:w="849" w:type="pct"/>
            <w:vMerge w:val="continue"/>
            <w:shd w:val="clear" w:color="auto" w:fill="auto"/>
            <w:vAlign w:val="center"/>
          </w:tcPr>
          <w:p w14:paraId="2811D238">
            <w:pPr>
              <w:pStyle w:val="41"/>
              <w:rPr>
                <w:rFonts w:hint="eastAsia"/>
              </w:rPr>
            </w:pPr>
          </w:p>
        </w:tc>
        <w:tc>
          <w:tcPr>
            <w:tcW w:w="902" w:type="pct"/>
            <w:shd w:val="clear" w:color="auto" w:fill="auto"/>
            <w:vAlign w:val="center"/>
          </w:tcPr>
          <w:p w14:paraId="4EBA6B7C">
            <w:pPr>
              <w:pStyle w:val="41"/>
              <w:rPr>
                <w:rFonts w:hint="eastAsia"/>
              </w:rPr>
            </w:pPr>
            <w:r>
              <w:rPr>
                <w:rFonts w:hint="eastAsia"/>
              </w:rPr>
              <w:t>52.2城镇开发边界内各类需要改造城中村数量</w:t>
            </w:r>
          </w:p>
        </w:tc>
        <w:tc>
          <w:tcPr>
            <w:tcW w:w="1220" w:type="pct"/>
            <w:vMerge w:val="continue"/>
            <w:shd w:val="clear" w:color="auto" w:fill="auto"/>
            <w:vAlign w:val="center"/>
          </w:tcPr>
          <w:p w14:paraId="60BA5647">
            <w:pPr>
              <w:pStyle w:val="41"/>
              <w:rPr>
                <w:rFonts w:hint="eastAsia"/>
              </w:rPr>
            </w:pPr>
          </w:p>
        </w:tc>
        <w:tc>
          <w:tcPr>
            <w:tcW w:w="1351" w:type="pct"/>
            <w:vMerge w:val="continue"/>
            <w:shd w:val="clear" w:color="auto" w:fill="auto"/>
            <w:vAlign w:val="center"/>
          </w:tcPr>
          <w:p w14:paraId="678CC0A6">
            <w:pPr>
              <w:pStyle w:val="41"/>
              <w:rPr>
                <w:rFonts w:hint="eastAsia"/>
              </w:rPr>
            </w:pPr>
          </w:p>
        </w:tc>
      </w:tr>
      <w:tr w14:paraId="0E86F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7" w:hRule="atLeast"/>
        </w:trPr>
        <w:tc>
          <w:tcPr>
            <w:tcW w:w="319" w:type="pct"/>
            <w:vMerge w:val="continue"/>
            <w:shd w:val="clear" w:color="auto" w:fill="auto"/>
            <w:vAlign w:val="center"/>
          </w:tcPr>
          <w:p w14:paraId="0E262FBF">
            <w:pPr>
              <w:pStyle w:val="41"/>
              <w:rPr>
                <w:rFonts w:hint="eastAsia"/>
              </w:rPr>
            </w:pPr>
          </w:p>
        </w:tc>
        <w:tc>
          <w:tcPr>
            <w:tcW w:w="196" w:type="pct"/>
            <w:vMerge w:val="restart"/>
            <w:shd w:val="clear" w:color="auto" w:fill="auto"/>
            <w:vAlign w:val="center"/>
          </w:tcPr>
          <w:p w14:paraId="6A027359">
            <w:pPr>
              <w:pStyle w:val="41"/>
              <w:rPr>
                <w:rFonts w:hint="eastAsia"/>
              </w:rPr>
            </w:pPr>
            <w:r>
              <w:rPr>
                <w:rFonts w:hint="eastAsia"/>
              </w:rPr>
              <w:t>安全韧性</w:t>
            </w:r>
          </w:p>
        </w:tc>
        <w:tc>
          <w:tcPr>
            <w:tcW w:w="160" w:type="pct"/>
            <w:shd w:val="clear" w:color="auto" w:fill="auto"/>
            <w:vAlign w:val="center"/>
          </w:tcPr>
          <w:p w14:paraId="7B1009AD">
            <w:pPr>
              <w:pStyle w:val="41"/>
              <w:rPr>
                <w:rFonts w:hint="eastAsia"/>
              </w:rPr>
            </w:pPr>
            <w:r>
              <w:rPr>
                <w:rFonts w:hint="eastAsia"/>
              </w:rPr>
              <w:t>53</w:t>
            </w:r>
          </w:p>
        </w:tc>
        <w:tc>
          <w:tcPr>
            <w:tcW w:w="849" w:type="pct"/>
            <w:shd w:val="clear" w:color="auto" w:fill="auto"/>
            <w:vAlign w:val="center"/>
          </w:tcPr>
          <w:p w14:paraId="315024B7">
            <w:pPr>
              <w:pStyle w:val="41"/>
              <w:rPr>
                <w:rFonts w:hint="eastAsia"/>
              </w:rPr>
            </w:pPr>
            <w:r>
              <w:rPr>
                <w:rFonts w:hint="eastAsia"/>
              </w:rPr>
              <w:t>☆</w:t>
            </w:r>
            <w:r>
              <w:t>房屋市政工程安全生产事故数（起）</w:t>
            </w:r>
          </w:p>
        </w:tc>
        <w:tc>
          <w:tcPr>
            <w:tcW w:w="902" w:type="pct"/>
            <w:shd w:val="clear" w:color="auto" w:fill="auto"/>
            <w:vAlign w:val="center"/>
          </w:tcPr>
          <w:p w14:paraId="6A9D457D">
            <w:pPr>
              <w:pStyle w:val="41"/>
              <w:rPr>
                <w:rFonts w:hint="eastAsia"/>
              </w:rPr>
            </w:pPr>
            <w:r>
              <w:rPr>
                <w:rFonts w:hint="eastAsia"/>
              </w:rPr>
              <w:t>市辖区内房屋市政工程生产安全较大及以上事故起数</w:t>
            </w:r>
          </w:p>
        </w:tc>
        <w:tc>
          <w:tcPr>
            <w:tcW w:w="1220" w:type="pct"/>
            <w:shd w:val="clear" w:color="auto" w:fill="auto"/>
            <w:vAlign w:val="center"/>
          </w:tcPr>
          <w:p w14:paraId="2E7FB16A">
            <w:pPr>
              <w:pStyle w:val="41"/>
              <w:rPr>
                <w:rFonts w:hint="eastAsia"/>
              </w:rPr>
            </w:pPr>
            <w:r>
              <w:rPr>
                <w:rFonts w:hint="eastAsia"/>
              </w:rPr>
              <w:t>当年市辖区内房屋市政工程生产安全较大及以上事故起数。</w:t>
            </w:r>
          </w:p>
        </w:tc>
        <w:tc>
          <w:tcPr>
            <w:tcW w:w="1351" w:type="pct"/>
            <w:shd w:val="clear" w:color="auto" w:fill="auto"/>
            <w:vAlign w:val="center"/>
          </w:tcPr>
          <w:p w14:paraId="73C603A6">
            <w:pPr>
              <w:pStyle w:val="41"/>
              <w:rPr>
                <w:rFonts w:hint="eastAsia"/>
              </w:rPr>
            </w:pPr>
            <w:r>
              <w:rPr>
                <w:rFonts w:hint="eastAsia"/>
              </w:rPr>
              <w:t>市住建局、官方统计数据、行业部门调查统计数据</w:t>
            </w:r>
          </w:p>
        </w:tc>
      </w:tr>
      <w:tr w14:paraId="6515C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1" w:hRule="atLeast"/>
        </w:trPr>
        <w:tc>
          <w:tcPr>
            <w:tcW w:w="319" w:type="pct"/>
            <w:vMerge w:val="continue"/>
            <w:shd w:val="clear" w:color="auto" w:fill="auto"/>
            <w:vAlign w:val="center"/>
          </w:tcPr>
          <w:p w14:paraId="6AB82936">
            <w:pPr>
              <w:pStyle w:val="41"/>
              <w:rPr>
                <w:rFonts w:hint="eastAsia"/>
              </w:rPr>
            </w:pPr>
          </w:p>
        </w:tc>
        <w:tc>
          <w:tcPr>
            <w:tcW w:w="196" w:type="pct"/>
            <w:vMerge w:val="continue"/>
            <w:shd w:val="clear" w:color="auto" w:fill="auto"/>
            <w:vAlign w:val="center"/>
          </w:tcPr>
          <w:p w14:paraId="3611E2AC">
            <w:pPr>
              <w:pStyle w:val="41"/>
              <w:rPr>
                <w:rFonts w:hint="eastAsia"/>
              </w:rPr>
            </w:pPr>
          </w:p>
        </w:tc>
        <w:tc>
          <w:tcPr>
            <w:tcW w:w="160" w:type="pct"/>
            <w:shd w:val="clear" w:color="auto" w:fill="auto"/>
            <w:vAlign w:val="center"/>
          </w:tcPr>
          <w:p w14:paraId="6731A318">
            <w:pPr>
              <w:pStyle w:val="41"/>
              <w:rPr>
                <w:rFonts w:hint="eastAsia"/>
              </w:rPr>
            </w:pPr>
            <w:r>
              <w:rPr>
                <w:rFonts w:hint="eastAsia"/>
              </w:rPr>
              <w:t>54</w:t>
            </w:r>
          </w:p>
        </w:tc>
        <w:tc>
          <w:tcPr>
            <w:tcW w:w="849" w:type="pct"/>
            <w:shd w:val="clear" w:color="auto" w:fill="auto"/>
            <w:vAlign w:val="center"/>
          </w:tcPr>
          <w:p w14:paraId="764ABBEA">
            <w:pPr>
              <w:pStyle w:val="41"/>
              <w:rPr>
                <w:rFonts w:hint="eastAsia"/>
              </w:rPr>
            </w:pPr>
            <w:r>
              <w:rPr>
                <w:rFonts w:hint="eastAsia"/>
              </w:rPr>
              <w:t>☆</w:t>
            </w:r>
            <w:r>
              <w:t>严重易涝积水点数量（个）</w:t>
            </w:r>
          </w:p>
        </w:tc>
        <w:tc>
          <w:tcPr>
            <w:tcW w:w="902" w:type="pct"/>
            <w:shd w:val="clear" w:color="auto" w:fill="auto"/>
            <w:vAlign w:val="center"/>
          </w:tcPr>
          <w:p w14:paraId="2C17E4F0">
            <w:pPr>
              <w:pStyle w:val="41"/>
              <w:rPr>
                <w:rFonts w:hint="eastAsia"/>
              </w:rPr>
            </w:pPr>
            <w:r>
              <w:rPr>
                <w:rFonts w:hint="eastAsia"/>
              </w:rPr>
              <w:t>当年市辖区建成区内消除严重影响生产生活秩序的易涝积水点数量</w:t>
            </w:r>
          </w:p>
        </w:tc>
        <w:tc>
          <w:tcPr>
            <w:tcW w:w="1220" w:type="pct"/>
            <w:shd w:val="clear" w:color="auto" w:fill="auto"/>
            <w:vAlign w:val="center"/>
          </w:tcPr>
          <w:p w14:paraId="2BB69871">
            <w:pPr>
              <w:pStyle w:val="41"/>
              <w:rPr>
                <w:rFonts w:hint="eastAsia"/>
              </w:rPr>
            </w:pPr>
            <w:r>
              <w:rPr>
                <w:rFonts w:hint="eastAsia"/>
              </w:rPr>
              <w:t>调查市辖区建成区内现存严重影响生产生活秩序的易涝积水点数量，查找城市排水防涝工程体系建设方面的差距和问题。</w:t>
            </w:r>
          </w:p>
        </w:tc>
        <w:tc>
          <w:tcPr>
            <w:tcW w:w="1351" w:type="pct"/>
            <w:shd w:val="clear" w:color="auto" w:fill="auto"/>
            <w:vAlign w:val="center"/>
          </w:tcPr>
          <w:p w14:paraId="1702E4F2">
            <w:pPr>
              <w:pStyle w:val="41"/>
              <w:rPr>
                <w:rFonts w:hint="eastAsia"/>
              </w:rPr>
            </w:pPr>
            <w:r>
              <w:rPr>
                <w:rFonts w:hint="eastAsia"/>
              </w:rPr>
              <w:t>市城管局、官方统计数据、行业部门调查统计数据</w:t>
            </w:r>
          </w:p>
        </w:tc>
      </w:tr>
      <w:tr w14:paraId="0C466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319" w:type="pct"/>
            <w:vMerge w:val="continue"/>
            <w:shd w:val="clear" w:color="auto" w:fill="auto"/>
            <w:vAlign w:val="center"/>
          </w:tcPr>
          <w:p w14:paraId="105C4AAD">
            <w:pPr>
              <w:pStyle w:val="41"/>
              <w:rPr>
                <w:rFonts w:hint="eastAsia"/>
              </w:rPr>
            </w:pPr>
          </w:p>
        </w:tc>
        <w:tc>
          <w:tcPr>
            <w:tcW w:w="196" w:type="pct"/>
            <w:vMerge w:val="continue"/>
            <w:shd w:val="clear" w:color="auto" w:fill="auto"/>
            <w:vAlign w:val="center"/>
          </w:tcPr>
          <w:p w14:paraId="3FA9846C">
            <w:pPr>
              <w:pStyle w:val="41"/>
              <w:rPr>
                <w:rFonts w:hint="eastAsia"/>
              </w:rPr>
            </w:pPr>
          </w:p>
        </w:tc>
        <w:tc>
          <w:tcPr>
            <w:tcW w:w="160" w:type="pct"/>
            <w:vMerge w:val="restart"/>
            <w:shd w:val="clear" w:color="auto" w:fill="auto"/>
            <w:vAlign w:val="center"/>
          </w:tcPr>
          <w:p w14:paraId="6549F833">
            <w:pPr>
              <w:pStyle w:val="41"/>
              <w:rPr>
                <w:rFonts w:hint="eastAsia"/>
              </w:rPr>
            </w:pPr>
            <w:r>
              <w:rPr>
                <w:rFonts w:hint="eastAsia"/>
              </w:rPr>
              <w:t>55</w:t>
            </w:r>
          </w:p>
        </w:tc>
        <w:tc>
          <w:tcPr>
            <w:tcW w:w="849" w:type="pct"/>
            <w:vMerge w:val="restart"/>
            <w:shd w:val="clear" w:color="auto" w:fill="auto"/>
            <w:vAlign w:val="center"/>
          </w:tcPr>
          <w:p w14:paraId="61C3BBFB">
            <w:pPr>
              <w:pStyle w:val="41"/>
              <w:rPr>
                <w:rFonts w:hint="eastAsia"/>
              </w:rPr>
            </w:pPr>
            <w:r>
              <w:rPr>
                <w:rFonts w:hint="eastAsia"/>
              </w:rPr>
              <w:t>城镇既有管道燃气用户安全装置加装率</w:t>
            </w:r>
          </w:p>
          <w:p w14:paraId="2D0F64E6">
            <w:pPr>
              <w:pStyle w:val="41"/>
              <w:rPr>
                <w:rFonts w:hint="eastAsia"/>
              </w:rPr>
            </w:pPr>
            <w:r>
              <w:rPr>
                <w:rFonts w:hint="eastAsia"/>
              </w:rPr>
              <w:t>（%）</w:t>
            </w:r>
          </w:p>
        </w:tc>
        <w:tc>
          <w:tcPr>
            <w:tcW w:w="902" w:type="pct"/>
            <w:shd w:val="clear" w:color="auto" w:fill="auto"/>
            <w:vAlign w:val="center"/>
          </w:tcPr>
          <w:p w14:paraId="429EA7CB">
            <w:pPr>
              <w:pStyle w:val="41"/>
              <w:rPr>
                <w:rFonts w:hint="eastAsia"/>
              </w:rPr>
            </w:pPr>
            <w:r>
              <w:rPr>
                <w:rFonts w:hint="eastAsia"/>
              </w:rPr>
              <w:t>市辖区建成区内已加装安全装置的城镇既有管道燃气用户数（包括城镇既有住宅、单位燃气用户）</w:t>
            </w:r>
          </w:p>
        </w:tc>
        <w:tc>
          <w:tcPr>
            <w:tcW w:w="1220" w:type="pct"/>
            <w:vMerge w:val="restart"/>
            <w:shd w:val="clear" w:color="auto" w:fill="auto"/>
            <w:vAlign w:val="center"/>
          </w:tcPr>
          <w:p w14:paraId="5B97E139">
            <w:pPr>
              <w:pStyle w:val="41"/>
              <w:rPr>
                <w:rFonts w:hint="eastAsia"/>
              </w:rPr>
            </w:pPr>
            <w:r>
              <w:rPr>
                <w:rFonts w:hint="eastAsia"/>
              </w:rPr>
              <w:t>市辖区建成区内已加装安全装置的城镇既有管道燃气用户数（包括城镇既有住宅、单位燃气用户）占城镇既有管道燃气用户总数（包括城镇既有住宅、单位燃气用户）的百分比。</w:t>
            </w:r>
          </w:p>
        </w:tc>
        <w:tc>
          <w:tcPr>
            <w:tcW w:w="1351" w:type="pct"/>
            <w:vMerge w:val="restart"/>
            <w:shd w:val="clear" w:color="auto" w:fill="auto"/>
            <w:vAlign w:val="center"/>
          </w:tcPr>
          <w:p w14:paraId="6CA836AC">
            <w:pPr>
              <w:pStyle w:val="41"/>
              <w:rPr>
                <w:rFonts w:hint="eastAsia"/>
              </w:rPr>
            </w:pPr>
            <w:r>
              <w:rPr>
                <w:rFonts w:hint="eastAsia"/>
              </w:rPr>
              <w:t>市住建局、官方统计数据、行业部门调查统计数据、相关燃气经营企业</w:t>
            </w:r>
          </w:p>
        </w:tc>
      </w:tr>
      <w:tr w14:paraId="564AD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319" w:type="pct"/>
            <w:vMerge w:val="continue"/>
            <w:shd w:val="clear" w:color="auto" w:fill="auto"/>
            <w:vAlign w:val="center"/>
          </w:tcPr>
          <w:p w14:paraId="039FE4F7">
            <w:pPr>
              <w:pStyle w:val="41"/>
              <w:rPr>
                <w:rFonts w:hint="eastAsia"/>
              </w:rPr>
            </w:pPr>
          </w:p>
        </w:tc>
        <w:tc>
          <w:tcPr>
            <w:tcW w:w="196" w:type="pct"/>
            <w:vMerge w:val="continue"/>
            <w:shd w:val="clear" w:color="auto" w:fill="auto"/>
            <w:vAlign w:val="center"/>
          </w:tcPr>
          <w:p w14:paraId="281F9C84">
            <w:pPr>
              <w:pStyle w:val="41"/>
              <w:rPr>
                <w:rFonts w:hint="eastAsia"/>
              </w:rPr>
            </w:pPr>
          </w:p>
        </w:tc>
        <w:tc>
          <w:tcPr>
            <w:tcW w:w="160" w:type="pct"/>
            <w:vMerge w:val="continue"/>
            <w:shd w:val="clear" w:color="auto" w:fill="auto"/>
            <w:vAlign w:val="center"/>
          </w:tcPr>
          <w:p w14:paraId="5FC4440D">
            <w:pPr>
              <w:pStyle w:val="41"/>
              <w:rPr>
                <w:rFonts w:hint="eastAsia"/>
              </w:rPr>
            </w:pPr>
          </w:p>
        </w:tc>
        <w:tc>
          <w:tcPr>
            <w:tcW w:w="849" w:type="pct"/>
            <w:vMerge w:val="continue"/>
            <w:shd w:val="clear" w:color="auto" w:fill="auto"/>
            <w:vAlign w:val="center"/>
          </w:tcPr>
          <w:p w14:paraId="0773873C">
            <w:pPr>
              <w:pStyle w:val="41"/>
              <w:rPr>
                <w:rFonts w:hint="eastAsia"/>
              </w:rPr>
            </w:pPr>
          </w:p>
        </w:tc>
        <w:tc>
          <w:tcPr>
            <w:tcW w:w="902" w:type="pct"/>
            <w:shd w:val="clear" w:color="auto" w:fill="auto"/>
            <w:vAlign w:val="center"/>
          </w:tcPr>
          <w:p w14:paraId="7617BA79">
            <w:pPr>
              <w:pStyle w:val="41"/>
              <w:rPr>
                <w:rFonts w:hint="eastAsia"/>
              </w:rPr>
            </w:pPr>
            <w:r>
              <w:rPr>
                <w:rFonts w:hint="eastAsia"/>
              </w:rPr>
              <w:t>市辖区建成区内城镇既有管道燃气用户总数（包括城镇既有住宅、单位燃气用户）</w:t>
            </w:r>
          </w:p>
        </w:tc>
        <w:tc>
          <w:tcPr>
            <w:tcW w:w="1220" w:type="pct"/>
            <w:vMerge w:val="continue"/>
            <w:shd w:val="clear" w:color="auto" w:fill="auto"/>
            <w:vAlign w:val="center"/>
          </w:tcPr>
          <w:p w14:paraId="07599E36">
            <w:pPr>
              <w:pStyle w:val="41"/>
              <w:rPr>
                <w:rFonts w:hint="eastAsia"/>
              </w:rPr>
            </w:pPr>
          </w:p>
        </w:tc>
        <w:tc>
          <w:tcPr>
            <w:tcW w:w="1351" w:type="pct"/>
            <w:vMerge w:val="continue"/>
            <w:shd w:val="clear" w:color="auto" w:fill="auto"/>
            <w:vAlign w:val="center"/>
          </w:tcPr>
          <w:p w14:paraId="1417209D">
            <w:pPr>
              <w:pStyle w:val="41"/>
              <w:rPr>
                <w:rFonts w:hint="eastAsia"/>
              </w:rPr>
            </w:pPr>
          </w:p>
        </w:tc>
      </w:tr>
      <w:tr w14:paraId="37BBD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 w:hRule="atLeast"/>
        </w:trPr>
        <w:tc>
          <w:tcPr>
            <w:tcW w:w="319" w:type="pct"/>
            <w:vMerge w:val="continue"/>
            <w:shd w:val="clear" w:color="auto" w:fill="auto"/>
            <w:vAlign w:val="center"/>
          </w:tcPr>
          <w:p w14:paraId="0FADD0C6">
            <w:pPr>
              <w:pStyle w:val="41"/>
              <w:rPr>
                <w:rFonts w:hint="eastAsia"/>
              </w:rPr>
            </w:pPr>
          </w:p>
        </w:tc>
        <w:tc>
          <w:tcPr>
            <w:tcW w:w="196" w:type="pct"/>
            <w:vMerge w:val="continue"/>
            <w:shd w:val="clear" w:color="auto" w:fill="auto"/>
            <w:vAlign w:val="center"/>
          </w:tcPr>
          <w:p w14:paraId="1A2F0477">
            <w:pPr>
              <w:pStyle w:val="41"/>
              <w:rPr>
                <w:rFonts w:hint="eastAsia"/>
              </w:rPr>
            </w:pPr>
          </w:p>
        </w:tc>
        <w:tc>
          <w:tcPr>
            <w:tcW w:w="160" w:type="pct"/>
            <w:vMerge w:val="restart"/>
            <w:shd w:val="clear" w:color="auto" w:fill="auto"/>
            <w:vAlign w:val="center"/>
          </w:tcPr>
          <w:p w14:paraId="18CAF61E">
            <w:pPr>
              <w:pStyle w:val="41"/>
              <w:rPr>
                <w:rFonts w:hint="eastAsia"/>
              </w:rPr>
            </w:pPr>
            <w:r>
              <w:rPr>
                <w:rFonts w:hint="eastAsia"/>
              </w:rPr>
              <w:t>56</w:t>
            </w:r>
          </w:p>
        </w:tc>
        <w:tc>
          <w:tcPr>
            <w:tcW w:w="849" w:type="pct"/>
            <w:vMerge w:val="restart"/>
            <w:shd w:val="clear" w:color="auto" w:fill="auto"/>
            <w:vAlign w:val="center"/>
          </w:tcPr>
          <w:p w14:paraId="3D5088CF">
            <w:pPr>
              <w:pStyle w:val="41"/>
              <w:rPr>
                <w:rFonts w:hint="eastAsia"/>
              </w:rPr>
            </w:pPr>
            <w:r>
              <w:rPr>
                <w:rFonts w:hint="eastAsia"/>
              </w:rPr>
              <w:t>城市排水防涝应急抢险能力（立方米/小时）</w:t>
            </w:r>
          </w:p>
        </w:tc>
        <w:tc>
          <w:tcPr>
            <w:tcW w:w="902" w:type="pct"/>
            <w:shd w:val="clear" w:color="auto" w:fill="auto"/>
            <w:vAlign w:val="center"/>
          </w:tcPr>
          <w:p w14:paraId="559D319C">
            <w:pPr>
              <w:pStyle w:val="41"/>
              <w:rPr>
                <w:rFonts w:hint="eastAsia"/>
              </w:rPr>
            </w:pPr>
            <w:r>
              <w:rPr>
                <w:rFonts w:hint="eastAsia"/>
              </w:rPr>
              <w:t>56.1防涝抽水泵每小时抽排水量</w:t>
            </w:r>
          </w:p>
        </w:tc>
        <w:tc>
          <w:tcPr>
            <w:tcW w:w="1220" w:type="pct"/>
            <w:vMerge w:val="restart"/>
            <w:shd w:val="clear" w:color="auto" w:fill="auto"/>
            <w:vAlign w:val="center"/>
          </w:tcPr>
          <w:p w14:paraId="0A85014C">
            <w:pPr>
              <w:pStyle w:val="41"/>
              <w:rPr>
                <w:rFonts w:hint="eastAsia"/>
              </w:rPr>
            </w:pPr>
            <w:r>
              <w:rPr>
                <w:rFonts w:hint="eastAsia"/>
              </w:rPr>
              <w:t>按照《关于加强城市内涝治理的实施意见》的要求，调查分析市辖区建成区内配备的排水防涝抽水泵、移动泵车及相应配套的自主发电等排水防涝设施每小时抽排的水量，查找城市排水防涝隐患排查和整治、专用防汛设备和抢险物资配备、应急响应和处置等方面存在的问题。</w:t>
            </w:r>
          </w:p>
        </w:tc>
        <w:tc>
          <w:tcPr>
            <w:tcW w:w="1351" w:type="pct"/>
            <w:vMerge w:val="restart"/>
            <w:shd w:val="clear" w:color="auto" w:fill="auto"/>
            <w:vAlign w:val="center"/>
          </w:tcPr>
          <w:p w14:paraId="2B8F68FF">
            <w:pPr>
              <w:pStyle w:val="41"/>
              <w:rPr>
                <w:rFonts w:hint="eastAsia"/>
              </w:rPr>
            </w:pPr>
            <w:r>
              <w:rPr>
                <w:rFonts w:hint="eastAsia"/>
              </w:rPr>
              <w:t>市城管局、官方统计数据、行业部门调查统计数据</w:t>
            </w:r>
          </w:p>
        </w:tc>
      </w:tr>
      <w:tr w14:paraId="5876D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BDFB854">
            <w:pPr>
              <w:pStyle w:val="41"/>
              <w:rPr>
                <w:rFonts w:hint="eastAsia"/>
              </w:rPr>
            </w:pPr>
          </w:p>
        </w:tc>
        <w:tc>
          <w:tcPr>
            <w:tcW w:w="196" w:type="pct"/>
            <w:vMerge w:val="continue"/>
            <w:shd w:val="clear" w:color="auto" w:fill="auto"/>
            <w:vAlign w:val="center"/>
          </w:tcPr>
          <w:p w14:paraId="10AF5206">
            <w:pPr>
              <w:pStyle w:val="41"/>
              <w:rPr>
                <w:rFonts w:hint="eastAsia"/>
              </w:rPr>
            </w:pPr>
          </w:p>
        </w:tc>
        <w:tc>
          <w:tcPr>
            <w:tcW w:w="160" w:type="pct"/>
            <w:vMerge w:val="continue"/>
            <w:shd w:val="clear" w:color="auto" w:fill="auto"/>
            <w:vAlign w:val="center"/>
          </w:tcPr>
          <w:p w14:paraId="30EA6C0C">
            <w:pPr>
              <w:pStyle w:val="41"/>
              <w:rPr>
                <w:rFonts w:hint="eastAsia"/>
              </w:rPr>
            </w:pPr>
          </w:p>
        </w:tc>
        <w:tc>
          <w:tcPr>
            <w:tcW w:w="849" w:type="pct"/>
            <w:vMerge w:val="continue"/>
            <w:shd w:val="clear" w:color="auto" w:fill="auto"/>
            <w:vAlign w:val="center"/>
          </w:tcPr>
          <w:p w14:paraId="2C3FE738">
            <w:pPr>
              <w:pStyle w:val="41"/>
              <w:rPr>
                <w:rFonts w:hint="eastAsia"/>
              </w:rPr>
            </w:pPr>
          </w:p>
        </w:tc>
        <w:tc>
          <w:tcPr>
            <w:tcW w:w="902" w:type="pct"/>
            <w:shd w:val="clear" w:color="auto" w:fill="auto"/>
            <w:vAlign w:val="center"/>
          </w:tcPr>
          <w:p w14:paraId="2A962789">
            <w:pPr>
              <w:pStyle w:val="41"/>
              <w:rPr>
                <w:rFonts w:hint="eastAsia"/>
              </w:rPr>
            </w:pPr>
            <w:r>
              <w:rPr>
                <w:rFonts w:hint="eastAsia"/>
              </w:rPr>
              <w:t>56.2移动泵车每小时抽排水量</w:t>
            </w:r>
          </w:p>
        </w:tc>
        <w:tc>
          <w:tcPr>
            <w:tcW w:w="1220" w:type="pct"/>
            <w:vMerge w:val="continue"/>
            <w:shd w:val="clear" w:color="auto" w:fill="auto"/>
            <w:vAlign w:val="center"/>
          </w:tcPr>
          <w:p w14:paraId="5D778497">
            <w:pPr>
              <w:pStyle w:val="41"/>
              <w:rPr>
                <w:rFonts w:hint="eastAsia"/>
              </w:rPr>
            </w:pPr>
          </w:p>
        </w:tc>
        <w:tc>
          <w:tcPr>
            <w:tcW w:w="1351" w:type="pct"/>
            <w:vMerge w:val="continue"/>
            <w:shd w:val="clear" w:color="auto" w:fill="auto"/>
            <w:vAlign w:val="center"/>
          </w:tcPr>
          <w:p w14:paraId="4D267C2E">
            <w:pPr>
              <w:pStyle w:val="41"/>
              <w:rPr>
                <w:rFonts w:hint="eastAsia"/>
              </w:rPr>
            </w:pPr>
          </w:p>
        </w:tc>
      </w:tr>
      <w:tr w14:paraId="4B4DD72A">
        <w:tblPrEx>
          <w:tblCellMar>
            <w:top w:w="0" w:type="dxa"/>
            <w:left w:w="108" w:type="dxa"/>
            <w:bottom w:w="0" w:type="dxa"/>
            <w:right w:w="108" w:type="dxa"/>
          </w:tblCellMar>
        </w:tblPrEx>
        <w:trPr>
          <w:trHeight w:val="1730" w:hRule="atLeast"/>
        </w:trPr>
        <w:tc>
          <w:tcPr>
            <w:tcW w:w="319" w:type="pct"/>
            <w:vMerge w:val="continue"/>
            <w:shd w:val="clear" w:color="auto" w:fill="auto"/>
            <w:vAlign w:val="center"/>
          </w:tcPr>
          <w:p w14:paraId="630B54F3">
            <w:pPr>
              <w:pStyle w:val="41"/>
              <w:rPr>
                <w:rFonts w:hint="eastAsia"/>
              </w:rPr>
            </w:pPr>
          </w:p>
        </w:tc>
        <w:tc>
          <w:tcPr>
            <w:tcW w:w="196" w:type="pct"/>
            <w:vMerge w:val="continue"/>
            <w:shd w:val="clear" w:color="auto" w:fill="auto"/>
            <w:vAlign w:val="center"/>
          </w:tcPr>
          <w:p w14:paraId="44C6D993">
            <w:pPr>
              <w:pStyle w:val="41"/>
              <w:rPr>
                <w:rFonts w:hint="eastAsia"/>
              </w:rPr>
            </w:pPr>
          </w:p>
        </w:tc>
        <w:tc>
          <w:tcPr>
            <w:tcW w:w="160" w:type="pct"/>
            <w:vMerge w:val="continue"/>
            <w:shd w:val="clear" w:color="auto" w:fill="auto"/>
            <w:vAlign w:val="center"/>
          </w:tcPr>
          <w:p w14:paraId="1B95BA71">
            <w:pPr>
              <w:pStyle w:val="41"/>
              <w:rPr>
                <w:rFonts w:hint="eastAsia"/>
              </w:rPr>
            </w:pPr>
          </w:p>
        </w:tc>
        <w:tc>
          <w:tcPr>
            <w:tcW w:w="849" w:type="pct"/>
            <w:vMerge w:val="continue"/>
            <w:shd w:val="clear" w:color="auto" w:fill="auto"/>
            <w:vAlign w:val="center"/>
          </w:tcPr>
          <w:p w14:paraId="5A1E32F4">
            <w:pPr>
              <w:pStyle w:val="41"/>
              <w:rPr>
                <w:rFonts w:hint="eastAsia"/>
              </w:rPr>
            </w:pPr>
          </w:p>
        </w:tc>
        <w:tc>
          <w:tcPr>
            <w:tcW w:w="902" w:type="pct"/>
            <w:shd w:val="clear" w:color="auto" w:fill="auto"/>
            <w:vAlign w:val="center"/>
          </w:tcPr>
          <w:p w14:paraId="5395936E">
            <w:pPr>
              <w:pStyle w:val="41"/>
              <w:rPr>
                <w:rFonts w:hint="eastAsia"/>
              </w:rPr>
            </w:pPr>
            <w:r>
              <w:rPr>
                <w:rFonts w:hint="eastAsia"/>
              </w:rPr>
              <w:t>56.3其他排水防涝设施每小时抽排水量</w:t>
            </w:r>
          </w:p>
        </w:tc>
        <w:tc>
          <w:tcPr>
            <w:tcW w:w="1220" w:type="pct"/>
            <w:vMerge w:val="continue"/>
            <w:shd w:val="clear" w:color="auto" w:fill="auto"/>
            <w:vAlign w:val="center"/>
          </w:tcPr>
          <w:p w14:paraId="2C45C62B">
            <w:pPr>
              <w:pStyle w:val="41"/>
              <w:rPr>
                <w:rFonts w:hint="eastAsia"/>
              </w:rPr>
            </w:pPr>
          </w:p>
        </w:tc>
        <w:tc>
          <w:tcPr>
            <w:tcW w:w="1351" w:type="pct"/>
            <w:vMerge w:val="continue"/>
            <w:shd w:val="clear" w:color="auto" w:fill="auto"/>
            <w:vAlign w:val="center"/>
          </w:tcPr>
          <w:p w14:paraId="0BD025FB">
            <w:pPr>
              <w:pStyle w:val="41"/>
              <w:rPr>
                <w:rFonts w:hint="eastAsia"/>
              </w:rPr>
            </w:pPr>
          </w:p>
        </w:tc>
      </w:tr>
      <w:tr w14:paraId="003EC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9" w:type="pct"/>
            <w:vMerge w:val="continue"/>
            <w:shd w:val="clear" w:color="auto" w:fill="auto"/>
            <w:vAlign w:val="center"/>
          </w:tcPr>
          <w:p w14:paraId="04443CF4">
            <w:pPr>
              <w:pStyle w:val="41"/>
              <w:rPr>
                <w:rFonts w:hint="eastAsia"/>
              </w:rPr>
            </w:pPr>
          </w:p>
        </w:tc>
        <w:tc>
          <w:tcPr>
            <w:tcW w:w="196" w:type="pct"/>
            <w:vMerge w:val="continue"/>
            <w:shd w:val="clear" w:color="auto" w:fill="auto"/>
            <w:vAlign w:val="center"/>
          </w:tcPr>
          <w:p w14:paraId="48E3162F">
            <w:pPr>
              <w:pStyle w:val="41"/>
              <w:rPr>
                <w:rFonts w:hint="eastAsia"/>
              </w:rPr>
            </w:pPr>
          </w:p>
        </w:tc>
        <w:tc>
          <w:tcPr>
            <w:tcW w:w="160" w:type="pct"/>
            <w:vMerge w:val="restart"/>
            <w:shd w:val="clear" w:color="auto" w:fill="auto"/>
            <w:vAlign w:val="center"/>
          </w:tcPr>
          <w:p w14:paraId="4AD6F618">
            <w:pPr>
              <w:pStyle w:val="41"/>
              <w:rPr>
                <w:rFonts w:hint="eastAsia"/>
              </w:rPr>
            </w:pPr>
            <w:r>
              <w:rPr>
                <w:rFonts w:hint="eastAsia"/>
              </w:rPr>
              <w:t>57</w:t>
            </w:r>
          </w:p>
        </w:tc>
        <w:tc>
          <w:tcPr>
            <w:tcW w:w="849" w:type="pct"/>
            <w:vMerge w:val="restart"/>
            <w:shd w:val="clear" w:color="auto" w:fill="auto"/>
            <w:vAlign w:val="center"/>
          </w:tcPr>
          <w:p w14:paraId="33ABDB93">
            <w:pPr>
              <w:pStyle w:val="41"/>
              <w:rPr>
                <w:rFonts w:hint="eastAsia"/>
              </w:rPr>
            </w:pPr>
            <w:r>
              <w:rPr>
                <w:rFonts w:hint="eastAsia"/>
              </w:rPr>
              <w:t>☆</w:t>
            </w:r>
            <w:r>
              <w:t>应急供水保障率（%）</w:t>
            </w:r>
          </w:p>
        </w:tc>
        <w:tc>
          <w:tcPr>
            <w:tcW w:w="902" w:type="pct"/>
            <w:shd w:val="clear" w:color="auto" w:fill="auto"/>
            <w:vAlign w:val="center"/>
          </w:tcPr>
          <w:p w14:paraId="63135C9C">
            <w:pPr>
              <w:pStyle w:val="41"/>
              <w:rPr>
                <w:rFonts w:hint="eastAsia"/>
              </w:rPr>
            </w:pPr>
            <w:r>
              <w:rPr>
                <w:rFonts w:hint="eastAsia"/>
              </w:rPr>
              <w:t>57.1应急供水量</w:t>
            </w:r>
          </w:p>
        </w:tc>
        <w:tc>
          <w:tcPr>
            <w:tcW w:w="1220" w:type="pct"/>
            <w:vMerge w:val="restart"/>
            <w:shd w:val="clear" w:color="auto" w:fill="auto"/>
            <w:vAlign w:val="center"/>
          </w:tcPr>
          <w:p w14:paraId="78D4AE13">
            <w:pPr>
              <w:pStyle w:val="41"/>
              <w:rPr>
                <w:rFonts w:hint="eastAsia"/>
              </w:rPr>
            </w:pPr>
            <w:r>
              <w:rPr>
                <w:rFonts w:hint="eastAsia"/>
              </w:rPr>
              <w:t>按照《关于加强城市供水安全保障工作的通知》要求，调查市辖区应急供水能力占日常供水能力的比例，分析应急水源或备用水源建设达到《城市供水应急和备用水源工程技术标准》（CJJ/T282-2019）情况、供水应急响应机制建立情况，查找在水源突发污染、旱涝急转等不同风险状况下应急供水能力方面存在的问题。</w:t>
            </w:r>
          </w:p>
        </w:tc>
        <w:tc>
          <w:tcPr>
            <w:tcW w:w="1351" w:type="pct"/>
            <w:vMerge w:val="restart"/>
            <w:shd w:val="clear" w:color="auto" w:fill="auto"/>
            <w:vAlign w:val="center"/>
          </w:tcPr>
          <w:p w14:paraId="12271434">
            <w:pPr>
              <w:pStyle w:val="41"/>
              <w:rPr>
                <w:rFonts w:hint="eastAsia"/>
              </w:rPr>
            </w:pPr>
            <w:r>
              <w:rPr>
                <w:rFonts w:hint="eastAsia"/>
              </w:rPr>
              <w:t>市住建局、官方统计数据、行业部门调查统计数据</w:t>
            </w:r>
          </w:p>
        </w:tc>
      </w:tr>
      <w:tr w14:paraId="7A56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3825883">
            <w:pPr>
              <w:pStyle w:val="41"/>
              <w:rPr>
                <w:rFonts w:hint="eastAsia"/>
              </w:rPr>
            </w:pPr>
          </w:p>
        </w:tc>
        <w:tc>
          <w:tcPr>
            <w:tcW w:w="196" w:type="pct"/>
            <w:vMerge w:val="continue"/>
            <w:shd w:val="clear" w:color="auto" w:fill="auto"/>
            <w:vAlign w:val="center"/>
          </w:tcPr>
          <w:p w14:paraId="3A8A56CF">
            <w:pPr>
              <w:pStyle w:val="41"/>
              <w:rPr>
                <w:rFonts w:hint="eastAsia"/>
              </w:rPr>
            </w:pPr>
          </w:p>
        </w:tc>
        <w:tc>
          <w:tcPr>
            <w:tcW w:w="160" w:type="pct"/>
            <w:vMerge w:val="continue"/>
            <w:shd w:val="clear" w:color="auto" w:fill="auto"/>
            <w:vAlign w:val="center"/>
          </w:tcPr>
          <w:p w14:paraId="68311468">
            <w:pPr>
              <w:pStyle w:val="41"/>
              <w:rPr>
                <w:rFonts w:hint="eastAsia"/>
              </w:rPr>
            </w:pPr>
          </w:p>
        </w:tc>
        <w:tc>
          <w:tcPr>
            <w:tcW w:w="849" w:type="pct"/>
            <w:vMerge w:val="continue"/>
            <w:shd w:val="clear" w:color="auto" w:fill="auto"/>
            <w:vAlign w:val="center"/>
          </w:tcPr>
          <w:p w14:paraId="3DE8BF3C">
            <w:pPr>
              <w:pStyle w:val="41"/>
              <w:rPr>
                <w:rFonts w:hint="eastAsia"/>
              </w:rPr>
            </w:pPr>
          </w:p>
        </w:tc>
        <w:tc>
          <w:tcPr>
            <w:tcW w:w="902" w:type="pct"/>
            <w:shd w:val="clear" w:color="auto" w:fill="auto"/>
            <w:vAlign w:val="center"/>
          </w:tcPr>
          <w:p w14:paraId="24FD3864">
            <w:pPr>
              <w:pStyle w:val="41"/>
              <w:rPr>
                <w:rFonts w:hint="eastAsia"/>
              </w:rPr>
            </w:pPr>
            <w:r>
              <w:rPr>
                <w:rFonts w:hint="eastAsia"/>
              </w:rPr>
              <w:t>57.2城市总供水能力</w:t>
            </w:r>
          </w:p>
        </w:tc>
        <w:tc>
          <w:tcPr>
            <w:tcW w:w="1220" w:type="pct"/>
            <w:vMerge w:val="continue"/>
            <w:shd w:val="clear" w:color="auto" w:fill="auto"/>
            <w:vAlign w:val="center"/>
          </w:tcPr>
          <w:p w14:paraId="216914C5">
            <w:pPr>
              <w:pStyle w:val="41"/>
              <w:rPr>
                <w:rFonts w:hint="eastAsia"/>
              </w:rPr>
            </w:pPr>
          </w:p>
        </w:tc>
        <w:tc>
          <w:tcPr>
            <w:tcW w:w="1351" w:type="pct"/>
            <w:vMerge w:val="continue"/>
            <w:shd w:val="clear" w:color="auto" w:fill="auto"/>
            <w:vAlign w:val="center"/>
          </w:tcPr>
          <w:p w14:paraId="574E8522">
            <w:pPr>
              <w:pStyle w:val="41"/>
              <w:rPr>
                <w:rFonts w:hint="eastAsia"/>
              </w:rPr>
            </w:pPr>
          </w:p>
        </w:tc>
      </w:tr>
      <w:tr w14:paraId="2384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CAF85B3">
            <w:pPr>
              <w:pStyle w:val="41"/>
              <w:rPr>
                <w:rFonts w:hint="eastAsia"/>
              </w:rPr>
            </w:pPr>
          </w:p>
        </w:tc>
        <w:tc>
          <w:tcPr>
            <w:tcW w:w="196" w:type="pct"/>
            <w:vMerge w:val="continue"/>
            <w:shd w:val="clear" w:color="auto" w:fill="auto"/>
            <w:vAlign w:val="center"/>
          </w:tcPr>
          <w:p w14:paraId="54A91ACA">
            <w:pPr>
              <w:pStyle w:val="41"/>
              <w:rPr>
                <w:rFonts w:hint="eastAsia"/>
              </w:rPr>
            </w:pPr>
          </w:p>
        </w:tc>
        <w:tc>
          <w:tcPr>
            <w:tcW w:w="160" w:type="pct"/>
            <w:shd w:val="clear" w:color="auto" w:fill="auto"/>
            <w:vAlign w:val="center"/>
          </w:tcPr>
          <w:p w14:paraId="76758D66">
            <w:pPr>
              <w:pStyle w:val="41"/>
              <w:rPr>
                <w:rFonts w:hint="eastAsia"/>
              </w:rPr>
            </w:pPr>
            <w:r>
              <w:rPr>
                <w:rFonts w:hint="eastAsia"/>
              </w:rPr>
              <w:t>58</w:t>
            </w:r>
          </w:p>
        </w:tc>
        <w:tc>
          <w:tcPr>
            <w:tcW w:w="849" w:type="pct"/>
            <w:shd w:val="clear" w:color="auto" w:fill="auto"/>
            <w:vAlign w:val="center"/>
          </w:tcPr>
          <w:p w14:paraId="16BE6FFA">
            <w:pPr>
              <w:pStyle w:val="41"/>
              <w:rPr>
                <w:rFonts w:hint="eastAsia"/>
              </w:rPr>
            </w:pPr>
            <w:r>
              <w:rPr>
                <w:rFonts w:hint="eastAsia"/>
              </w:rPr>
              <w:t>“平急两用”公共基础设施数量</w:t>
            </w:r>
          </w:p>
        </w:tc>
        <w:tc>
          <w:tcPr>
            <w:tcW w:w="902" w:type="pct"/>
            <w:shd w:val="clear" w:color="auto" w:fill="auto"/>
            <w:vAlign w:val="center"/>
          </w:tcPr>
          <w:p w14:paraId="22DA8F48">
            <w:pPr>
              <w:pStyle w:val="41"/>
              <w:rPr>
                <w:rFonts w:hint="eastAsia"/>
              </w:rPr>
            </w:pPr>
            <w:r>
              <w:rPr>
                <w:rFonts w:hint="eastAsia"/>
              </w:rPr>
              <w:t>参照《国务院办公厅关于积极稳步推进超大特大城市“平急两用”公共基础设施建设的指导意见》要求，调查设区市具备“平急两用”转换条件的会展、体育建筑等大型场馆及酒店、组团式民宿、文旅综合体、物流储配基地、医疗服务点、人防工程等设施数量。</w:t>
            </w:r>
          </w:p>
        </w:tc>
        <w:tc>
          <w:tcPr>
            <w:tcW w:w="1220" w:type="pct"/>
            <w:shd w:val="clear" w:color="auto" w:fill="auto"/>
            <w:vAlign w:val="center"/>
          </w:tcPr>
          <w:p w14:paraId="35B77F3E">
            <w:pPr>
              <w:pStyle w:val="41"/>
              <w:rPr>
                <w:rFonts w:hint="eastAsia"/>
              </w:rPr>
            </w:pPr>
            <w:r>
              <w:rPr>
                <w:rFonts w:hint="eastAsia"/>
              </w:rPr>
              <w:t>参照《国务院办公厅关于积极稳步推进超大特大城市“平急两用”公共基础设施建设的指导意见》要求，调查设区市具备“平急两用”转换条件的会展、体育建筑等大型场馆及酒店、组团式民宿、文旅综合体、物流储配基地、医疗服务点、人防工程等设施数量。“平急两用”主要指“平疫两用”“平假两用”“平灾两用”。查找城市在应对新发重大疫情和突发公共事件能力方面存在的问题。</w:t>
            </w:r>
          </w:p>
        </w:tc>
        <w:tc>
          <w:tcPr>
            <w:tcW w:w="1351" w:type="pct"/>
            <w:shd w:val="clear" w:color="auto" w:fill="auto"/>
            <w:vAlign w:val="center"/>
          </w:tcPr>
          <w:p w14:paraId="5B994F4E">
            <w:pPr>
              <w:pStyle w:val="41"/>
              <w:rPr>
                <w:rFonts w:hint="eastAsia"/>
              </w:rPr>
            </w:pPr>
            <w:r>
              <w:rPr>
                <w:rFonts w:hint="eastAsia"/>
              </w:rPr>
              <w:t>市国动办、市发改委、市住建局、市卫健委、市应急管理局、市文广旅局、市交通局、官方统计数据、行业部门调查统计数据</w:t>
            </w:r>
          </w:p>
        </w:tc>
      </w:tr>
      <w:tr w14:paraId="15B7E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2368164E">
            <w:pPr>
              <w:pStyle w:val="41"/>
              <w:rPr>
                <w:rFonts w:hint="eastAsia"/>
              </w:rPr>
            </w:pPr>
          </w:p>
        </w:tc>
        <w:tc>
          <w:tcPr>
            <w:tcW w:w="196" w:type="pct"/>
            <w:vMerge w:val="continue"/>
            <w:shd w:val="clear" w:color="auto" w:fill="auto"/>
            <w:vAlign w:val="center"/>
          </w:tcPr>
          <w:p w14:paraId="6B2C7DE8">
            <w:pPr>
              <w:pStyle w:val="41"/>
              <w:rPr>
                <w:rFonts w:hint="eastAsia"/>
              </w:rPr>
            </w:pPr>
          </w:p>
        </w:tc>
        <w:tc>
          <w:tcPr>
            <w:tcW w:w="160" w:type="pct"/>
            <w:vMerge w:val="restart"/>
            <w:shd w:val="clear" w:color="auto" w:fill="auto"/>
            <w:vAlign w:val="center"/>
          </w:tcPr>
          <w:p w14:paraId="24E729BD">
            <w:pPr>
              <w:pStyle w:val="41"/>
              <w:rPr>
                <w:rFonts w:hint="eastAsia"/>
              </w:rPr>
            </w:pPr>
            <w:r>
              <w:rPr>
                <w:rFonts w:hint="eastAsia"/>
              </w:rPr>
              <w:t>59</w:t>
            </w:r>
          </w:p>
        </w:tc>
        <w:tc>
          <w:tcPr>
            <w:tcW w:w="849" w:type="pct"/>
            <w:vMerge w:val="restart"/>
            <w:shd w:val="clear" w:color="auto" w:fill="auto"/>
            <w:vAlign w:val="center"/>
          </w:tcPr>
          <w:p w14:paraId="53390642">
            <w:pPr>
              <w:pStyle w:val="41"/>
              <w:rPr>
                <w:rFonts w:hint="eastAsia"/>
              </w:rPr>
            </w:pPr>
            <w:r>
              <w:rPr>
                <w:rFonts w:hint="eastAsia"/>
              </w:rPr>
              <w:t>老旧燃气管网改造完成率（%）</w:t>
            </w:r>
          </w:p>
        </w:tc>
        <w:tc>
          <w:tcPr>
            <w:tcW w:w="902" w:type="pct"/>
            <w:shd w:val="clear" w:color="auto" w:fill="auto"/>
            <w:vAlign w:val="center"/>
          </w:tcPr>
          <w:p w14:paraId="4DB20092">
            <w:pPr>
              <w:pStyle w:val="41"/>
              <w:rPr>
                <w:rFonts w:hint="eastAsia"/>
              </w:rPr>
            </w:pPr>
            <w:r>
              <w:rPr>
                <w:rFonts w:hint="eastAsia"/>
              </w:rPr>
              <w:t>59.1市辖区建成区内老旧燃气管网更新改造长度</w:t>
            </w:r>
          </w:p>
        </w:tc>
        <w:tc>
          <w:tcPr>
            <w:tcW w:w="1220" w:type="pct"/>
            <w:vMerge w:val="restart"/>
            <w:shd w:val="clear" w:color="auto" w:fill="auto"/>
            <w:vAlign w:val="center"/>
          </w:tcPr>
          <w:p w14:paraId="40CCBEC6">
            <w:pPr>
              <w:pStyle w:val="41"/>
              <w:rPr>
                <w:rFonts w:hint="eastAsia"/>
              </w:rPr>
            </w:pPr>
            <w:r>
              <w:rPr>
                <w:rFonts w:hint="eastAsia"/>
              </w:rPr>
              <w:t>市辖区建成区内老旧燃气管网更新改造长度，占老旧燃气管网总长度的百分比。</w:t>
            </w:r>
          </w:p>
        </w:tc>
        <w:tc>
          <w:tcPr>
            <w:tcW w:w="1351" w:type="pct"/>
            <w:vMerge w:val="restart"/>
            <w:shd w:val="clear" w:color="auto" w:fill="auto"/>
            <w:vAlign w:val="center"/>
          </w:tcPr>
          <w:p w14:paraId="09BF94B0">
            <w:pPr>
              <w:pStyle w:val="41"/>
              <w:rPr>
                <w:rFonts w:hint="eastAsia"/>
              </w:rPr>
            </w:pPr>
            <w:r>
              <w:rPr>
                <w:rFonts w:hint="eastAsia"/>
              </w:rPr>
              <w:t>市城管局、官方统计数据、行业部门调查统计数据</w:t>
            </w:r>
          </w:p>
        </w:tc>
      </w:tr>
      <w:tr w14:paraId="09059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trPr>
        <w:tc>
          <w:tcPr>
            <w:tcW w:w="319" w:type="pct"/>
            <w:vMerge w:val="continue"/>
            <w:shd w:val="clear" w:color="auto" w:fill="auto"/>
            <w:vAlign w:val="center"/>
          </w:tcPr>
          <w:p w14:paraId="4B1FF48A">
            <w:pPr>
              <w:pStyle w:val="41"/>
              <w:rPr>
                <w:rFonts w:hint="eastAsia"/>
              </w:rPr>
            </w:pPr>
          </w:p>
        </w:tc>
        <w:tc>
          <w:tcPr>
            <w:tcW w:w="196" w:type="pct"/>
            <w:vMerge w:val="continue"/>
            <w:shd w:val="clear" w:color="auto" w:fill="auto"/>
            <w:vAlign w:val="center"/>
          </w:tcPr>
          <w:p w14:paraId="23F52694">
            <w:pPr>
              <w:pStyle w:val="41"/>
              <w:rPr>
                <w:rFonts w:hint="eastAsia"/>
              </w:rPr>
            </w:pPr>
          </w:p>
        </w:tc>
        <w:tc>
          <w:tcPr>
            <w:tcW w:w="160" w:type="pct"/>
            <w:vMerge w:val="continue"/>
            <w:shd w:val="clear" w:color="auto" w:fill="auto"/>
            <w:vAlign w:val="center"/>
          </w:tcPr>
          <w:p w14:paraId="0ED5CA72">
            <w:pPr>
              <w:pStyle w:val="41"/>
              <w:rPr>
                <w:rFonts w:hint="eastAsia"/>
              </w:rPr>
            </w:pPr>
          </w:p>
        </w:tc>
        <w:tc>
          <w:tcPr>
            <w:tcW w:w="849" w:type="pct"/>
            <w:vMerge w:val="continue"/>
            <w:shd w:val="clear" w:color="auto" w:fill="auto"/>
            <w:vAlign w:val="center"/>
          </w:tcPr>
          <w:p w14:paraId="3AC42040">
            <w:pPr>
              <w:pStyle w:val="41"/>
              <w:rPr>
                <w:rFonts w:hint="eastAsia"/>
              </w:rPr>
            </w:pPr>
          </w:p>
        </w:tc>
        <w:tc>
          <w:tcPr>
            <w:tcW w:w="902" w:type="pct"/>
            <w:shd w:val="clear" w:color="auto" w:fill="auto"/>
            <w:vAlign w:val="center"/>
          </w:tcPr>
          <w:p w14:paraId="111610DE">
            <w:pPr>
              <w:pStyle w:val="41"/>
              <w:rPr>
                <w:rFonts w:hint="eastAsia"/>
              </w:rPr>
            </w:pPr>
            <w:r>
              <w:rPr>
                <w:rFonts w:hint="eastAsia"/>
              </w:rPr>
              <w:t>59.2市辖区建成区内老旧燃气管网总长度</w:t>
            </w:r>
          </w:p>
        </w:tc>
        <w:tc>
          <w:tcPr>
            <w:tcW w:w="1220" w:type="pct"/>
            <w:vMerge w:val="continue"/>
            <w:shd w:val="clear" w:color="auto" w:fill="auto"/>
            <w:vAlign w:val="center"/>
          </w:tcPr>
          <w:p w14:paraId="1691D16B">
            <w:pPr>
              <w:pStyle w:val="41"/>
              <w:rPr>
                <w:rFonts w:hint="eastAsia"/>
              </w:rPr>
            </w:pPr>
          </w:p>
        </w:tc>
        <w:tc>
          <w:tcPr>
            <w:tcW w:w="1351" w:type="pct"/>
            <w:vMerge w:val="continue"/>
            <w:shd w:val="clear" w:color="auto" w:fill="auto"/>
            <w:vAlign w:val="center"/>
          </w:tcPr>
          <w:p w14:paraId="731BB542">
            <w:pPr>
              <w:pStyle w:val="41"/>
              <w:rPr>
                <w:rFonts w:hint="eastAsia"/>
              </w:rPr>
            </w:pPr>
          </w:p>
        </w:tc>
      </w:tr>
      <w:tr w14:paraId="72871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6B5FD72">
            <w:pPr>
              <w:pStyle w:val="41"/>
              <w:rPr>
                <w:rFonts w:hint="eastAsia"/>
              </w:rPr>
            </w:pPr>
          </w:p>
        </w:tc>
        <w:tc>
          <w:tcPr>
            <w:tcW w:w="196" w:type="pct"/>
            <w:vMerge w:val="continue"/>
            <w:shd w:val="clear" w:color="auto" w:fill="auto"/>
            <w:vAlign w:val="center"/>
          </w:tcPr>
          <w:p w14:paraId="7EC8C272">
            <w:pPr>
              <w:pStyle w:val="41"/>
              <w:rPr>
                <w:rFonts w:hint="eastAsia"/>
              </w:rPr>
            </w:pPr>
          </w:p>
        </w:tc>
        <w:tc>
          <w:tcPr>
            <w:tcW w:w="160" w:type="pct"/>
            <w:vMerge w:val="restart"/>
            <w:shd w:val="clear" w:color="auto" w:fill="auto"/>
            <w:vAlign w:val="center"/>
          </w:tcPr>
          <w:p w14:paraId="76D88CEA">
            <w:pPr>
              <w:pStyle w:val="41"/>
              <w:rPr>
                <w:rFonts w:hint="eastAsia"/>
              </w:rPr>
            </w:pPr>
            <w:r>
              <w:rPr>
                <w:rFonts w:hint="eastAsia"/>
              </w:rPr>
              <w:t>60</w:t>
            </w:r>
          </w:p>
        </w:tc>
        <w:tc>
          <w:tcPr>
            <w:tcW w:w="849" w:type="pct"/>
            <w:vMerge w:val="restart"/>
            <w:shd w:val="clear" w:color="auto" w:fill="auto"/>
            <w:vAlign w:val="center"/>
          </w:tcPr>
          <w:p w14:paraId="6CA2F6CC">
            <w:pPr>
              <w:pStyle w:val="41"/>
              <w:rPr>
                <w:rFonts w:hint="eastAsia"/>
              </w:rPr>
            </w:pPr>
            <w:r>
              <w:rPr>
                <w:rFonts w:hint="eastAsia"/>
              </w:rPr>
              <w:t>城市消防站服务半径覆盖率（%）</w:t>
            </w:r>
          </w:p>
        </w:tc>
        <w:tc>
          <w:tcPr>
            <w:tcW w:w="902" w:type="pct"/>
            <w:shd w:val="clear" w:color="auto" w:fill="auto"/>
            <w:vAlign w:val="center"/>
          </w:tcPr>
          <w:p w14:paraId="42E2F1CF">
            <w:pPr>
              <w:pStyle w:val="41"/>
              <w:rPr>
                <w:rFonts w:hint="eastAsia"/>
              </w:rPr>
            </w:pPr>
            <w:r>
              <w:rPr>
                <w:rFonts w:hint="eastAsia"/>
              </w:rPr>
              <w:t>60.1市辖区建成区内标准消防站覆盖的建设用地面积，一般应以接到出动指令5min内消防队可以到达辖区边缘为原则测算</w:t>
            </w:r>
          </w:p>
        </w:tc>
        <w:tc>
          <w:tcPr>
            <w:tcW w:w="1220" w:type="pct"/>
            <w:vMerge w:val="restart"/>
            <w:shd w:val="clear" w:color="auto" w:fill="auto"/>
            <w:vAlign w:val="center"/>
          </w:tcPr>
          <w:p w14:paraId="17637C3A">
            <w:pPr>
              <w:pStyle w:val="41"/>
              <w:rPr>
                <w:rFonts w:hint="eastAsia"/>
              </w:rPr>
            </w:pPr>
            <w:r>
              <w:rPr>
                <w:rFonts w:hint="eastAsia"/>
              </w:rPr>
              <w:t>按照《城市消防站建设标准》要求，调查分析市辖区建成区内各类消防站服务半径覆盖的建设用地面积，占建设用地总面积的百分比，查找城市消防站建设规模不足、布局不均衡、人员配备及消防装备配置不完备等方面的问题。</w:t>
            </w:r>
          </w:p>
        </w:tc>
        <w:tc>
          <w:tcPr>
            <w:tcW w:w="1351" w:type="pct"/>
            <w:vMerge w:val="restart"/>
            <w:shd w:val="clear" w:color="auto" w:fill="auto"/>
            <w:vAlign w:val="center"/>
          </w:tcPr>
          <w:p w14:paraId="5EA1715E">
            <w:pPr>
              <w:pStyle w:val="41"/>
              <w:rPr>
                <w:rFonts w:hint="eastAsia"/>
              </w:rPr>
            </w:pPr>
            <w:r>
              <w:rPr>
                <w:rFonts w:hint="eastAsia"/>
              </w:rPr>
              <w:t>市消防救援支队、官方统计数据、行业部门调查统计数据，大数据辅助分析</w:t>
            </w:r>
          </w:p>
        </w:tc>
      </w:tr>
      <w:tr w14:paraId="333B3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427D398">
            <w:pPr>
              <w:pStyle w:val="41"/>
              <w:rPr>
                <w:rFonts w:hint="eastAsia"/>
              </w:rPr>
            </w:pPr>
          </w:p>
        </w:tc>
        <w:tc>
          <w:tcPr>
            <w:tcW w:w="196" w:type="pct"/>
            <w:vMerge w:val="continue"/>
            <w:shd w:val="clear" w:color="auto" w:fill="auto"/>
            <w:vAlign w:val="center"/>
          </w:tcPr>
          <w:p w14:paraId="46ED4091">
            <w:pPr>
              <w:pStyle w:val="41"/>
              <w:rPr>
                <w:rFonts w:hint="eastAsia"/>
              </w:rPr>
            </w:pPr>
          </w:p>
        </w:tc>
        <w:tc>
          <w:tcPr>
            <w:tcW w:w="160" w:type="pct"/>
            <w:vMerge w:val="continue"/>
            <w:shd w:val="clear" w:color="auto" w:fill="auto"/>
            <w:vAlign w:val="center"/>
          </w:tcPr>
          <w:p w14:paraId="16D2C60E">
            <w:pPr>
              <w:pStyle w:val="41"/>
              <w:rPr>
                <w:rFonts w:hint="eastAsia"/>
              </w:rPr>
            </w:pPr>
          </w:p>
        </w:tc>
        <w:tc>
          <w:tcPr>
            <w:tcW w:w="849" w:type="pct"/>
            <w:vMerge w:val="continue"/>
            <w:shd w:val="clear" w:color="auto" w:fill="auto"/>
            <w:vAlign w:val="center"/>
          </w:tcPr>
          <w:p w14:paraId="2F04D696">
            <w:pPr>
              <w:pStyle w:val="41"/>
              <w:rPr>
                <w:rFonts w:hint="eastAsia"/>
              </w:rPr>
            </w:pPr>
          </w:p>
        </w:tc>
        <w:tc>
          <w:tcPr>
            <w:tcW w:w="902" w:type="pct"/>
            <w:shd w:val="clear" w:color="auto" w:fill="auto"/>
            <w:vAlign w:val="center"/>
          </w:tcPr>
          <w:p w14:paraId="67A9079D">
            <w:pPr>
              <w:pStyle w:val="41"/>
              <w:rPr>
                <w:rFonts w:hint="eastAsia"/>
              </w:rPr>
            </w:pPr>
            <w:r>
              <w:rPr>
                <w:rFonts w:hint="eastAsia"/>
              </w:rPr>
              <w:t>60.2市辖区建成区面积</w:t>
            </w:r>
          </w:p>
        </w:tc>
        <w:tc>
          <w:tcPr>
            <w:tcW w:w="1220" w:type="pct"/>
            <w:vMerge w:val="continue"/>
            <w:shd w:val="clear" w:color="auto" w:fill="auto"/>
            <w:vAlign w:val="center"/>
          </w:tcPr>
          <w:p w14:paraId="5A960B0B">
            <w:pPr>
              <w:pStyle w:val="41"/>
              <w:rPr>
                <w:rFonts w:hint="eastAsia"/>
              </w:rPr>
            </w:pPr>
          </w:p>
        </w:tc>
        <w:tc>
          <w:tcPr>
            <w:tcW w:w="1351" w:type="pct"/>
            <w:vMerge w:val="continue"/>
            <w:shd w:val="clear" w:color="auto" w:fill="auto"/>
            <w:vAlign w:val="center"/>
          </w:tcPr>
          <w:p w14:paraId="49328C3F">
            <w:pPr>
              <w:pStyle w:val="41"/>
              <w:rPr>
                <w:rFonts w:hint="eastAsia"/>
              </w:rPr>
            </w:pPr>
          </w:p>
        </w:tc>
      </w:tr>
      <w:tr w14:paraId="75C53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319" w:type="pct"/>
            <w:vMerge w:val="continue"/>
            <w:shd w:val="clear" w:color="auto" w:fill="auto"/>
            <w:vAlign w:val="center"/>
          </w:tcPr>
          <w:p w14:paraId="01042B55">
            <w:pPr>
              <w:pStyle w:val="41"/>
              <w:rPr>
                <w:rFonts w:hint="eastAsia"/>
              </w:rPr>
            </w:pPr>
          </w:p>
        </w:tc>
        <w:tc>
          <w:tcPr>
            <w:tcW w:w="196" w:type="pct"/>
            <w:vMerge w:val="continue"/>
            <w:shd w:val="clear" w:color="auto" w:fill="auto"/>
            <w:vAlign w:val="center"/>
          </w:tcPr>
          <w:p w14:paraId="17FEFA14">
            <w:pPr>
              <w:pStyle w:val="41"/>
              <w:rPr>
                <w:rFonts w:hint="eastAsia"/>
              </w:rPr>
            </w:pPr>
          </w:p>
        </w:tc>
        <w:tc>
          <w:tcPr>
            <w:tcW w:w="160" w:type="pct"/>
            <w:shd w:val="clear" w:color="auto" w:fill="auto"/>
            <w:vAlign w:val="center"/>
          </w:tcPr>
          <w:p w14:paraId="2BCC8C76">
            <w:pPr>
              <w:pStyle w:val="41"/>
              <w:rPr>
                <w:rFonts w:hint="eastAsia"/>
              </w:rPr>
            </w:pPr>
            <w:r>
              <w:rPr>
                <w:rFonts w:hint="eastAsia"/>
              </w:rPr>
              <w:t>61</w:t>
            </w:r>
          </w:p>
        </w:tc>
        <w:tc>
          <w:tcPr>
            <w:tcW w:w="849" w:type="pct"/>
            <w:shd w:val="clear" w:color="auto" w:fill="auto"/>
            <w:vAlign w:val="center"/>
          </w:tcPr>
          <w:p w14:paraId="61355CE0">
            <w:pPr>
              <w:pStyle w:val="41"/>
              <w:rPr>
                <w:rFonts w:hint="eastAsia"/>
              </w:rPr>
            </w:pPr>
            <w:r>
              <w:rPr>
                <w:rFonts w:hint="eastAsia"/>
              </w:rPr>
              <w:t>安全距离不达标的加油加气加氢站数量（个）</w:t>
            </w:r>
          </w:p>
        </w:tc>
        <w:tc>
          <w:tcPr>
            <w:tcW w:w="902" w:type="pct"/>
            <w:shd w:val="clear" w:color="auto" w:fill="auto"/>
            <w:vAlign w:val="center"/>
          </w:tcPr>
          <w:p w14:paraId="5738E2F0">
            <w:pPr>
              <w:pStyle w:val="41"/>
              <w:rPr>
                <w:rFonts w:hint="eastAsia"/>
              </w:rPr>
            </w:pPr>
            <w:r>
              <w:rPr>
                <w:rFonts w:hint="eastAsia"/>
              </w:rPr>
              <w:t>市辖区建成区内安全距离不达标的汽车加油加气加氢站的数量，计算单元为建成区，由各市辖区统计后汇总。</w:t>
            </w:r>
          </w:p>
        </w:tc>
        <w:tc>
          <w:tcPr>
            <w:tcW w:w="1220" w:type="pct"/>
            <w:shd w:val="clear" w:color="auto" w:fill="auto"/>
            <w:vAlign w:val="center"/>
          </w:tcPr>
          <w:p w14:paraId="3C670660">
            <w:pPr>
              <w:pStyle w:val="41"/>
              <w:rPr>
                <w:rFonts w:hint="eastAsia"/>
              </w:rPr>
            </w:pPr>
            <w:r>
              <w:rPr>
                <w:rFonts w:hint="eastAsia"/>
              </w:rPr>
              <w:t>按照《汽车加油加气加氢站技术标准》要求，查找安全距离不符合要求的汽车加油加气加氢站数量，以及布局不合理、安全监管不到位等方面的问题。</w:t>
            </w:r>
          </w:p>
        </w:tc>
        <w:tc>
          <w:tcPr>
            <w:tcW w:w="1351" w:type="pct"/>
            <w:shd w:val="clear" w:color="auto" w:fill="auto"/>
            <w:vAlign w:val="center"/>
          </w:tcPr>
          <w:p w14:paraId="576C6E02">
            <w:pPr>
              <w:pStyle w:val="41"/>
              <w:rPr>
                <w:rFonts w:hint="eastAsia"/>
              </w:rPr>
            </w:pPr>
            <w:r>
              <w:rPr>
                <w:rFonts w:hint="eastAsia"/>
              </w:rPr>
              <w:t>市住建局、官方统计数据、行业部门调查统计数据，大数据辅助分析</w:t>
            </w:r>
          </w:p>
        </w:tc>
      </w:tr>
      <w:tr w14:paraId="4063F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19" w:type="pct"/>
            <w:vMerge w:val="continue"/>
            <w:shd w:val="clear" w:color="auto" w:fill="auto"/>
            <w:vAlign w:val="center"/>
          </w:tcPr>
          <w:p w14:paraId="2A60A4C0">
            <w:pPr>
              <w:pStyle w:val="41"/>
              <w:rPr>
                <w:rFonts w:hint="eastAsia"/>
              </w:rPr>
            </w:pPr>
          </w:p>
        </w:tc>
        <w:tc>
          <w:tcPr>
            <w:tcW w:w="196" w:type="pct"/>
            <w:vMerge w:val="continue"/>
            <w:shd w:val="clear" w:color="auto" w:fill="auto"/>
            <w:vAlign w:val="center"/>
          </w:tcPr>
          <w:p w14:paraId="589D122B">
            <w:pPr>
              <w:pStyle w:val="41"/>
              <w:rPr>
                <w:rFonts w:hint="eastAsia"/>
              </w:rPr>
            </w:pPr>
          </w:p>
        </w:tc>
        <w:tc>
          <w:tcPr>
            <w:tcW w:w="160" w:type="pct"/>
            <w:vMerge w:val="restart"/>
            <w:shd w:val="clear" w:color="auto" w:fill="auto"/>
            <w:vAlign w:val="center"/>
          </w:tcPr>
          <w:p w14:paraId="1CCEF336">
            <w:pPr>
              <w:pStyle w:val="41"/>
              <w:rPr>
                <w:rFonts w:hint="eastAsia"/>
              </w:rPr>
            </w:pPr>
            <w:r>
              <w:rPr>
                <w:rFonts w:hint="eastAsia"/>
              </w:rPr>
              <w:t>62</w:t>
            </w:r>
          </w:p>
        </w:tc>
        <w:tc>
          <w:tcPr>
            <w:tcW w:w="849" w:type="pct"/>
            <w:vMerge w:val="restart"/>
            <w:shd w:val="clear" w:color="auto" w:fill="auto"/>
            <w:vAlign w:val="center"/>
          </w:tcPr>
          <w:p w14:paraId="4A550E32">
            <w:pPr>
              <w:pStyle w:val="41"/>
              <w:rPr>
                <w:rFonts w:hint="eastAsia"/>
              </w:rPr>
            </w:pPr>
            <w:r>
              <w:rPr>
                <w:rFonts w:hint="eastAsia"/>
              </w:rPr>
              <w:t>城镇既有管道燃气用户安全装置加装率（%）</w:t>
            </w:r>
          </w:p>
        </w:tc>
        <w:tc>
          <w:tcPr>
            <w:tcW w:w="902" w:type="pct"/>
            <w:shd w:val="clear" w:color="auto" w:fill="auto"/>
            <w:vAlign w:val="center"/>
          </w:tcPr>
          <w:p w14:paraId="3C0E7B1E">
            <w:pPr>
              <w:pStyle w:val="41"/>
              <w:rPr>
                <w:rFonts w:hint="eastAsia"/>
              </w:rPr>
            </w:pPr>
            <w:r>
              <w:rPr>
                <w:rFonts w:hint="eastAsia"/>
              </w:rPr>
              <w:t>62.1市辖区建成区内已加装安全装置的城镇既有管道燃气用户数（包括城镇既有住宅、单位燃气用户）</w:t>
            </w:r>
          </w:p>
        </w:tc>
        <w:tc>
          <w:tcPr>
            <w:tcW w:w="1220" w:type="pct"/>
            <w:vMerge w:val="restart"/>
            <w:shd w:val="clear" w:color="auto" w:fill="auto"/>
            <w:vAlign w:val="center"/>
          </w:tcPr>
          <w:p w14:paraId="1295F768">
            <w:pPr>
              <w:pStyle w:val="41"/>
              <w:rPr>
                <w:rFonts w:hint="eastAsia"/>
              </w:rPr>
            </w:pPr>
            <w:r>
              <w:rPr>
                <w:rFonts w:hint="eastAsia"/>
              </w:rPr>
              <w:t>市辖区建成区内已加装安全装置的城镇既有管道燃气用户数（包括城镇既有住宅、单位燃气用户）占城镇既有管道燃气用户总数（包括城镇既有住宅、单位燃气用户）的百分比。</w:t>
            </w:r>
          </w:p>
        </w:tc>
        <w:tc>
          <w:tcPr>
            <w:tcW w:w="1351" w:type="pct"/>
            <w:vMerge w:val="restart"/>
            <w:shd w:val="clear" w:color="auto" w:fill="auto"/>
            <w:vAlign w:val="center"/>
          </w:tcPr>
          <w:p w14:paraId="1E410B87">
            <w:pPr>
              <w:pStyle w:val="41"/>
              <w:rPr>
                <w:rFonts w:hint="eastAsia"/>
              </w:rPr>
            </w:pPr>
            <w:r>
              <w:rPr>
                <w:rFonts w:hint="eastAsia"/>
              </w:rPr>
              <w:t>市住建局、官方统计数据、行业部门调查统计数据</w:t>
            </w:r>
          </w:p>
        </w:tc>
      </w:tr>
      <w:tr w14:paraId="37031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19" w:type="pct"/>
            <w:vMerge w:val="continue"/>
            <w:shd w:val="clear" w:color="auto" w:fill="auto"/>
            <w:vAlign w:val="center"/>
          </w:tcPr>
          <w:p w14:paraId="56F1BE16">
            <w:pPr>
              <w:pStyle w:val="41"/>
              <w:rPr>
                <w:rFonts w:hint="eastAsia"/>
              </w:rPr>
            </w:pPr>
          </w:p>
        </w:tc>
        <w:tc>
          <w:tcPr>
            <w:tcW w:w="196" w:type="pct"/>
            <w:vMerge w:val="continue"/>
            <w:shd w:val="clear" w:color="auto" w:fill="auto"/>
            <w:vAlign w:val="center"/>
          </w:tcPr>
          <w:p w14:paraId="13164490">
            <w:pPr>
              <w:pStyle w:val="41"/>
              <w:rPr>
                <w:rFonts w:hint="eastAsia"/>
              </w:rPr>
            </w:pPr>
          </w:p>
        </w:tc>
        <w:tc>
          <w:tcPr>
            <w:tcW w:w="160" w:type="pct"/>
            <w:vMerge w:val="continue"/>
            <w:shd w:val="clear" w:color="auto" w:fill="auto"/>
            <w:vAlign w:val="center"/>
          </w:tcPr>
          <w:p w14:paraId="5850F15F">
            <w:pPr>
              <w:pStyle w:val="41"/>
              <w:rPr>
                <w:rFonts w:hint="eastAsia"/>
              </w:rPr>
            </w:pPr>
          </w:p>
        </w:tc>
        <w:tc>
          <w:tcPr>
            <w:tcW w:w="849" w:type="pct"/>
            <w:vMerge w:val="continue"/>
            <w:shd w:val="clear" w:color="auto" w:fill="auto"/>
            <w:vAlign w:val="center"/>
          </w:tcPr>
          <w:p w14:paraId="3448B808">
            <w:pPr>
              <w:pStyle w:val="41"/>
              <w:rPr>
                <w:rFonts w:hint="eastAsia"/>
              </w:rPr>
            </w:pPr>
          </w:p>
        </w:tc>
        <w:tc>
          <w:tcPr>
            <w:tcW w:w="902" w:type="pct"/>
            <w:shd w:val="clear" w:color="auto" w:fill="auto"/>
            <w:vAlign w:val="center"/>
          </w:tcPr>
          <w:p w14:paraId="64C8E1AC">
            <w:pPr>
              <w:pStyle w:val="41"/>
              <w:rPr>
                <w:rFonts w:hint="eastAsia"/>
              </w:rPr>
            </w:pPr>
            <w:r>
              <w:rPr>
                <w:rFonts w:hint="eastAsia"/>
              </w:rPr>
              <w:t>62.2市辖区建成区内城镇既有管道燃气用户总数（包括城镇既有住宅、单位燃气用户）</w:t>
            </w:r>
          </w:p>
        </w:tc>
        <w:tc>
          <w:tcPr>
            <w:tcW w:w="1220" w:type="pct"/>
            <w:vMerge w:val="continue"/>
            <w:shd w:val="clear" w:color="auto" w:fill="auto"/>
            <w:vAlign w:val="center"/>
          </w:tcPr>
          <w:p w14:paraId="09866A5D">
            <w:pPr>
              <w:pStyle w:val="41"/>
              <w:rPr>
                <w:rFonts w:hint="eastAsia"/>
              </w:rPr>
            </w:pPr>
          </w:p>
        </w:tc>
        <w:tc>
          <w:tcPr>
            <w:tcW w:w="1351" w:type="pct"/>
            <w:vMerge w:val="continue"/>
            <w:shd w:val="clear" w:color="auto" w:fill="auto"/>
            <w:vAlign w:val="center"/>
          </w:tcPr>
          <w:p w14:paraId="04AB3453">
            <w:pPr>
              <w:pStyle w:val="41"/>
              <w:rPr>
                <w:rFonts w:hint="eastAsia"/>
              </w:rPr>
            </w:pPr>
          </w:p>
        </w:tc>
      </w:tr>
      <w:tr w14:paraId="3283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BFD6982">
            <w:pPr>
              <w:pStyle w:val="41"/>
              <w:rPr>
                <w:rFonts w:hint="eastAsia"/>
              </w:rPr>
            </w:pPr>
          </w:p>
        </w:tc>
        <w:tc>
          <w:tcPr>
            <w:tcW w:w="196" w:type="pct"/>
            <w:vMerge w:val="restart"/>
            <w:shd w:val="clear" w:color="auto" w:fill="auto"/>
            <w:vAlign w:val="center"/>
          </w:tcPr>
          <w:p w14:paraId="13C546AB">
            <w:pPr>
              <w:pStyle w:val="41"/>
              <w:rPr>
                <w:rFonts w:hint="eastAsia"/>
              </w:rPr>
            </w:pPr>
            <w:r>
              <w:rPr>
                <w:rFonts w:hint="eastAsia"/>
              </w:rPr>
              <w:t>智慧高效</w:t>
            </w:r>
          </w:p>
        </w:tc>
        <w:tc>
          <w:tcPr>
            <w:tcW w:w="160" w:type="pct"/>
            <w:vMerge w:val="restart"/>
            <w:shd w:val="clear" w:color="auto" w:fill="auto"/>
            <w:vAlign w:val="center"/>
          </w:tcPr>
          <w:p w14:paraId="1234C891">
            <w:pPr>
              <w:pStyle w:val="41"/>
              <w:rPr>
                <w:rFonts w:hint="eastAsia"/>
              </w:rPr>
            </w:pPr>
            <w:r>
              <w:rPr>
                <w:rFonts w:hint="eastAsia"/>
              </w:rPr>
              <w:t>63</w:t>
            </w:r>
          </w:p>
        </w:tc>
        <w:tc>
          <w:tcPr>
            <w:tcW w:w="849" w:type="pct"/>
            <w:vMerge w:val="restart"/>
            <w:shd w:val="clear" w:color="auto" w:fill="auto"/>
            <w:vAlign w:val="center"/>
          </w:tcPr>
          <w:p w14:paraId="0DFF303B">
            <w:pPr>
              <w:pStyle w:val="41"/>
              <w:rPr>
                <w:rFonts w:hint="eastAsia"/>
              </w:rPr>
            </w:pPr>
            <w:r>
              <w:rPr>
                <w:rFonts w:hint="eastAsia"/>
              </w:rPr>
              <w:t>☆</w:t>
            </w:r>
            <w:r>
              <w:t>市政管网管线智能化监测管理率（%）</w:t>
            </w:r>
          </w:p>
        </w:tc>
        <w:tc>
          <w:tcPr>
            <w:tcW w:w="902" w:type="pct"/>
            <w:shd w:val="clear" w:color="auto" w:fill="auto"/>
            <w:vAlign w:val="center"/>
          </w:tcPr>
          <w:p w14:paraId="11E9FAD6">
            <w:pPr>
              <w:pStyle w:val="41"/>
              <w:rPr>
                <w:rFonts w:hint="eastAsia"/>
              </w:rPr>
            </w:pPr>
            <w:r>
              <w:rPr>
                <w:rFonts w:hint="eastAsia"/>
              </w:rPr>
              <w:t>63.1可由物联网等技术进行智能化监测管理的管线长度</w:t>
            </w:r>
          </w:p>
        </w:tc>
        <w:tc>
          <w:tcPr>
            <w:tcW w:w="1220" w:type="pct"/>
            <w:vMerge w:val="restart"/>
            <w:shd w:val="clear" w:color="auto" w:fill="auto"/>
            <w:vAlign w:val="center"/>
          </w:tcPr>
          <w:p w14:paraId="5848AE72">
            <w:pPr>
              <w:pStyle w:val="41"/>
              <w:rPr>
                <w:rFonts w:hint="eastAsia"/>
              </w:rPr>
            </w:pPr>
            <w:r>
              <w:rPr>
                <w:rFonts w:hint="eastAsia"/>
              </w:rPr>
              <w:t>按照市政管网管线智能化监测管理率直辖市、省会城市和计划单列市≥30%、地级市≥15%的目标要求，调查分析市辖区内城市供水、排水、燃气、供热等管线中，可由物联网等技术进行智能化监测管理的管线长度，占市政管网管线总长度的百分比，查找城市在管网漏损、运行安全等在线监测、及时预警和应急处置能力等方面存在的差距和问题。</w:t>
            </w:r>
          </w:p>
        </w:tc>
        <w:tc>
          <w:tcPr>
            <w:tcW w:w="1351" w:type="pct"/>
            <w:vMerge w:val="restart"/>
            <w:shd w:val="clear" w:color="auto" w:fill="auto"/>
            <w:vAlign w:val="center"/>
          </w:tcPr>
          <w:p w14:paraId="775928EC">
            <w:pPr>
              <w:pStyle w:val="41"/>
              <w:rPr>
                <w:rFonts w:hint="eastAsia"/>
              </w:rPr>
            </w:pPr>
            <w:r>
              <w:rPr>
                <w:rFonts w:hint="eastAsia"/>
              </w:rPr>
              <w:t>市城管局、官方统计数据、行业部门调查统计数据</w:t>
            </w:r>
          </w:p>
        </w:tc>
      </w:tr>
      <w:tr w14:paraId="3F1AE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74D0EA1">
            <w:pPr>
              <w:pStyle w:val="41"/>
              <w:rPr>
                <w:rFonts w:hint="eastAsia"/>
              </w:rPr>
            </w:pPr>
          </w:p>
        </w:tc>
        <w:tc>
          <w:tcPr>
            <w:tcW w:w="196" w:type="pct"/>
            <w:vMerge w:val="continue"/>
            <w:shd w:val="clear" w:color="auto" w:fill="auto"/>
            <w:vAlign w:val="center"/>
          </w:tcPr>
          <w:p w14:paraId="3236F7AD">
            <w:pPr>
              <w:pStyle w:val="41"/>
              <w:rPr>
                <w:rFonts w:hint="eastAsia"/>
              </w:rPr>
            </w:pPr>
          </w:p>
        </w:tc>
        <w:tc>
          <w:tcPr>
            <w:tcW w:w="160" w:type="pct"/>
            <w:vMerge w:val="continue"/>
            <w:shd w:val="clear" w:color="auto" w:fill="auto"/>
            <w:vAlign w:val="center"/>
          </w:tcPr>
          <w:p w14:paraId="01C882BD">
            <w:pPr>
              <w:pStyle w:val="41"/>
              <w:rPr>
                <w:rFonts w:hint="eastAsia"/>
              </w:rPr>
            </w:pPr>
          </w:p>
        </w:tc>
        <w:tc>
          <w:tcPr>
            <w:tcW w:w="849" w:type="pct"/>
            <w:vMerge w:val="continue"/>
            <w:shd w:val="clear" w:color="auto" w:fill="auto"/>
            <w:vAlign w:val="center"/>
          </w:tcPr>
          <w:p w14:paraId="044C4CCE">
            <w:pPr>
              <w:pStyle w:val="41"/>
              <w:rPr>
                <w:rFonts w:hint="eastAsia"/>
              </w:rPr>
            </w:pPr>
          </w:p>
        </w:tc>
        <w:tc>
          <w:tcPr>
            <w:tcW w:w="902" w:type="pct"/>
            <w:shd w:val="clear" w:color="auto" w:fill="auto"/>
            <w:vAlign w:val="center"/>
          </w:tcPr>
          <w:p w14:paraId="7E2B1A88">
            <w:pPr>
              <w:pStyle w:val="41"/>
              <w:rPr>
                <w:rFonts w:hint="eastAsia"/>
              </w:rPr>
            </w:pPr>
            <w:r>
              <w:rPr>
                <w:rFonts w:hint="eastAsia"/>
              </w:rPr>
              <w:t>63.2市政管网管线总长度</w:t>
            </w:r>
          </w:p>
        </w:tc>
        <w:tc>
          <w:tcPr>
            <w:tcW w:w="1220" w:type="pct"/>
            <w:vMerge w:val="continue"/>
            <w:shd w:val="clear" w:color="auto" w:fill="auto"/>
            <w:vAlign w:val="center"/>
          </w:tcPr>
          <w:p w14:paraId="56A5BDDE">
            <w:pPr>
              <w:pStyle w:val="41"/>
              <w:rPr>
                <w:rFonts w:hint="eastAsia"/>
              </w:rPr>
            </w:pPr>
          </w:p>
        </w:tc>
        <w:tc>
          <w:tcPr>
            <w:tcW w:w="1351" w:type="pct"/>
            <w:vMerge w:val="continue"/>
            <w:shd w:val="clear" w:color="auto" w:fill="auto"/>
            <w:vAlign w:val="center"/>
          </w:tcPr>
          <w:p w14:paraId="2F71E2EA">
            <w:pPr>
              <w:pStyle w:val="41"/>
              <w:rPr>
                <w:rFonts w:hint="eastAsia"/>
              </w:rPr>
            </w:pPr>
          </w:p>
        </w:tc>
      </w:tr>
      <w:tr w14:paraId="30820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65FDB01">
            <w:pPr>
              <w:pStyle w:val="41"/>
              <w:rPr>
                <w:rFonts w:hint="eastAsia"/>
              </w:rPr>
            </w:pPr>
          </w:p>
        </w:tc>
        <w:tc>
          <w:tcPr>
            <w:tcW w:w="196" w:type="pct"/>
            <w:vMerge w:val="continue"/>
            <w:shd w:val="clear" w:color="auto" w:fill="auto"/>
            <w:vAlign w:val="center"/>
          </w:tcPr>
          <w:p w14:paraId="26617342">
            <w:pPr>
              <w:pStyle w:val="41"/>
              <w:rPr>
                <w:rFonts w:hint="eastAsia"/>
              </w:rPr>
            </w:pPr>
          </w:p>
        </w:tc>
        <w:tc>
          <w:tcPr>
            <w:tcW w:w="160" w:type="pct"/>
            <w:vMerge w:val="restart"/>
            <w:shd w:val="clear" w:color="auto" w:fill="auto"/>
            <w:vAlign w:val="center"/>
          </w:tcPr>
          <w:p w14:paraId="038F5FCE">
            <w:pPr>
              <w:pStyle w:val="41"/>
              <w:rPr>
                <w:rFonts w:hint="eastAsia"/>
              </w:rPr>
            </w:pPr>
            <w:r>
              <w:rPr>
                <w:rFonts w:hint="eastAsia"/>
              </w:rPr>
              <w:t>64</w:t>
            </w:r>
          </w:p>
        </w:tc>
        <w:tc>
          <w:tcPr>
            <w:tcW w:w="849" w:type="pct"/>
            <w:vMerge w:val="restart"/>
            <w:shd w:val="clear" w:color="auto" w:fill="auto"/>
            <w:vAlign w:val="center"/>
          </w:tcPr>
          <w:p w14:paraId="2E5B177C">
            <w:pPr>
              <w:pStyle w:val="41"/>
              <w:rPr>
                <w:rFonts w:hint="eastAsia"/>
              </w:rPr>
            </w:pPr>
            <w:r>
              <w:rPr>
                <w:rFonts w:hint="eastAsia"/>
              </w:rPr>
              <w:t>☆</w:t>
            </w:r>
            <w:r>
              <w:t>建筑施工危险性较大的分部分项工程安全监测覆盖率（%）</w:t>
            </w:r>
          </w:p>
        </w:tc>
        <w:tc>
          <w:tcPr>
            <w:tcW w:w="902" w:type="pct"/>
            <w:shd w:val="clear" w:color="auto" w:fill="auto"/>
            <w:vAlign w:val="center"/>
          </w:tcPr>
          <w:p w14:paraId="77A0CBFB">
            <w:pPr>
              <w:pStyle w:val="41"/>
              <w:rPr>
                <w:rFonts w:hint="eastAsia"/>
              </w:rPr>
            </w:pPr>
            <w:r>
              <w:rPr>
                <w:rFonts w:hint="eastAsia"/>
              </w:rPr>
              <w:t>64.1纳入监测网络的市辖区内具有危险性较大的建筑施工分部分项工程数</w:t>
            </w:r>
          </w:p>
        </w:tc>
        <w:tc>
          <w:tcPr>
            <w:tcW w:w="1220" w:type="pct"/>
            <w:vMerge w:val="restart"/>
            <w:shd w:val="clear" w:color="auto" w:fill="auto"/>
            <w:vAlign w:val="center"/>
          </w:tcPr>
          <w:p w14:paraId="6EBE5783">
            <w:pPr>
              <w:pStyle w:val="41"/>
              <w:rPr>
                <w:rFonts w:hint="eastAsia"/>
              </w:rPr>
            </w:pPr>
            <w:r>
              <w:rPr>
                <w:rFonts w:hint="eastAsia"/>
              </w:rPr>
              <w:t>按照安全生产法关于“推行网上安全信息采集、安全监管和监测预警”的要求，调查分析市辖区房屋市政工程建筑起重机械、深基坑、高支模、城市轨道交通及市政隧道等安全风险监测数据接入城市房屋市政工程安全监管信息系统的项目数，占房屋市政工程在建工地数量的百分比，查找城市运用信息化手段，防范化解房屋市政工程领域重大安全风险方面存在的差距和问题。</w:t>
            </w:r>
          </w:p>
        </w:tc>
        <w:tc>
          <w:tcPr>
            <w:tcW w:w="1351" w:type="pct"/>
            <w:vMerge w:val="restart"/>
            <w:shd w:val="clear" w:color="auto" w:fill="auto"/>
            <w:vAlign w:val="center"/>
          </w:tcPr>
          <w:p w14:paraId="17303C32">
            <w:pPr>
              <w:pStyle w:val="41"/>
              <w:rPr>
                <w:rFonts w:hint="eastAsia"/>
              </w:rPr>
            </w:pPr>
            <w:r>
              <w:rPr>
                <w:rFonts w:hint="eastAsia"/>
              </w:rPr>
              <w:t>市住建局、官方统计数据、行业部门调查统计数据</w:t>
            </w:r>
          </w:p>
        </w:tc>
      </w:tr>
      <w:tr w14:paraId="063C0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07DAB802">
            <w:pPr>
              <w:pStyle w:val="41"/>
              <w:rPr>
                <w:rFonts w:hint="eastAsia"/>
              </w:rPr>
            </w:pPr>
          </w:p>
        </w:tc>
        <w:tc>
          <w:tcPr>
            <w:tcW w:w="196" w:type="pct"/>
            <w:vMerge w:val="continue"/>
            <w:shd w:val="clear" w:color="auto" w:fill="auto"/>
            <w:vAlign w:val="center"/>
          </w:tcPr>
          <w:p w14:paraId="6CD1EBD5">
            <w:pPr>
              <w:pStyle w:val="41"/>
              <w:rPr>
                <w:rFonts w:hint="eastAsia"/>
              </w:rPr>
            </w:pPr>
          </w:p>
        </w:tc>
        <w:tc>
          <w:tcPr>
            <w:tcW w:w="160" w:type="pct"/>
            <w:vMerge w:val="continue"/>
            <w:shd w:val="clear" w:color="auto" w:fill="auto"/>
            <w:vAlign w:val="center"/>
          </w:tcPr>
          <w:p w14:paraId="4C5132AE">
            <w:pPr>
              <w:pStyle w:val="41"/>
              <w:rPr>
                <w:rFonts w:hint="eastAsia"/>
              </w:rPr>
            </w:pPr>
          </w:p>
        </w:tc>
        <w:tc>
          <w:tcPr>
            <w:tcW w:w="849" w:type="pct"/>
            <w:vMerge w:val="continue"/>
            <w:shd w:val="clear" w:color="auto" w:fill="auto"/>
            <w:vAlign w:val="center"/>
          </w:tcPr>
          <w:p w14:paraId="6212110E">
            <w:pPr>
              <w:pStyle w:val="41"/>
              <w:rPr>
                <w:rFonts w:hint="eastAsia"/>
              </w:rPr>
            </w:pPr>
          </w:p>
        </w:tc>
        <w:tc>
          <w:tcPr>
            <w:tcW w:w="902" w:type="pct"/>
            <w:shd w:val="clear" w:color="auto" w:fill="auto"/>
            <w:vAlign w:val="center"/>
          </w:tcPr>
          <w:p w14:paraId="6A2529BD">
            <w:pPr>
              <w:pStyle w:val="41"/>
              <w:rPr>
                <w:rFonts w:hint="eastAsia"/>
              </w:rPr>
            </w:pPr>
            <w:r>
              <w:rPr>
                <w:rFonts w:hint="eastAsia"/>
              </w:rPr>
              <w:t>64.2市辖区内所有建筑施工分部分项工程数量</w:t>
            </w:r>
          </w:p>
        </w:tc>
        <w:tc>
          <w:tcPr>
            <w:tcW w:w="1220" w:type="pct"/>
            <w:vMerge w:val="continue"/>
            <w:shd w:val="clear" w:color="auto" w:fill="auto"/>
            <w:vAlign w:val="center"/>
          </w:tcPr>
          <w:p w14:paraId="2EBF27D4">
            <w:pPr>
              <w:pStyle w:val="41"/>
              <w:rPr>
                <w:rFonts w:hint="eastAsia"/>
              </w:rPr>
            </w:pPr>
          </w:p>
        </w:tc>
        <w:tc>
          <w:tcPr>
            <w:tcW w:w="1351" w:type="pct"/>
            <w:vMerge w:val="continue"/>
            <w:shd w:val="clear" w:color="auto" w:fill="auto"/>
            <w:vAlign w:val="center"/>
          </w:tcPr>
          <w:p w14:paraId="7667C6A1">
            <w:pPr>
              <w:pStyle w:val="41"/>
              <w:rPr>
                <w:rFonts w:hint="eastAsia"/>
              </w:rPr>
            </w:pPr>
          </w:p>
        </w:tc>
      </w:tr>
      <w:tr w14:paraId="3773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8E9EF99">
            <w:pPr>
              <w:pStyle w:val="41"/>
              <w:rPr>
                <w:rFonts w:hint="eastAsia"/>
              </w:rPr>
            </w:pPr>
          </w:p>
        </w:tc>
        <w:tc>
          <w:tcPr>
            <w:tcW w:w="196" w:type="pct"/>
            <w:vMerge w:val="continue"/>
            <w:shd w:val="clear" w:color="auto" w:fill="auto"/>
            <w:vAlign w:val="center"/>
          </w:tcPr>
          <w:p w14:paraId="5199AC07">
            <w:pPr>
              <w:pStyle w:val="41"/>
              <w:rPr>
                <w:rFonts w:hint="eastAsia"/>
              </w:rPr>
            </w:pPr>
          </w:p>
        </w:tc>
        <w:tc>
          <w:tcPr>
            <w:tcW w:w="160" w:type="pct"/>
            <w:vMerge w:val="restart"/>
            <w:shd w:val="clear" w:color="auto" w:fill="auto"/>
            <w:vAlign w:val="center"/>
          </w:tcPr>
          <w:p w14:paraId="0F697485">
            <w:pPr>
              <w:pStyle w:val="41"/>
              <w:rPr>
                <w:rFonts w:hint="eastAsia"/>
              </w:rPr>
            </w:pPr>
            <w:r>
              <w:rPr>
                <w:rFonts w:hint="eastAsia"/>
              </w:rPr>
              <w:t>65</w:t>
            </w:r>
          </w:p>
        </w:tc>
        <w:tc>
          <w:tcPr>
            <w:tcW w:w="849" w:type="pct"/>
            <w:vMerge w:val="restart"/>
            <w:shd w:val="clear" w:color="auto" w:fill="auto"/>
            <w:vAlign w:val="center"/>
          </w:tcPr>
          <w:p w14:paraId="5BA7BBFA">
            <w:pPr>
              <w:pStyle w:val="41"/>
              <w:rPr>
                <w:rFonts w:hint="eastAsia"/>
              </w:rPr>
            </w:pPr>
            <w:r>
              <w:rPr>
                <w:rFonts w:hint="eastAsia"/>
              </w:rPr>
              <w:t>高层建筑智能化火灾监测预警覆盖率（%）</w:t>
            </w:r>
          </w:p>
        </w:tc>
        <w:tc>
          <w:tcPr>
            <w:tcW w:w="902" w:type="pct"/>
            <w:shd w:val="clear" w:color="auto" w:fill="auto"/>
            <w:vAlign w:val="center"/>
          </w:tcPr>
          <w:p w14:paraId="4CE33F5C">
            <w:pPr>
              <w:pStyle w:val="41"/>
              <w:rPr>
                <w:rFonts w:hint="eastAsia"/>
              </w:rPr>
            </w:pPr>
            <w:r>
              <w:rPr>
                <w:rFonts w:hint="eastAsia"/>
              </w:rPr>
              <w:t>65.1市辖区建成区内配置了智能化火灾监测预警系统的高层建筑楼栋数量</w:t>
            </w:r>
          </w:p>
        </w:tc>
        <w:tc>
          <w:tcPr>
            <w:tcW w:w="1220" w:type="pct"/>
            <w:vMerge w:val="restart"/>
            <w:shd w:val="clear" w:color="auto" w:fill="auto"/>
            <w:vAlign w:val="center"/>
          </w:tcPr>
          <w:p w14:paraId="45028895">
            <w:pPr>
              <w:pStyle w:val="41"/>
              <w:rPr>
                <w:rFonts w:hint="eastAsia"/>
              </w:rPr>
            </w:pPr>
            <w:r>
              <w:rPr>
                <w:rFonts w:hint="eastAsia"/>
              </w:rPr>
              <w:t>参照高层建筑智能化火灾监测预警覆盖率达到100%的目标要求，调查分析市辖区建成区内配置了智能化火灾监测预警系统的高层建筑楼栋数量，占建成区高层建筑楼栋总数的百分比，查找城市在运用消防远程监控、火灾报警等智能信息化管理方面存在的差距和问题。</w:t>
            </w:r>
          </w:p>
        </w:tc>
        <w:tc>
          <w:tcPr>
            <w:tcW w:w="1351" w:type="pct"/>
            <w:vMerge w:val="restart"/>
            <w:shd w:val="clear" w:color="auto" w:fill="auto"/>
            <w:vAlign w:val="center"/>
          </w:tcPr>
          <w:p w14:paraId="0D3EA602">
            <w:pPr>
              <w:pStyle w:val="41"/>
              <w:rPr>
                <w:rFonts w:hint="eastAsia"/>
              </w:rPr>
            </w:pPr>
            <w:r>
              <w:rPr>
                <w:rFonts w:hint="eastAsia"/>
              </w:rPr>
              <w:t>市消防救援支队、官方统计数据、行业部门调查统计数据</w:t>
            </w:r>
          </w:p>
        </w:tc>
      </w:tr>
      <w:tr w14:paraId="7631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B94E931">
            <w:pPr>
              <w:pStyle w:val="41"/>
              <w:rPr>
                <w:rFonts w:hint="eastAsia"/>
              </w:rPr>
            </w:pPr>
          </w:p>
        </w:tc>
        <w:tc>
          <w:tcPr>
            <w:tcW w:w="196" w:type="pct"/>
            <w:vMerge w:val="continue"/>
            <w:shd w:val="clear" w:color="auto" w:fill="auto"/>
            <w:vAlign w:val="center"/>
          </w:tcPr>
          <w:p w14:paraId="7AC2F4D5">
            <w:pPr>
              <w:pStyle w:val="41"/>
              <w:rPr>
                <w:rFonts w:hint="eastAsia"/>
              </w:rPr>
            </w:pPr>
          </w:p>
        </w:tc>
        <w:tc>
          <w:tcPr>
            <w:tcW w:w="160" w:type="pct"/>
            <w:vMerge w:val="continue"/>
            <w:shd w:val="clear" w:color="auto" w:fill="auto"/>
            <w:vAlign w:val="center"/>
          </w:tcPr>
          <w:p w14:paraId="24378F22">
            <w:pPr>
              <w:pStyle w:val="41"/>
              <w:rPr>
                <w:rFonts w:hint="eastAsia"/>
              </w:rPr>
            </w:pPr>
          </w:p>
        </w:tc>
        <w:tc>
          <w:tcPr>
            <w:tcW w:w="849" w:type="pct"/>
            <w:vMerge w:val="continue"/>
            <w:shd w:val="clear" w:color="auto" w:fill="auto"/>
            <w:vAlign w:val="center"/>
          </w:tcPr>
          <w:p w14:paraId="027AD9A8">
            <w:pPr>
              <w:pStyle w:val="41"/>
              <w:rPr>
                <w:rFonts w:hint="eastAsia"/>
              </w:rPr>
            </w:pPr>
          </w:p>
        </w:tc>
        <w:tc>
          <w:tcPr>
            <w:tcW w:w="902" w:type="pct"/>
            <w:shd w:val="clear" w:color="auto" w:fill="auto"/>
            <w:vAlign w:val="center"/>
          </w:tcPr>
          <w:p w14:paraId="3DFCAE64">
            <w:pPr>
              <w:pStyle w:val="41"/>
              <w:rPr>
                <w:rFonts w:hint="eastAsia"/>
              </w:rPr>
            </w:pPr>
            <w:r>
              <w:rPr>
                <w:rFonts w:hint="eastAsia"/>
              </w:rPr>
              <w:t>65.2市辖区建成区高层建筑楼栋总数量</w:t>
            </w:r>
          </w:p>
        </w:tc>
        <w:tc>
          <w:tcPr>
            <w:tcW w:w="1220" w:type="pct"/>
            <w:vMerge w:val="continue"/>
            <w:shd w:val="clear" w:color="auto" w:fill="auto"/>
            <w:vAlign w:val="center"/>
          </w:tcPr>
          <w:p w14:paraId="21BAFA30">
            <w:pPr>
              <w:pStyle w:val="41"/>
              <w:rPr>
                <w:rFonts w:hint="eastAsia"/>
              </w:rPr>
            </w:pPr>
          </w:p>
        </w:tc>
        <w:tc>
          <w:tcPr>
            <w:tcW w:w="1351" w:type="pct"/>
            <w:vMerge w:val="continue"/>
            <w:shd w:val="clear" w:color="auto" w:fill="auto"/>
            <w:vAlign w:val="center"/>
          </w:tcPr>
          <w:p w14:paraId="1D1CD556">
            <w:pPr>
              <w:pStyle w:val="41"/>
              <w:rPr>
                <w:rFonts w:hint="eastAsia"/>
              </w:rPr>
            </w:pPr>
          </w:p>
        </w:tc>
      </w:tr>
      <w:tr w14:paraId="70F79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2ACDC35">
            <w:pPr>
              <w:pStyle w:val="41"/>
              <w:rPr>
                <w:rFonts w:hint="eastAsia"/>
              </w:rPr>
            </w:pPr>
          </w:p>
        </w:tc>
        <w:tc>
          <w:tcPr>
            <w:tcW w:w="196" w:type="pct"/>
            <w:vMerge w:val="continue"/>
            <w:shd w:val="clear" w:color="auto" w:fill="auto"/>
            <w:vAlign w:val="center"/>
          </w:tcPr>
          <w:p w14:paraId="4C88D091">
            <w:pPr>
              <w:pStyle w:val="41"/>
              <w:rPr>
                <w:rFonts w:hint="eastAsia"/>
              </w:rPr>
            </w:pPr>
          </w:p>
        </w:tc>
        <w:tc>
          <w:tcPr>
            <w:tcW w:w="160" w:type="pct"/>
            <w:vMerge w:val="restart"/>
            <w:shd w:val="clear" w:color="auto" w:fill="auto"/>
            <w:vAlign w:val="center"/>
          </w:tcPr>
          <w:p w14:paraId="37B6396C">
            <w:pPr>
              <w:pStyle w:val="41"/>
              <w:rPr>
                <w:rFonts w:hint="eastAsia"/>
              </w:rPr>
            </w:pPr>
            <w:r>
              <w:rPr>
                <w:rFonts w:hint="eastAsia"/>
              </w:rPr>
              <w:t>66</w:t>
            </w:r>
          </w:p>
        </w:tc>
        <w:tc>
          <w:tcPr>
            <w:tcW w:w="849" w:type="pct"/>
            <w:vMerge w:val="restart"/>
            <w:shd w:val="clear" w:color="auto" w:fill="auto"/>
            <w:vAlign w:val="center"/>
          </w:tcPr>
          <w:p w14:paraId="64C5A98B">
            <w:pPr>
              <w:pStyle w:val="41"/>
              <w:rPr>
                <w:rFonts w:hint="eastAsia"/>
              </w:rPr>
            </w:pPr>
            <w:r>
              <w:rPr>
                <w:rFonts w:hint="eastAsia"/>
              </w:rPr>
              <w:t>城市信息模型（CIM）基础平台建设三维数据覆盖率（%）</w:t>
            </w:r>
          </w:p>
        </w:tc>
        <w:tc>
          <w:tcPr>
            <w:tcW w:w="902" w:type="pct"/>
            <w:shd w:val="clear" w:color="auto" w:fill="auto"/>
            <w:vAlign w:val="center"/>
          </w:tcPr>
          <w:p w14:paraId="0E061403">
            <w:pPr>
              <w:pStyle w:val="41"/>
              <w:rPr>
                <w:rFonts w:hint="eastAsia"/>
              </w:rPr>
            </w:pPr>
            <w:r>
              <w:rPr>
                <w:rFonts w:hint="eastAsia"/>
              </w:rPr>
              <w:t>66.1市辖区建成区内CIM基础平台汇聚的三维数据投影面积</w:t>
            </w:r>
          </w:p>
        </w:tc>
        <w:tc>
          <w:tcPr>
            <w:tcW w:w="1220" w:type="pct"/>
            <w:vMerge w:val="restart"/>
            <w:shd w:val="clear" w:color="auto" w:fill="auto"/>
            <w:vAlign w:val="center"/>
          </w:tcPr>
          <w:p w14:paraId="1A3A7AC1">
            <w:pPr>
              <w:pStyle w:val="41"/>
              <w:rPr>
                <w:rFonts w:hint="eastAsia"/>
              </w:rPr>
            </w:pPr>
            <w:r>
              <w:rPr>
                <w:rFonts w:hint="eastAsia"/>
              </w:rPr>
              <w:t>市辖区建成区内CIM基础平台汇聚的三维数据投影面积，占建成区面积的百分比。</w:t>
            </w:r>
          </w:p>
        </w:tc>
        <w:tc>
          <w:tcPr>
            <w:tcW w:w="1351" w:type="pct"/>
            <w:vMerge w:val="restart"/>
            <w:shd w:val="clear" w:color="auto" w:fill="auto"/>
            <w:vAlign w:val="center"/>
          </w:tcPr>
          <w:p w14:paraId="5083F26A">
            <w:pPr>
              <w:pStyle w:val="41"/>
              <w:rPr>
                <w:rFonts w:hint="eastAsia"/>
              </w:rPr>
            </w:pPr>
            <w:r>
              <w:rPr>
                <w:rFonts w:hint="eastAsia"/>
              </w:rPr>
              <w:t>市自规局国土空间数字中心、官方统计数据、行业部门调查统计数据</w:t>
            </w:r>
          </w:p>
        </w:tc>
      </w:tr>
      <w:tr w14:paraId="122BB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6679443A">
            <w:pPr>
              <w:pStyle w:val="41"/>
              <w:rPr>
                <w:rFonts w:hint="eastAsia"/>
              </w:rPr>
            </w:pPr>
          </w:p>
        </w:tc>
        <w:tc>
          <w:tcPr>
            <w:tcW w:w="196" w:type="pct"/>
            <w:vMerge w:val="continue"/>
            <w:shd w:val="clear" w:color="auto" w:fill="auto"/>
            <w:vAlign w:val="center"/>
          </w:tcPr>
          <w:p w14:paraId="553B5DC7">
            <w:pPr>
              <w:pStyle w:val="41"/>
              <w:rPr>
                <w:rFonts w:hint="eastAsia"/>
              </w:rPr>
            </w:pPr>
          </w:p>
        </w:tc>
        <w:tc>
          <w:tcPr>
            <w:tcW w:w="160" w:type="pct"/>
            <w:vMerge w:val="continue"/>
            <w:shd w:val="clear" w:color="auto" w:fill="auto"/>
            <w:vAlign w:val="center"/>
          </w:tcPr>
          <w:p w14:paraId="61898D08">
            <w:pPr>
              <w:pStyle w:val="41"/>
              <w:rPr>
                <w:rFonts w:hint="eastAsia"/>
              </w:rPr>
            </w:pPr>
          </w:p>
        </w:tc>
        <w:tc>
          <w:tcPr>
            <w:tcW w:w="849" w:type="pct"/>
            <w:vMerge w:val="continue"/>
            <w:shd w:val="clear" w:color="auto" w:fill="auto"/>
            <w:vAlign w:val="center"/>
          </w:tcPr>
          <w:p w14:paraId="74F461C4">
            <w:pPr>
              <w:pStyle w:val="41"/>
              <w:rPr>
                <w:rFonts w:hint="eastAsia"/>
              </w:rPr>
            </w:pPr>
          </w:p>
        </w:tc>
        <w:tc>
          <w:tcPr>
            <w:tcW w:w="902" w:type="pct"/>
            <w:shd w:val="clear" w:color="auto" w:fill="auto"/>
            <w:vAlign w:val="center"/>
          </w:tcPr>
          <w:p w14:paraId="5E5791B0">
            <w:pPr>
              <w:pStyle w:val="41"/>
              <w:rPr>
                <w:rFonts w:hint="eastAsia"/>
              </w:rPr>
            </w:pPr>
            <w:r>
              <w:rPr>
                <w:rFonts w:hint="eastAsia"/>
              </w:rPr>
              <w:t>66.2市辖区建成区面积</w:t>
            </w:r>
          </w:p>
        </w:tc>
        <w:tc>
          <w:tcPr>
            <w:tcW w:w="1220" w:type="pct"/>
            <w:vMerge w:val="continue"/>
            <w:shd w:val="clear" w:color="auto" w:fill="auto"/>
            <w:vAlign w:val="center"/>
          </w:tcPr>
          <w:p w14:paraId="607D05F2">
            <w:pPr>
              <w:pStyle w:val="41"/>
              <w:rPr>
                <w:rFonts w:hint="eastAsia"/>
              </w:rPr>
            </w:pPr>
          </w:p>
        </w:tc>
        <w:tc>
          <w:tcPr>
            <w:tcW w:w="1351" w:type="pct"/>
            <w:vMerge w:val="continue"/>
            <w:shd w:val="clear" w:color="auto" w:fill="auto"/>
            <w:vAlign w:val="center"/>
          </w:tcPr>
          <w:p w14:paraId="3759FC2B">
            <w:pPr>
              <w:pStyle w:val="41"/>
              <w:rPr>
                <w:rFonts w:hint="eastAsia"/>
              </w:rPr>
            </w:pPr>
          </w:p>
        </w:tc>
      </w:tr>
      <w:tr w14:paraId="7CD1C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32F089D7">
            <w:pPr>
              <w:pStyle w:val="41"/>
              <w:rPr>
                <w:rFonts w:hint="eastAsia"/>
              </w:rPr>
            </w:pPr>
          </w:p>
        </w:tc>
        <w:tc>
          <w:tcPr>
            <w:tcW w:w="196" w:type="pct"/>
            <w:vMerge w:val="continue"/>
            <w:shd w:val="clear" w:color="auto" w:fill="auto"/>
            <w:vAlign w:val="center"/>
          </w:tcPr>
          <w:p w14:paraId="50E4C1AA">
            <w:pPr>
              <w:pStyle w:val="41"/>
              <w:rPr>
                <w:rFonts w:hint="eastAsia"/>
              </w:rPr>
            </w:pPr>
          </w:p>
        </w:tc>
        <w:tc>
          <w:tcPr>
            <w:tcW w:w="160" w:type="pct"/>
            <w:vMerge w:val="restart"/>
            <w:shd w:val="clear" w:color="auto" w:fill="auto"/>
            <w:vAlign w:val="center"/>
          </w:tcPr>
          <w:p w14:paraId="72E67850">
            <w:pPr>
              <w:pStyle w:val="41"/>
              <w:rPr>
                <w:rFonts w:hint="eastAsia"/>
              </w:rPr>
            </w:pPr>
            <w:r>
              <w:rPr>
                <w:rFonts w:hint="eastAsia"/>
              </w:rPr>
              <w:t>67</w:t>
            </w:r>
          </w:p>
        </w:tc>
        <w:tc>
          <w:tcPr>
            <w:tcW w:w="849" w:type="pct"/>
            <w:vMerge w:val="restart"/>
            <w:shd w:val="clear" w:color="auto" w:fill="auto"/>
            <w:vAlign w:val="center"/>
          </w:tcPr>
          <w:p w14:paraId="0EA281F0">
            <w:pPr>
              <w:pStyle w:val="41"/>
              <w:rPr>
                <w:rFonts w:hint="eastAsia"/>
              </w:rPr>
            </w:pPr>
            <w:r>
              <w:rPr>
                <w:rFonts w:hint="eastAsia"/>
              </w:rPr>
              <w:t>城市运行管理服务平台覆盖率（%）</w:t>
            </w:r>
          </w:p>
        </w:tc>
        <w:tc>
          <w:tcPr>
            <w:tcW w:w="902" w:type="pct"/>
            <w:shd w:val="clear" w:color="auto" w:fill="auto"/>
            <w:vAlign w:val="center"/>
          </w:tcPr>
          <w:p w14:paraId="0B5F84D2">
            <w:pPr>
              <w:pStyle w:val="41"/>
              <w:rPr>
                <w:rFonts w:hint="eastAsia"/>
              </w:rPr>
            </w:pPr>
            <w:r>
              <w:rPr>
                <w:rFonts w:hint="eastAsia"/>
              </w:rPr>
              <w:t>67.1市辖区建成区内城市运行管理服务平台覆盖的区域面积</w:t>
            </w:r>
          </w:p>
        </w:tc>
        <w:tc>
          <w:tcPr>
            <w:tcW w:w="1220" w:type="pct"/>
            <w:vMerge w:val="restart"/>
            <w:shd w:val="clear" w:color="auto" w:fill="auto"/>
            <w:vAlign w:val="center"/>
          </w:tcPr>
          <w:p w14:paraId="6A771B57">
            <w:pPr>
              <w:pStyle w:val="41"/>
              <w:rPr>
                <w:rFonts w:hint="eastAsia"/>
              </w:rPr>
            </w:pPr>
            <w:r>
              <w:rPr>
                <w:rFonts w:hint="eastAsia"/>
              </w:rPr>
              <w:t>按照城市运行管理“一网统管”体制机制健全目标要求，调查分析市辖区建成区内城市运行管理服务平台覆盖的区域面积，占建成区总面积的百分比，查找城市运行管理服务平台建设、城市生命线安全工程建设、城市精细化管理方面存在的差距和问题。</w:t>
            </w:r>
          </w:p>
        </w:tc>
        <w:tc>
          <w:tcPr>
            <w:tcW w:w="1351" w:type="pct"/>
            <w:vMerge w:val="restart"/>
            <w:shd w:val="clear" w:color="auto" w:fill="auto"/>
            <w:vAlign w:val="center"/>
          </w:tcPr>
          <w:p w14:paraId="7660DB81">
            <w:pPr>
              <w:pStyle w:val="41"/>
              <w:rPr>
                <w:rFonts w:hint="eastAsia"/>
              </w:rPr>
            </w:pPr>
            <w:r>
              <w:rPr>
                <w:rFonts w:hint="eastAsia"/>
              </w:rPr>
              <w:t>市城管行政执法局、官方统计数据、行业部门调查统计数据</w:t>
            </w:r>
          </w:p>
        </w:tc>
      </w:tr>
      <w:tr w14:paraId="1EB1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7477E9E">
            <w:pPr>
              <w:pStyle w:val="41"/>
              <w:rPr>
                <w:rFonts w:hint="eastAsia"/>
              </w:rPr>
            </w:pPr>
          </w:p>
        </w:tc>
        <w:tc>
          <w:tcPr>
            <w:tcW w:w="196" w:type="pct"/>
            <w:vMerge w:val="continue"/>
            <w:shd w:val="clear" w:color="auto" w:fill="auto"/>
            <w:vAlign w:val="center"/>
          </w:tcPr>
          <w:p w14:paraId="2CD136C3">
            <w:pPr>
              <w:pStyle w:val="41"/>
              <w:rPr>
                <w:rFonts w:hint="eastAsia"/>
              </w:rPr>
            </w:pPr>
          </w:p>
        </w:tc>
        <w:tc>
          <w:tcPr>
            <w:tcW w:w="160" w:type="pct"/>
            <w:vMerge w:val="continue"/>
            <w:shd w:val="clear" w:color="auto" w:fill="auto"/>
            <w:vAlign w:val="center"/>
          </w:tcPr>
          <w:p w14:paraId="712E95A1">
            <w:pPr>
              <w:pStyle w:val="41"/>
              <w:rPr>
                <w:rFonts w:hint="eastAsia"/>
              </w:rPr>
            </w:pPr>
          </w:p>
        </w:tc>
        <w:tc>
          <w:tcPr>
            <w:tcW w:w="849" w:type="pct"/>
            <w:vMerge w:val="continue"/>
            <w:shd w:val="clear" w:color="auto" w:fill="auto"/>
            <w:vAlign w:val="center"/>
          </w:tcPr>
          <w:p w14:paraId="232F2392">
            <w:pPr>
              <w:pStyle w:val="41"/>
              <w:rPr>
                <w:rFonts w:hint="eastAsia"/>
              </w:rPr>
            </w:pPr>
          </w:p>
        </w:tc>
        <w:tc>
          <w:tcPr>
            <w:tcW w:w="902" w:type="pct"/>
            <w:shd w:val="clear" w:color="auto" w:fill="auto"/>
            <w:vAlign w:val="center"/>
          </w:tcPr>
          <w:p w14:paraId="62746909">
            <w:pPr>
              <w:pStyle w:val="41"/>
              <w:rPr>
                <w:rFonts w:hint="eastAsia"/>
              </w:rPr>
            </w:pPr>
            <w:r>
              <w:rPr>
                <w:rFonts w:hint="eastAsia"/>
              </w:rPr>
              <w:t>67.2市辖区建成区面积</w:t>
            </w:r>
          </w:p>
        </w:tc>
        <w:tc>
          <w:tcPr>
            <w:tcW w:w="1220" w:type="pct"/>
            <w:vMerge w:val="continue"/>
            <w:shd w:val="clear" w:color="auto" w:fill="auto"/>
            <w:vAlign w:val="center"/>
          </w:tcPr>
          <w:p w14:paraId="26EE65AC">
            <w:pPr>
              <w:pStyle w:val="41"/>
              <w:rPr>
                <w:rFonts w:hint="eastAsia"/>
              </w:rPr>
            </w:pPr>
          </w:p>
        </w:tc>
        <w:tc>
          <w:tcPr>
            <w:tcW w:w="1351" w:type="pct"/>
            <w:vMerge w:val="continue"/>
            <w:shd w:val="clear" w:color="auto" w:fill="auto"/>
            <w:vAlign w:val="center"/>
          </w:tcPr>
          <w:p w14:paraId="22BF4470">
            <w:pPr>
              <w:pStyle w:val="41"/>
              <w:rPr>
                <w:rFonts w:hint="eastAsia"/>
              </w:rPr>
            </w:pPr>
          </w:p>
        </w:tc>
      </w:tr>
      <w:tr w14:paraId="1DF5F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11B388DA">
            <w:pPr>
              <w:pStyle w:val="41"/>
              <w:rPr>
                <w:rFonts w:hint="eastAsia"/>
              </w:rPr>
            </w:pPr>
          </w:p>
        </w:tc>
        <w:tc>
          <w:tcPr>
            <w:tcW w:w="196" w:type="pct"/>
            <w:vMerge w:val="continue"/>
            <w:shd w:val="clear" w:color="auto" w:fill="auto"/>
            <w:vAlign w:val="center"/>
          </w:tcPr>
          <w:p w14:paraId="2F95C759">
            <w:pPr>
              <w:pStyle w:val="41"/>
              <w:rPr>
                <w:rFonts w:hint="eastAsia"/>
              </w:rPr>
            </w:pPr>
          </w:p>
        </w:tc>
        <w:tc>
          <w:tcPr>
            <w:tcW w:w="160" w:type="pct"/>
            <w:vMerge w:val="restart"/>
            <w:shd w:val="clear" w:color="auto" w:fill="auto"/>
            <w:vAlign w:val="center"/>
          </w:tcPr>
          <w:p w14:paraId="200D64FF">
            <w:pPr>
              <w:pStyle w:val="41"/>
              <w:rPr>
                <w:rFonts w:hint="eastAsia"/>
              </w:rPr>
            </w:pPr>
            <w:r>
              <w:rPr>
                <w:rFonts w:hint="eastAsia"/>
              </w:rPr>
              <w:t>68</w:t>
            </w:r>
          </w:p>
        </w:tc>
        <w:tc>
          <w:tcPr>
            <w:tcW w:w="849" w:type="pct"/>
            <w:vMerge w:val="restart"/>
            <w:shd w:val="clear" w:color="auto" w:fill="auto"/>
            <w:vAlign w:val="center"/>
          </w:tcPr>
          <w:p w14:paraId="3CE83EF0">
            <w:pPr>
              <w:pStyle w:val="41"/>
              <w:rPr>
                <w:rFonts w:hint="eastAsia"/>
              </w:rPr>
            </w:pPr>
            <w:r>
              <w:rPr>
                <w:rFonts w:hint="eastAsia"/>
              </w:rPr>
              <w:t>城市重要管网监测监控覆盖率（%）</w:t>
            </w:r>
          </w:p>
        </w:tc>
        <w:tc>
          <w:tcPr>
            <w:tcW w:w="902" w:type="pct"/>
            <w:shd w:val="clear" w:color="auto" w:fill="auto"/>
            <w:vAlign w:val="center"/>
          </w:tcPr>
          <w:p w14:paraId="34C34EC9">
            <w:pPr>
              <w:pStyle w:val="41"/>
              <w:rPr>
                <w:rFonts w:hint="eastAsia"/>
              </w:rPr>
            </w:pPr>
            <w:r>
              <w:rPr>
                <w:rFonts w:hint="eastAsia"/>
              </w:rPr>
              <w:t>68.1市辖区建成区内对城市重要管网进行动态监测的城市街道数量</w:t>
            </w:r>
          </w:p>
        </w:tc>
        <w:tc>
          <w:tcPr>
            <w:tcW w:w="1220" w:type="pct"/>
            <w:vMerge w:val="restart"/>
            <w:shd w:val="clear" w:color="auto" w:fill="auto"/>
            <w:vAlign w:val="center"/>
          </w:tcPr>
          <w:p w14:paraId="43B24771">
            <w:pPr>
              <w:pStyle w:val="41"/>
              <w:rPr>
                <w:rFonts w:hint="eastAsia"/>
              </w:rPr>
            </w:pPr>
            <w:r>
              <w:rPr>
                <w:rFonts w:hint="eastAsia"/>
              </w:rPr>
              <w:t>市辖区建成区内对城市重要管网进行动态监测的城市街道数量，占建成区主干道、次干道、支路总量的百分比。</w:t>
            </w:r>
          </w:p>
        </w:tc>
        <w:tc>
          <w:tcPr>
            <w:tcW w:w="1351" w:type="pct"/>
            <w:vMerge w:val="restart"/>
            <w:shd w:val="clear" w:color="auto" w:fill="auto"/>
            <w:vAlign w:val="center"/>
          </w:tcPr>
          <w:p w14:paraId="296B8C66">
            <w:pPr>
              <w:pStyle w:val="41"/>
              <w:rPr>
                <w:rFonts w:hint="eastAsia"/>
              </w:rPr>
            </w:pPr>
            <w:r>
              <w:rPr>
                <w:rFonts w:hint="eastAsia"/>
              </w:rPr>
              <w:t>市住建局、官方统计数据、行业部门调查统计数据</w:t>
            </w:r>
          </w:p>
        </w:tc>
      </w:tr>
      <w:tr w14:paraId="59523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7F15A1D2">
            <w:pPr>
              <w:pStyle w:val="41"/>
              <w:rPr>
                <w:rFonts w:hint="eastAsia"/>
              </w:rPr>
            </w:pPr>
          </w:p>
        </w:tc>
        <w:tc>
          <w:tcPr>
            <w:tcW w:w="196" w:type="pct"/>
            <w:vMerge w:val="continue"/>
            <w:shd w:val="clear" w:color="auto" w:fill="auto"/>
            <w:vAlign w:val="center"/>
          </w:tcPr>
          <w:p w14:paraId="7BEDEAC6">
            <w:pPr>
              <w:pStyle w:val="41"/>
              <w:rPr>
                <w:rFonts w:hint="eastAsia"/>
              </w:rPr>
            </w:pPr>
          </w:p>
        </w:tc>
        <w:tc>
          <w:tcPr>
            <w:tcW w:w="160" w:type="pct"/>
            <w:vMerge w:val="continue"/>
            <w:shd w:val="clear" w:color="auto" w:fill="auto"/>
            <w:vAlign w:val="center"/>
          </w:tcPr>
          <w:p w14:paraId="7154A6F0">
            <w:pPr>
              <w:pStyle w:val="41"/>
              <w:rPr>
                <w:rFonts w:hint="eastAsia"/>
              </w:rPr>
            </w:pPr>
          </w:p>
        </w:tc>
        <w:tc>
          <w:tcPr>
            <w:tcW w:w="849" w:type="pct"/>
            <w:vMerge w:val="continue"/>
            <w:shd w:val="clear" w:color="auto" w:fill="auto"/>
            <w:vAlign w:val="center"/>
          </w:tcPr>
          <w:p w14:paraId="57952C83">
            <w:pPr>
              <w:pStyle w:val="41"/>
              <w:rPr>
                <w:rFonts w:hint="eastAsia"/>
              </w:rPr>
            </w:pPr>
          </w:p>
        </w:tc>
        <w:tc>
          <w:tcPr>
            <w:tcW w:w="902" w:type="pct"/>
            <w:shd w:val="clear" w:color="auto" w:fill="auto"/>
            <w:vAlign w:val="center"/>
          </w:tcPr>
          <w:p w14:paraId="10D98A04">
            <w:pPr>
              <w:pStyle w:val="41"/>
              <w:rPr>
                <w:rFonts w:hint="eastAsia"/>
              </w:rPr>
            </w:pPr>
            <w:r>
              <w:rPr>
                <w:rFonts w:hint="eastAsia"/>
              </w:rPr>
              <w:t>68.2建成区主干道、次干道、支路总量</w:t>
            </w:r>
          </w:p>
        </w:tc>
        <w:tc>
          <w:tcPr>
            <w:tcW w:w="1220" w:type="pct"/>
            <w:vMerge w:val="continue"/>
            <w:shd w:val="clear" w:color="auto" w:fill="auto"/>
            <w:vAlign w:val="center"/>
          </w:tcPr>
          <w:p w14:paraId="04906890">
            <w:pPr>
              <w:pStyle w:val="41"/>
              <w:rPr>
                <w:rFonts w:hint="eastAsia"/>
              </w:rPr>
            </w:pPr>
          </w:p>
        </w:tc>
        <w:tc>
          <w:tcPr>
            <w:tcW w:w="1351" w:type="pct"/>
            <w:vMerge w:val="continue"/>
            <w:shd w:val="clear" w:color="auto" w:fill="auto"/>
            <w:vAlign w:val="center"/>
          </w:tcPr>
          <w:p w14:paraId="33081D20">
            <w:pPr>
              <w:pStyle w:val="41"/>
              <w:rPr>
                <w:rFonts w:hint="eastAsia"/>
              </w:rPr>
            </w:pPr>
          </w:p>
        </w:tc>
      </w:tr>
      <w:tr w14:paraId="5075E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417CB503">
            <w:pPr>
              <w:pStyle w:val="41"/>
              <w:rPr>
                <w:rFonts w:hint="eastAsia"/>
              </w:rPr>
            </w:pPr>
          </w:p>
        </w:tc>
        <w:tc>
          <w:tcPr>
            <w:tcW w:w="196" w:type="pct"/>
            <w:vMerge w:val="restart"/>
            <w:shd w:val="clear" w:color="auto" w:fill="auto"/>
            <w:vAlign w:val="center"/>
          </w:tcPr>
          <w:p w14:paraId="68391EA3">
            <w:pPr>
              <w:pStyle w:val="41"/>
              <w:rPr>
                <w:rFonts w:hint="eastAsia"/>
              </w:rPr>
            </w:pPr>
            <w:r>
              <w:rPr>
                <w:rFonts w:hint="eastAsia"/>
              </w:rPr>
              <w:t>创新活力</w:t>
            </w:r>
          </w:p>
        </w:tc>
        <w:tc>
          <w:tcPr>
            <w:tcW w:w="160" w:type="pct"/>
            <w:vMerge w:val="restart"/>
            <w:shd w:val="clear" w:color="auto" w:fill="auto"/>
            <w:vAlign w:val="center"/>
          </w:tcPr>
          <w:p w14:paraId="7259384A">
            <w:pPr>
              <w:pStyle w:val="41"/>
              <w:rPr>
                <w:rFonts w:hint="eastAsia"/>
              </w:rPr>
            </w:pPr>
            <w:r>
              <w:rPr>
                <w:rFonts w:hint="eastAsia"/>
              </w:rPr>
              <w:t>69</w:t>
            </w:r>
          </w:p>
        </w:tc>
        <w:tc>
          <w:tcPr>
            <w:tcW w:w="849" w:type="pct"/>
            <w:vMerge w:val="restart"/>
            <w:shd w:val="clear" w:color="auto" w:fill="auto"/>
            <w:vAlign w:val="center"/>
          </w:tcPr>
          <w:p w14:paraId="63D1705B">
            <w:pPr>
              <w:pStyle w:val="41"/>
              <w:rPr>
                <w:rFonts w:hint="eastAsia"/>
              </w:rPr>
            </w:pPr>
            <w:r>
              <w:rPr>
                <w:rFonts w:hint="eastAsia"/>
              </w:rPr>
              <w:t>重点地区城市设计覆盖率（%）</w:t>
            </w:r>
          </w:p>
        </w:tc>
        <w:tc>
          <w:tcPr>
            <w:tcW w:w="902" w:type="pct"/>
            <w:shd w:val="clear" w:color="auto" w:fill="auto"/>
            <w:vAlign w:val="center"/>
          </w:tcPr>
          <w:p w14:paraId="74D04E76">
            <w:pPr>
              <w:pStyle w:val="41"/>
              <w:rPr>
                <w:rFonts w:hint="eastAsia"/>
              </w:rPr>
            </w:pPr>
            <w:r>
              <w:rPr>
                <w:rFonts w:hint="eastAsia"/>
              </w:rPr>
              <w:t>69.1市辖区建成区内已编制完成并审批的重点地区城市设计的面积</w:t>
            </w:r>
          </w:p>
        </w:tc>
        <w:tc>
          <w:tcPr>
            <w:tcW w:w="1220" w:type="pct"/>
            <w:vMerge w:val="restart"/>
            <w:shd w:val="clear" w:color="auto" w:fill="auto"/>
            <w:vAlign w:val="center"/>
          </w:tcPr>
          <w:p w14:paraId="765F0B49">
            <w:pPr>
              <w:pStyle w:val="41"/>
              <w:rPr>
                <w:rFonts w:hint="eastAsia"/>
              </w:rPr>
            </w:pPr>
            <w:r>
              <w:rPr>
                <w:rFonts w:hint="eastAsia"/>
              </w:rPr>
              <w:t>市辖区建成区内已编制完成并审批的重点地区城市设计的面积与市辖区建成区面积的比例。</w:t>
            </w:r>
          </w:p>
        </w:tc>
        <w:tc>
          <w:tcPr>
            <w:tcW w:w="1351" w:type="pct"/>
            <w:vMerge w:val="restart"/>
            <w:shd w:val="clear" w:color="auto" w:fill="auto"/>
            <w:vAlign w:val="center"/>
          </w:tcPr>
          <w:p w14:paraId="3740EAA1">
            <w:pPr>
              <w:pStyle w:val="41"/>
              <w:rPr>
                <w:rFonts w:hint="eastAsia"/>
              </w:rPr>
            </w:pPr>
            <w:r>
              <w:rPr>
                <w:rFonts w:hint="eastAsia"/>
              </w:rPr>
              <w:t>市自规局、官方统计数据、行业部门调查统计数据</w:t>
            </w:r>
          </w:p>
        </w:tc>
      </w:tr>
      <w:tr w14:paraId="11D6C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319" w:type="pct"/>
            <w:vMerge w:val="continue"/>
            <w:shd w:val="clear" w:color="auto" w:fill="auto"/>
            <w:vAlign w:val="center"/>
          </w:tcPr>
          <w:p w14:paraId="5622196F">
            <w:pPr>
              <w:pStyle w:val="41"/>
              <w:rPr>
                <w:rFonts w:hint="eastAsia"/>
              </w:rPr>
            </w:pPr>
          </w:p>
        </w:tc>
        <w:tc>
          <w:tcPr>
            <w:tcW w:w="196" w:type="pct"/>
            <w:vMerge w:val="continue"/>
            <w:shd w:val="clear" w:color="auto" w:fill="auto"/>
            <w:vAlign w:val="center"/>
          </w:tcPr>
          <w:p w14:paraId="75368E50">
            <w:pPr>
              <w:pStyle w:val="41"/>
              <w:rPr>
                <w:rFonts w:hint="eastAsia"/>
              </w:rPr>
            </w:pPr>
          </w:p>
        </w:tc>
        <w:tc>
          <w:tcPr>
            <w:tcW w:w="160" w:type="pct"/>
            <w:vMerge w:val="continue"/>
            <w:shd w:val="clear" w:color="auto" w:fill="auto"/>
            <w:vAlign w:val="center"/>
          </w:tcPr>
          <w:p w14:paraId="48FE8ED8">
            <w:pPr>
              <w:pStyle w:val="41"/>
              <w:rPr>
                <w:rFonts w:hint="eastAsia"/>
              </w:rPr>
            </w:pPr>
          </w:p>
        </w:tc>
        <w:tc>
          <w:tcPr>
            <w:tcW w:w="849" w:type="pct"/>
            <w:vMerge w:val="continue"/>
            <w:shd w:val="clear" w:color="auto" w:fill="auto"/>
            <w:vAlign w:val="center"/>
          </w:tcPr>
          <w:p w14:paraId="68BAD101">
            <w:pPr>
              <w:pStyle w:val="41"/>
              <w:rPr>
                <w:rFonts w:hint="eastAsia"/>
              </w:rPr>
            </w:pPr>
          </w:p>
        </w:tc>
        <w:tc>
          <w:tcPr>
            <w:tcW w:w="902" w:type="pct"/>
            <w:shd w:val="clear" w:color="auto" w:fill="auto"/>
            <w:vAlign w:val="center"/>
          </w:tcPr>
          <w:p w14:paraId="61F0F9B7">
            <w:pPr>
              <w:pStyle w:val="41"/>
              <w:rPr>
                <w:rFonts w:hint="eastAsia"/>
              </w:rPr>
            </w:pPr>
            <w:r>
              <w:rPr>
                <w:rFonts w:hint="eastAsia"/>
              </w:rPr>
              <w:t>69.2市辖区建成区面积</w:t>
            </w:r>
          </w:p>
        </w:tc>
        <w:tc>
          <w:tcPr>
            <w:tcW w:w="1220" w:type="pct"/>
            <w:vMerge w:val="continue"/>
            <w:shd w:val="clear" w:color="auto" w:fill="auto"/>
            <w:vAlign w:val="center"/>
          </w:tcPr>
          <w:p w14:paraId="74A8BFF6">
            <w:pPr>
              <w:pStyle w:val="41"/>
              <w:rPr>
                <w:rFonts w:hint="eastAsia"/>
              </w:rPr>
            </w:pPr>
          </w:p>
        </w:tc>
        <w:tc>
          <w:tcPr>
            <w:tcW w:w="1351" w:type="pct"/>
            <w:vMerge w:val="continue"/>
            <w:shd w:val="clear" w:color="auto" w:fill="auto"/>
            <w:vAlign w:val="center"/>
          </w:tcPr>
          <w:p w14:paraId="08D94272">
            <w:pPr>
              <w:pStyle w:val="41"/>
              <w:rPr>
                <w:rFonts w:hint="eastAsia"/>
              </w:rPr>
            </w:pPr>
          </w:p>
        </w:tc>
      </w:tr>
    </w:tbl>
    <w:p w14:paraId="78E260C5">
      <w:pPr>
        <w:pStyle w:val="48"/>
        <w:rPr>
          <w:rFonts w:hint="eastAsia"/>
        </w:rPr>
        <w:sectPr>
          <w:headerReference r:id="rId14" w:type="default"/>
          <w:footerReference r:id="rId15" w:type="default"/>
          <w:pgSz w:w="11900" w:h="16838"/>
          <w:pgMar w:top="1440" w:right="1803" w:bottom="1440" w:left="1803" w:header="600" w:footer="360" w:gutter="0"/>
          <w:pgNumType w:fmt="decimal" w:start="1"/>
          <w:cols w:space="720" w:num="1"/>
        </w:sectPr>
      </w:pPr>
    </w:p>
    <w:p w14:paraId="1FA76386">
      <w:pPr>
        <w:pStyle w:val="48"/>
        <w:outlineLvl w:val="9"/>
        <w:rPr>
          <w:rFonts w:hint="eastAsia"/>
        </w:rPr>
      </w:pPr>
      <w:r>
        <w:rPr>
          <w:rFonts w:hint="eastAsia"/>
        </w:rPr>
        <w:t>完整社区专项体检指标</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
        <w:gridCol w:w="509"/>
        <w:gridCol w:w="1145"/>
        <w:gridCol w:w="2845"/>
        <w:gridCol w:w="2766"/>
        <w:gridCol w:w="863"/>
      </w:tblGrid>
      <w:tr w14:paraId="39D1C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trPr>
        <w:tc>
          <w:tcPr>
            <w:tcW w:w="222" w:type="pct"/>
            <w:shd w:val="clear" w:color="auto" w:fill="auto"/>
            <w:vAlign w:val="center"/>
          </w:tcPr>
          <w:p w14:paraId="73A1CC31">
            <w:pPr>
              <w:pStyle w:val="41"/>
              <w:rPr>
                <w:rFonts w:hint="eastAsia" w:ascii="黑体" w:hAnsi="黑体" w:eastAsia="黑体" w:cs="黑体"/>
              </w:rPr>
            </w:pPr>
            <w:r>
              <w:rPr>
                <w:rFonts w:hint="eastAsia" w:ascii="黑体" w:hAnsi="黑体" w:eastAsia="黑体" w:cs="黑体"/>
              </w:rPr>
              <w:t>维度</w:t>
            </w:r>
          </w:p>
        </w:tc>
        <w:tc>
          <w:tcPr>
            <w:tcW w:w="299" w:type="pct"/>
            <w:shd w:val="clear" w:color="auto" w:fill="auto"/>
            <w:vAlign w:val="center"/>
          </w:tcPr>
          <w:p w14:paraId="21235CB4">
            <w:pPr>
              <w:pStyle w:val="41"/>
              <w:rPr>
                <w:rFonts w:hint="eastAsia" w:ascii="黑体" w:hAnsi="黑体" w:eastAsia="黑体" w:cs="黑体"/>
              </w:rPr>
            </w:pPr>
            <w:r>
              <w:rPr>
                <w:rFonts w:hint="eastAsia" w:ascii="黑体" w:hAnsi="黑体" w:eastAsia="黑体" w:cs="黑体"/>
              </w:rPr>
              <w:t>序号</w:t>
            </w:r>
          </w:p>
        </w:tc>
        <w:tc>
          <w:tcPr>
            <w:tcW w:w="673" w:type="pct"/>
            <w:shd w:val="clear" w:color="auto" w:fill="auto"/>
            <w:vAlign w:val="center"/>
          </w:tcPr>
          <w:p w14:paraId="64A82441">
            <w:pPr>
              <w:pStyle w:val="41"/>
              <w:rPr>
                <w:rFonts w:hint="eastAsia" w:ascii="黑体" w:hAnsi="黑体" w:eastAsia="黑体" w:cs="黑体"/>
              </w:rPr>
            </w:pPr>
            <w:r>
              <w:rPr>
                <w:rFonts w:hint="eastAsia" w:ascii="黑体" w:hAnsi="黑体" w:eastAsia="黑体" w:cs="黑体"/>
              </w:rPr>
              <w:t>指标</w:t>
            </w:r>
          </w:p>
        </w:tc>
        <w:tc>
          <w:tcPr>
            <w:tcW w:w="1671" w:type="pct"/>
            <w:shd w:val="clear" w:color="auto" w:fill="auto"/>
            <w:vAlign w:val="center"/>
          </w:tcPr>
          <w:p w14:paraId="2183BAAA">
            <w:pPr>
              <w:pStyle w:val="41"/>
              <w:rPr>
                <w:rFonts w:hint="eastAsia" w:ascii="黑体" w:hAnsi="黑体" w:eastAsia="黑体" w:cs="黑体"/>
              </w:rPr>
            </w:pPr>
            <w:r>
              <w:rPr>
                <w:rFonts w:hint="eastAsia" w:ascii="黑体" w:hAnsi="黑体" w:eastAsia="黑体" w:cs="黑体"/>
              </w:rPr>
              <w:t>分解指标</w:t>
            </w:r>
          </w:p>
        </w:tc>
        <w:tc>
          <w:tcPr>
            <w:tcW w:w="1625" w:type="pct"/>
            <w:shd w:val="clear" w:color="auto" w:fill="auto"/>
            <w:vAlign w:val="center"/>
          </w:tcPr>
          <w:p w14:paraId="559CD88F">
            <w:pPr>
              <w:pStyle w:val="41"/>
              <w:rPr>
                <w:rFonts w:hint="eastAsia" w:ascii="黑体" w:hAnsi="黑体" w:eastAsia="黑体" w:cs="黑体"/>
              </w:rPr>
            </w:pPr>
            <w:r>
              <w:rPr>
                <w:rFonts w:hint="eastAsia" w:ascii="黑体" w:hAnsi="黑体" w:eastAsia="黑体" w:cs="黑体"/>
              </w:rPr>
              <w:t>体检内容</w:t>
            </w:r>
          </w:p>
        </w:tc>
        <w:tc>
          <w:tcPr>
            <w:tcW w:w="507" w:type="pct"/>
            <w:shd w:val="clear" w:color="auto" w:fill="auto"/>
            <w:vAlign w:val="center"/>
          </w:tcPr>
          <w:p w14:paraId="7D2CC6C1">
            <w:pPr>
              <w:pStyle w:val="41"/>
              <w:rPr>
                <w:rFonts w:hint="eastAsia" w:ascii="黑体" w:hAnsi="黑体" w:eastAsia="黑体" w:cs="黑体"/>
              </w:rPr>
            </w:pPr>
            <w:r>
              <w:rPr>
                <w:rFonts w:hint="eastAsia" w:ascii="黑体" w:hAnsi="黑体" w:eastAsia="黑体" w:cs="黑体"/>
              </w:rPr>
              <w:t>数据获取</w:t>
            </w:r>
          </w:p>
        </w:tc>
      </w:tr>
      <w:tr w14:paraId="49DC0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restart"/>
            <w:shd w:val="clear" w:color="auto" w:fill="auto"/>
            <w:vAlign w:val="center"/>
          </w:tcPr>
          <w:p w14:paraId="40D9BC62">
            <w:pPr>
              <w:pStyle w:val="41"/>
              <w:rPr>
                <w:rFonts w:hint="eastAsia"/>
              </w:rPr>
            </w:pPr>
            <w:r>
              <w:rPr>
                <w:rFonts w:hint="eastAsia"/>
              </w:rPr>
              <w:t>公共设施</w:t>
            </w:r>
          </w:p>
        </w:tc>
        <w:tc>
          <w:tcPr>
            <w:tcW w:w="299" w:type="pct"/>
            <w:vMerge w:val="restart"/>
            <w:shd w:val="clear" w:color="auto" w:fill="auto"/>
            <w:vAlign w:val="center"/>
          </w:tcPr>
          <w:p w14:paraId="7C1CCD45">
            <w:pPr>
              <w:pStyle w:val="41"/>
              <w:rPr>
                <w:rFonts w:hint="eastAsia"/>
              </w:rPr>
            </w:pPr>
            <w:r>
              <w:rPr>
                <w:rFonts w:hint="eastAsia"/>
              </w:rPr>
              <w:t>1</w:t>
            </w:r>
          </w:p>
        </w:tc>
        <w:tc>
          <w:tcPr>
            <w:tcW w:w="673" w:type="pct"/>
            <w:vMerge w:val="restart"/>
            <w:shd w:val="clear" w:color="auto" w:fill="auto"/>
            <w:vAlign w:val="center"/>
          </w:tcPr>
          <w:p w14:paraId="77FBCFD1">
            <w:pPr>
              <w:pStyle w:val="41"/>
              <w:rPr>
                <w:rFonts w:hint="eastAsia"/>
              </w:rPr>
            </w:pPr>
            <w:r>
              <w:rPr>
                <w:rFonts w:hint="eastAsia"/>
              </w:rPr>
              <w:t>社区综合服务站覆盖度</w:t>
            </w:r>
          </w:p>
          <w:p w14:paraId="12607998">
            <w:pPr>
              <w:pStyle w:val="41"/>
              <w:rPr>
                <w:rFonts w:hint="eastAsia"/>
              </w:rPr>
            </w:pPr>
            <w:r>
              <w:rPr>
                <w:rFonts w:hint="eastAsia"/>
              </w:rPr>
              <w:t>（%）</w:t>
            </w:r>
          </w:p>
        </w:tc>
        <w:tc>
          <w:tcPr>
            <w:tcW w:w="1671" w:type="pct"/>
            <w:shd w:val="clear" w:color="auto" w:fill="auto"/>
            <w:vAlign w:val="center"/>
          </w:tcPr>
          <w:p w14:paraId="1A2568A7">
            <w:pPr>
              <w:pStyle w:val="41"/>
              <w:rPr>
                <w:rFonts w:hint="eastAsia"/>
              </w:rPr>
            </w:pPr>
            <w:r>
              <w:rPr>
                <w:rFonts w:hint="eastAsia"/>
              </w:rPr>
              <w:t>市辖区建成区内拥有社区综合服务站的社区个数</w:t>
            </w:r>
          </w:p>
        </w:tc>
        <w:tc>
          <w:tcPr>
            <w:tcW w:w="1625" w:type="pct"/>
            <w:vMerge w:val="restart"/>
            <w:shd w:val="clear" w:color="auto" w:fill="auto"/>
            <w:vAlign w:val="center"/>
          </w:tcPr>
          <w:p w14:paraId="282C9D7F">
            <w:pPr>
              <w:pStyle w:val="41"/>
              <w:rPr>
                <w:rFonts w:hint="eastAsia"/>
              </w:rPr>
            </w:pPr>
            <w:r>
              <w:rPr>
                <w:rFonts w:hint="eastAsia"/>
              </w:rPr>
              <w:t>拥有社区综合服务站的社区占全部社区数量的比例。</w:t>
            </w:r>
          </w:p>
        </w:tc>
        <w:tc>
          <w:tcPr>
            <w:tcW w:w="507" w:type="pct"/>
            <w:vMerge w:val="restart"/>
            <w:shd w:val="clear" w:color="auto" w:fill="auto"/>
            <w:vAlign w:val="center"/>
          </w:tcPr>
          <w:p w14:paraId="52A2C7E9">
            <w:pPr>
              <w:pStyle w:val="41"/>
              <w:rPr>
                <w:rFonts w:hint="eastAsia"/>
              </w:rPr>
            </w:pPr>
            <w:r>
              <w:rPr>
                <w:rFonts w:hint="eastAsia"/>
              </w:rPr>
              <w:t>民政部门</w:t>
            </w:r>
          </w:p>
        </w:tc>
      </w:tr>
      <w:tr w14:paraId="49D96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19060856">
            <w:pPr>
              <w:pStyle w:val="41"/>
              <w:rPr>
                <w:rFonts w:hint="eastAsia"/>
              </w:rPr>
            </w:pPr>
          </w:p>
        </w:tc>
        <w:tc>
          <w:tcPr>
            <w:tcW w:w="299" w:type="pct"/>
            <w:vMerge w:val="continue"/>
            <w:shd w:val="clear" w:color="auto" w:fill="auto"/>
            <w:vAlign w:val="center"/>
          </w:tcPr>
          <w:p w14:paraId="177A8397">
            <w:pPr>
              <w:pStyle w:val="41"/>
              <w:rPr>
                <w:rFonts w:hint="eastAsia"/>
              </w:rPr>
            </w:pPr>
          </w:p>
        </w:tc>
        <w:tc>
          <w:tcPr>
            <w:tcW w:w="673" w:type="pct"/>
            <w:vMerge w:val="continue"/>
            <w:shd w:val="clear" w:color="auto" w:fill="auto"/>
            <w:vAlign w:val="center"/>
          </w:tcPr>
          <w:p w14:paraId="5217021C">
            <w:pPr>
              <w:pStyle w:val="41"/>
              <w:rPr>
                <w:rFonts w:hint="eastAsia"/>
              </w:rPr>
            </w:pPr>
          </w:p>
        </w:tc>
        <w:tc>
          <w:tcPr>
            <w:tcW w:w="1671" w:type="pct"/>
            <w:shd w:val="clear" w:color="auto" w:fill="auto"/>
            <w:vAlign w:val="center"/>
          </w:tcPr>
          <w:p w14:paraId="57B8C63C">
            <w:pPr>
              <w:pStyle w:val="41"/>
              <w:rPr>
                <w:rFonts w:hint="eastAsia"/>
              </w:rPr>
            </w:pPr>
            <w:r>
              <w:rPr>
                <w:rFonts w:hint="eastAsia"/>
              </w:rPr>
              <w:t>市辖区社区总数量</w:t>
            </w:r>
          </w:p>
        </w:tc>
        <w:tc>
          <w:tcPr>
            <w:tcW w:w="1625" w:type="pct"/>
            <w:vMerge w:val="continue"/>
            <w:shd w:val="clear" w:color="auto" w:fill="auto"/>
            <w:vAlign w:val="center"/>
          </w:tcPr>
          <w:p w14:paraId="6699D25F">
            <w:pPr>
              <w:pStyle w:val="41"/>
              <w:rPr>
                <w:rFonts w:hint="eastAsia"/>
              </w:rPr>
            </w:pPr>
          </w:p>
        </w:tc>
        <w:tc>
          <w:tcPr>
            <w:tcW w:w="507" w:type="pct"/>
            <w:vMerge w:val="continue"/>
            <w:shd w:val="clear" w:color="auto" w:fill="auto"/>
            <w:vAlign w:val="center"/>
          </w:tcPr>
          <w:p w14:paraId="362879E7">
            <w:pPr>
              <w:pStyle w:val="41"/>
              <w:rPr>
                <w:rFonts w:hint="eastAsia"/>
              </w:rPr>
            </w:pPr>
          </w:p>
        </w:tc>
      </w:tr>
      <w:tr w14:paraId="67C92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339BB241">
            <w:pPr>
              <w:pStyle w:val="41"/>
              <w:rPr>
                <w:rFonts w:hint="eastAsia"/>
              </w:rPr>
            </w:pPr>
          </w:p>
        </w:tc>
        <w:tc>
          <w:tcPr>
            <w:tcW w:w="299" w:type="pct"/>
            <w:vMerge w:val="restart"/>
            <w:shd w:val="clear" w:color="auto" w:fill="auto"/>
            <w:vAlign w:val="center"/>
          </w:tcPr>
          <w:p w14:paraId="77124280">
            <w:pPr>
              <w:pStyle w:val="41"/>
              <w:rPr>
                <w:rFonts w:hint="eastAsia"/>
              </w:rPr>
            </w:pPr>
            <w:r>
              <w:rPr>
                <w:rFonts w:hint="eastAsia"/>
              </w:rPr>
              <w:t>2</w:t>
            </w:r>
          </w:p>
        </w:tc>
        <w:tc>
          <w:tcPr>
            <w:tcW w:w="673" w:type="pct"/>
            <w:vMerge w:val="restart"/>
            <w:shd w:val="clear" w:color="auto" w:fill="auto"/>
            <w:vAlign w:val="center"/>
          </w:tcPr>
          <w:p w14:paraId="128E0F01">
            <w:pPr>
              <w:pStyle w:val="41"/>
              <w:rPr>
                <w:rFonts w:hint="eastAsia"/>
              </w:rPr>
            </w:pPr>
            <w:r>
              <w:rPr>
                <w:rFonts w:hint="eastAsia"/>
              </w:rPr>
              <w:t>幼儿园覆盖度（%）</w:t>
            </w:r>
          </w:p>
        </w:tc>
        <w:tc>
          <w:tcPr>
            <w:tcW w:w="1671" w:type="pct"/>
            <w:shd w:val="clear" w:color="auto" w:fill="auto"/>
            <w:vAlign w:val="center"/>
          </w:tcPr>
          <w:p w14:paraId="6EE25F6B">
            <w:pPr>
              <w:pStyle w:val="41"/>
              <w:rPr>
                <w:rFonts w:hint="eastAsia"/>
              </w:rPr>
            </w:pPr>
            <w:r>
              <w:rPr>
                <w:rFonts w:hint="eastAsia"/>
              </w:rPr>
              <w:t>市辖区建成区内拥有幼儿园的社区个数</w:t>
            </w:r>
          </w:p>
        </w:tc>
        <w:tc>
          <w:tcPr>
            <w:tcW w:w="1625" w:type="pct"/>
            <w:vMerge w:val="restart"/>
            <w:shd w:val="clear" w:color="auto" w:fill="auto"/>
            <w:vAlign w:val="center"/>
          </w:tcPr>
          <w:p w14:paraId="7D7385B3">
            <w:pPr>
              <w:pStyle w:val="41"/>
              <w:rPr>
                <w:rFonts w:hint="eastAsia"/>
              </w:rPr>
            </w:pPr>
            <w:r>
              <w:rPr>
                <w:rFonts w:hint="eastAsia"/>
              </w:rPr>
              <w:t>拥有幼儿园的社区占全部社区数量的比例。</w:t>
            </w:r>
          </w:p>
        </w:tc>
        <w:tc>
          <w:tcPr>
            <w:tcW w:w="507" w:type="pct"/>
            <w:vMerge w:val="restart"/>
            <w:shd w:val="clear" w:color="auto" w:fill="auto"/>
            <w:vAlign w:val="center"/>
          </w:tcPr>
          <w:p w14:paraId="53DD31B7">
            <w:pPr>
              <w:pStyle w:val="41"/>
              <w:rPr>
                <w:rFonts w:hint="eastAsia"/>
              </w:rPr>
            </w:pPr>
            <w:r>
              <w:rPr>
                <w:rFonts w:hint="eastAsia"/>
              </w:rPr>
              <w:t>教育部门</w:t>
            </w:r>
          </w:p>
        </w:tc>
      </w:tr>
      <w:tr w14:paraId="6C9A5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2ABFE264">
            <w:pPr>
              <w:pStyle w:val="41"/>
              <w:rPr>
                <w:rFonts w:hint="eastAsia"/>
              </w:rPr>
            </w:pPr>
          </w:p>
        </w:tc>
        <w:tc>
          <w:tcPr>
            <w:tcW w:w="299" w:type="pct"/>
            <w:vMerge w:val="continue"/>
            <w:shd w:val="clear" w:color="auto" w:fill="auto"/>
            <w:vAlign w:val="center"/>
          </w:tcPr>
          <w:p w14:paraId="1E5CD725">
            <w:pPr>
              <w:pStyle w:val="41"/>
              <w:rPr>
                <w:rFonts w:hint="eastAsia"/>
              </w:rPr>
            </w:pPr>
          </w:p>
        </w:tc>
        <w:tc>
          <w:tcPr>
            <w:tcW w:w="673" w:type="pct"/>
            <w:vMerge w:val="continue"/>
            <w:shd w:val="clear" w:color="auto" w:fill="auto"/>
            <w:vAlign w:val="center"/>
          </w:tcPr>
          <w:p w14:paraId="6AB65E7C">
            <w:pPr>
              <w:pStyle w:val="41"/>
              <w:rPr>
                <w:rFonts w:hint="eastAsia"/>
              </w:rPr>
            </w:pPr>
          </w:p>
        </w:tc>
        <w:tc>
          <w:tcPr>
            <w:tcW w:w="1671" w:type="pct"/>
            <w:shd w:val="clear" w:color="auto" w:fill="auto"/>
            <w:vAlign w:val="center"/>
          </w:tcPr>
          <w:p w14:paraId="7153B627">
            <w:pPr>
              <w:pStyle w:val="41"/>
              <w:rPr>
                <w:rFonts w:hint="eastAsia"/>
              </w:rPr>
            </w:pPr>
            <w:r>
              <w:rPr>
                <w:rFonts w:hint="eastAsia"/>
              </w:rPr>
              <w:t>市辖区社区总数量</w:t>
            </w:r>
          </w:p>
        </w:tc>
        <w:tc>
          <w:tcPr>
            <w:tcW w:w="1625" w:type="pct"/>
            <w:vMerge w:val="continue"/>
            <w:shd w:val="clear" w:color="auto" w:fill="auto"/>
            <w:vAlign w:val="center"/>
          </w:tcPr>
          <w:p w14:paraId="337FE0B8">
            <w:pPr>
              <w:pStyle w:val="41"/>
              <w:rPr>
                <w:rFonts w:hint="eastAsia"/>
              </w:rPr>
            </w:pPr>
          </w:p>
        </w:tc>
        <w:tc>
          <w:tcPr>
            <w:tcW w:w="507" w:type="pct"/>
            <w:vMerge w:val="continue"/>
            <w:shd w:val="clear" w:color="auto" w:fill="auto"/>
            <w:vAlign w:val="center"/>
          </w:tcPr>
          <w:p w14:paraId="4BDCB1B5">
            <w:pPr>
              <w:pStyle w:val="41"/>
              <w:rPr>
                <w:rFonts w:hint="eastAsia"/>
              </w:rPr>
            </w:pPr>
          </w:p>
        </w:tc>
      </w:tr>
      <w:tr w14:paraId="56D8F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77DA8CA2">
            <w:pPr>
              <w:pStyle w:val="41"/>
              <w:rPr>
                <w:rFonts w:hint="eastAsia"/>
              </w:rPr>
            </w:pPr>
          </w:p>
        </w:tc>
        <w:tc>
          <w:tcPr>
            <w:tcW w:w="299" w:type="pct"/>
            <w:vMerge w:val="restart"/>
            <w:shd w:val="clear" w:color="auto" w:fill="auto"/>
            <w:vAlign w:val="center"/>
          </w:tcPr>
          <w:p w14:paraId="16522A1A">
            <w:pPr>
              <w:pStyle w:val="41"/>
              <w:rPr>
                <w:rFonts w:hint="eastAsia"/>
              </w:rPr>
            </w:pPr>
            <w:r>
              <w:rPr>
                <w:rFonts w:hint="eastAsia"/>
              </w:rPr>
              <w:t>3</w:t>
            </w:r>
          </w:p>
        </w:tc>
        <w:tc>
          <w:tcPr>
            <w:tcW w:w="673" w:type="pct"/>
            <w:vMerge w:val="restart"/>
            <w:shd w:val="clear" w:color="auto" w:fill="auto"/>
            <w:vAlign w:val="center"/>
          </w:tcPr>
          <w:p w14:paraId="6925D5AD">
            <w:pPr>
              <w:pStyle w:val="41"/>
              <w:rPr>
                <w:rFonts w:hint="eastAsia"/>
              </w:rPr>
            </w:pPr>
            <w:r>
              <w:rPr>
                <w:rFonts w:hint="eastAsia"/>
              </w:rPr>
              <w:t>托育设施覆盖度（%）</w:t>
            </w:r>
          </w:p>
        </w:tc>
        <w:tc>
          <w:tcPr>
            <w:tcW w:w="1671" w:type="pct"/>
            <w:shd w:val="clear" w:color="auto" w:fill="auto"/>
            <w:vAlign w:val="center"/>
          </w:tcPr>
          <w:p w14:paraId="6B832A75">
            <w:pPr>
              <w:pStyle w:val="41"/>
              <w:rPr>
                <w:rFonts w:hint="eastAsia"/>
              </w:rPr>
            </w:pPr>
            <w:r>
              <w:rPr>
                <w:rFonts w:hint="eastAsia"/>
              </w:rPr>
              <w:t>市辖区建成区内拥有托儿所等育儿设施的社区个数</w:t>
            </w:r>
          </w:p>
        </w:tc>
        <w:tc>
          <w:tcPr>
            <w:tcW w:w="1625" w:type="pct"/>
            <w:vMerge w:val="restart"/>
            <w:shd w:val="clear" w:color="auto" w:fill="auto"/>
            <w:vAlign w:val="center"/>
          </w:tcPr>
          <w:p w14:paraId="2200B7D4">
            <w:pPr>
              <w:pStyle w:val="41"/>
              <w:rPr>
                <w:rFonts w:hint="eastAsia"/>
              </w:rPr>
            </w:pPr>
            <w:r>
              <w:rPr>
                <w:rFonts w:hint="eastAsia"/>
              </w:rPr>
              <w:t>拥有托儿所等托育设施的社区占全部社区数量的比例。</w:t>
            </w:r>
          </w:p>
        </w:tc>
        <w:tc>
          <w:tcPr>
            <w:tcW w:w="507" w:type="pct"/>
            <w:vMerge w:val="restart"/>
            <w:shd w:val="clear" w:color="auto" w:fill="auto"/>
            <w:vAlign w:val="center"/>
          </w:tcPr>
          <w:p w14:paraId="1098F418">
            <w:pPr>
              <w:pStyle w:val="41"/>
              <w:rPr>
                <w:rFonts w:hint="eastAsia"/>
              </w:rPr>
            </w:pPr>
            <w:r>
              <w:rPr>
                <w:rFonts w:hint="eastAsia"/>
              </w:rPr>
              <w:t>卫健部门</w:t>
            </w:r>
          </w:p>
        </w:tc>
      </w:tr>
      <w:tr w14:paraId="73F03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5CE50FED">
            <w:pPr>
              <w:pStyle w:val="41"/>
              <w:rPr>
                <w:rFonts w:hint="eastAsia"/>
              </w:rPr>
            </w:pPr>
          </w:p>
        </w:tc>
        <w:tc>
          <w:tcPr>
            <w:tcW w:w="299" w:type="pct"/>
            <w:vMerge w:val="continue"/>
            <w:shd w:val="clear" w:color="auto" w:fill="auto"/>
            <w:vAlign w:val="center"/>
          </w:tcPr>
          <w:p w14:paraId="5AA0EEAF">
            <w:pPr>
              <w:pStyle w:val="41"/>
              <w:rPr>
                <w:rFonts w:hint="eastAsia"/>
              </w:rPr>
            </w:pPr>
          </w:p>
        </w:tc>
        <w:tc>
          <w:tcPr>
            <w:tcW w:w="673" w:type="pct"/>
            <w:vMerge w:val="continue"/>
            <w:shd w:val="clear" w:color="auto" w:fill="auto"/>
            <w:vAlign w:val="center"/>
          </w:tcPr>
          <w:p w14:paraId="6AF18584">
            <w:pPr>
              <w:pStyle w:val="41"/>
              <w:rPr>
                <w:rFonts w:hint="eastAsia"/>
              </w:rPr>
            </w:pPr>
          </w:p>
        </w:tc>
        <w:tc>
          <w:tcPr>
            <w:tcW w:w="1671" w:type="pct"/>
            <w:shd w:val="clear" w:color="auto" w:fill="auto"/>
            <w:vAlign w:val="center"/>
          </w:tcPr>
          <w:p w14:paraId="4E9BFFE7">
            <w:pPr>
              <w:pStyle w:val="41"/>
              <w:rPr>
                <w:rFonts w:hint="eastAsia"/>
              </w:rPr>
            </w:pPr>
            <w:r>
              <w:rPr>
                <w:rFonts w:hint="eastAsia"/>
              </w:rPr>
              <w:t>市辖区社区总数量</w:t>
            </w:r>
          </w:p>
        </w:tc>
        <w:tc>
          <w:tcPr>
            <w:tcW w:w="1625" w:type="pct"/>
            <w:vMerge w:val="continue"/>
            <w:shd w:val="clear" w:color="auto" w:fill="auto"/>
            <w:vAlign w:val="center"/>
          </w:tcPr>
          <w:p w14:paraId="51B530EF">
            <w:pPr>
              <w:pStyle w:val="41"/>
              <w:rPr>
                <w:rFonts w:hint="eastAsia"/>
              </w:rPr>
            </w:pPr>
          </w:p>
        </w:tc>
        <w:tc>
          <w:tcPr>
            <w:tcW w:w="507" w:type="pct"/>
            <w:vMerge w:val="continue"/>
            <w:shd w:val="clear" w:color="auto" w:fill="auto"/>
            <w:vAlign w:val="center"/>
          </w:tcPr>
          <w:p w14:paraId="2F232FDF">
            <w:pPr>
              <w:pStyle w:val="41"/>
              <w:rPr>
                <w:rFonts w:hint="eastAsia"/>
              </w:rPr>
            </w:pPr>
          </w:p>
        </w:tc>
      </w:tr>
      <w:tr w14:paraId="7B6A0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61C10D68">
            <w:pPr>
              <w:pStyle w:val="41"/>
              <w:rPr>
                <w:rFonts w:hint="eastAsia"/>
              </w:rPr>
            </w:pPr>
          </w:p>
        </w:tc>
        <w:tc>
          <w:tcPr>
            <w:tcW w:w="299" w:type="pct"/>
            <w:vMerge w:val="restart"/>
            <w:shd w:val="clear" w:color="auto" w:fill="auto"/>
            <w:vAlign w:val="center"/>
          </w:tcPr>
          <w:p w14:paraId="462C3A4E">
            <w:pPr>
              <w:pStyle w:val="41"/>
              <w:rPr>
                <w:rFonts w:hint="eastAsia"/>
              </w:rPr>
            </w:pPr>
            <w:r>
              <w:rPr>
                <w:rFonts w:hint="eastAsia"/>
              </w:rPr>
              <w:t>4</w:t>
            </w:r>
          </w:p>
        </w:tc>
        <w:tc>
          <w:tcPr>
            <w:tcW w:w="673" w:type="pct"/>
            <w:vMerge w:val="restart"/>
            <w:shd w:val="clear" w:color="auto" w:fill="auto"/>
            <w:vAlign w:val="center"/>
          </w:tcPr>
          <w:p w14:paraId="29C58EEA">
            <w:pPr>
              <w:pStyle w:val="41"/>
              <w:rPr>
                <w:rFonts w:hint="eastAsia"/>
              </w:rPr>
            </w:pPr>
            <w:r>
              <w:rPr>
                <w:rFonts w:hint="eastAsia"/>
              </w:rPr>
              <w:t>社区养老服务设施覆盖度（%）</w:t>
            </w:r>
          </w:p>
        </w:tc>
        <w:tc>
          <w:tcPr>
            <w:tcW w:w="1671" w:type="pct"/>
            <w:shd w:val="clear" w:color="auto" w:fill="auto"/>
            <w:vAlign w:val="center"/>
          </w:tcPr>
          <w:p w14:paraId="1B0872EA">
            <w:pPr>
              <w:pStyle w:val="41"/>
              <w:rPr>
                <w:rFonts w:hint="eastAsia"/>
              </w:rPr>
            </w:pPr>
            <w:r>
              <w:rPr>
                <w:rFonts w:hint="eastAsia"/>
              </w:rPr>
              <w:t>市辖区建成区内拥有老年服务站（如日间照料机构或社区养老服务设施等）的社区个数</w:t>
            </w:r>
          </w:p>
        </w:tc>
        <w:tc>
          <w:tcPr>
            <w:tcW w:w="1625" w:type="pct"/>
            <w:vMerge w:val="restart"/>
            <w:shd w:val="clear" w:color="auto" w:fill="auto"/>
            <w:vAlign w:val="center"/>
          </w:tcPr>
          <w:p w14:paraId="2E2D2E8F">
            <w:pPr>
              <w:pStyle w:val="41"/>
              <w:rPr>
                <w:rFonts w:hint="eastAsia"/>
              </w:rPr>
            </w:pPr>
            <w:r>
              <w:rPr>
                <w:rFonts w:hint="eastAsia"/>
              </w:rPr>
              <w:t>拥有老年服务站（如日间照料机构或社区养老服务设施等）的社区占全部社区数量的比例。</w:t>
            </w:r>
          </w:p>
        </w:tc>
        <w:tc>
          <w:tcPr>
            <w:tcW w:w="507" w:type="pct"/>
            <w:vMerge w:val="restart"/>
            <w:shd w:val="clear" w:color="auto" w:fill="auto"/>
            <w:vAlign w:val="center"/>
          </w:tcPr>
          <w:p w14:paraId="165FFC98">
            <w:pPr>
              <w:pStyle w:val="41"/>
              <w:rPr>
                <w:rFonts w:hint="eastAsia"/>
              </w:rPr>
            </w:pPr>
            <w:r>
              <w:rPr>
                <w:rFonts w:hint="eastAsia"/>
              </w:rPr>
              <w:t>民政部门</w:t>
            </w:r>
          </w:p>
        </w:tc>
      </w:tr>
      <w:tr w14:paraId="725DB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2CE0543A">
            <w:pPr>
              <w:pStyle w:val="41"/>
              <w:rPr>
                <w:rFonts w:hint="eastAsia"/>
              </w:rPr>
            </w:pPr>
          </w:p>
        </w:tc>
        <w:tc>
          <w:tcPr>
            <w:tcW w:w="299" w:type="pct"/>
            <w:vMerge w:val="continue"/>
            <w:shd w:val="clear" w:color="auto" w:fill="auto"/>
            <w:vAlign w:val="center"/>
          </w:tcPr>
          <w:p w14:paraId="350BFD61">
            <w:pPr>
              <w:pStyle w:val="41"/>
              <w:rPr>
                <w:rFonts w:hint="eastAsia"/>
              </w:rPr>
            </w:pPr>
          </w:p>
        </w:tc>
        <w:tc>
          <w:tcPr>
            <w:tcW w:w="673" w:type="pct"/>
            <w:vMerge w:val="continue"/>
            <w:shd w:val="clear" w:color="auto" w:fill="auto"/>
            <w:vAlign w:val="center"/>
          </w:tcPr>
          <w:p w14:paraId="28043095">
            <w:pPr>
              <w:pStyle w:val="41"/>
              <w:rPr>
                <w:rFonts w:hint="eastAsia"/>
              </w:rPr>
            </w:pPr>
          </w:p>
        </w:tc>
        <w:tc>
          <w:tcPr>
            <w:tcW w:w="1671" w:type="pct"/>
            <w:shd w:val="clear" w:color="auto" w:fill="auto"/>
            <w:vAlign w:val="center"/>
          </w:tcPr>
          <w:p w14:paraId="43C87C66">
            <w:pPr>
              <w:pStyle w:val="41"/>
              <w:rPr>
                <w:rFonts w:hint="eastAsia"/>
              </w:rPr>
            </w:pPr>
            <w:r>
              <w:rPr>
                <w:rFonts w:hint="eastAsia"/>
              </w:rPr>
              <w:t>市辖区社区总数量</w:t>
            </w:r>
          </w:p>
        </w:tc>
        <w:tc>
          <w:tcPr>
            <w:tcW w:w="1625" w:type="pct"/>
            <w:vMerge w:val="continue"/>
            <w:shd w:val="clear" w:color="auto" w:fill="auto"/>
            <w:vAlign w:val="center"/>
          </w:tcPr>
          <w:p w14:paraId="7D593EB3">
            <w:pPr>
              <w:pStyle w:val="41"/>
              <w:rPr>
                <w:rFonts w:hint="eastAsia"/>
              </w:rPr>
            </w:pPr>
          </w:p>
        </w:tc>
        <w:tc>
          <w:tcPr>
            <w:tcW w:w="507" w:type="pct"/>
            <w:vMerge w:val="continue"/>
            <w:shd w:val="clear" w:color="auto" w:fill="auto"/>
            <w:vAlign w:val="center"/>
          </w:tcPr>
          <w:p w14:paraId="63C75D93">
            <w:pPr>
              <w:pStyle w:val="41"/>
              <w:rPr>
                <w:rFonts w:hint="eastAsia"/>
              </w:rPr>
            </w:pPr>
          </w:p>
        </w:tc>
      </w:tr>
      <w:tr w14:paraId="5C526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103608BB">
            <w:pPr>
              <w:pStyle w:val="41"/>
              <w:rPr>
                <w:rFonts w:hint="eastAsia"/>
              </w:rPr>
            </w:pPr>
          </w:p>
        </w:tc>
        <w:tc>
          <w:tcPr>
            <w:tcW w:w="299" w:type="pct"/>
            <w:vMerge w:val="restart"/>
            <w:shd w:val="clear" w:color="auto" w:fill="auto"/>
            <w:vAlign w:val="center"/>
          </w:tcPr>
          <w:p w14:paraId="03F9A768">
            <w:pPr>
              <w:pStyle w:val="41"/>
              <w:rPr>
                <w:rFonts w:hint="eastAsia"/>
              </w:rPr>
            </w:pPr>
            <w:r>
              <w:rPr>
                <w:rFonts w:hint="eastAsia"/>
              </w:rPr>
              <w:t>5</w:t>
            </w:r>
          </w:p>
        </w:tc>
        <w:tc>
          <w:tcPr>
            <w:tcW w:w="673" w:type="pct"/>
            <w:vMerge w:val="restart"/>
            <w:shd w:val="clear" w:color="auto" w:fill="auto"/>
            <w:vAlign w:val="center"/>
          </w:tcPr>
          <w:p w14:paraId="1B980079">
            <w:pPr>
              <w:pStyle w:val="41"/>
              <w:rPr>
                <w:rFonts w:hint="eastAsia"/>
              </w:rPr>
            </w:pPr>
            <w:r>
              <w:rPr>
                <w:rFonts w:hint="eastAsia"/>
              </w:rPr>
              <w:t>社区卫生服务设施覆盖度（%）</w:t>
            </w:r>
          </w:p>
        </w:tc>
        <w:tc>
          <w:tcPr>
            <w:tcW w:w="1671" w:type="pct"/>
            <w:shd w:val="clear" w:color="auto" w:fill="auto"/>
            <w:vAlign w:val="center"/>
          </w:tcPr>
          <w:p w14:paraId="3156E492">
            <w:pPr>
              <w:pStyle w:val="41"/>
              <w:rPr>
                <w:rFonts w:hint="eastAsia"/>
              </w:rPr>
            </w:pPr>
            <w:r>
              <w:rPr>
                <w:rFonts w:hint="eastAsia"/>
              </w:rPr>
              <w:t>市辖区建成区内拥有社区卫生服务设施的社区个数</w:t>
            </w:r>
          </w:p>
        </w:tc>
        <w:tc>
          <w:tcPr>
            <w:tcW w:w="1625" w:type="pct"/>
            <w:vMerge w:val="restart"/>
            <w:shd w:val="clear" w:color="auto" w:fill="auto"/>
            <w:vAlign w:val="center"/>
          </w:tcPr>
          <w:p w14:paraId="6D8B7ADF">
            <w:pPr>
              <w:pStyle w:val="41"/>
              <w:rPr>
                <w:rFonts w:hint="eastAsia"/>
              </w:rPr>
            </w:pPr>
            <w:r>
              <w:rPr>
                <w:rFonts w:hint="eastAsia"/>
              </w:rPr>
              <w:t>拥有社区卫生服务设施的社区占全部社区数量的比例。</w:t>
            </w:r>
          </w:p>
        </w:tc>
        <w:tc>
          <w:tcPr>
            <w:tcW w:w="507" w:type="pct"/>
            <w:vMerge w:val="restart"/>
            <w:shd w:val="clear" w:color="auto" w:fill="auto"/>
            <w:vAlign w:val="center"/>
          </w:tcPr>
          <w:p w14:paraId="1AF5A1F1">
            <w:pPr>
              <w:pStyle w:val="41"/>
              <w:rPr>
                <w:rFonts w:hint="eastAsia"/>
              </w:rPr>
            </w:pPr>
            <w:r>
              <w:rPr>
                <w:rFonts w:hint="eastAsia"/>
              </w:rPr>
              <w:t>卫健部门</w:t>
            </w:r>
          </w:p>
        </w:tc>
      </w:tr>
      <w:tr w14:paraId="55CA7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606507BA">
            <w:pPr>
              <w:pStyle w:val="41"/>
              <w:rPr>
                <w:rFonts w:hint="eastAsia"/>
              </w:rPr>
            </w:pPr>
          </w:p>
        </w:tc>
        <w:tc>
          <w:tcPr>
            <w:tcW w:w="299" w:type="pct"/>
            <w:vMerge w:val="continue"/>
            <w:shd w:val="clear" w:color="auto" w:fill="auto"/>
            <w:vAlign w:val="center"/>
          </w:tcPr>
          <w:p w14:paraId="1EE645C3">
            <w:pPr>
              <w:pStyle w:val="41"/>
              <w:rPr>
                <w:rFonts w:hint="eastAsia"/>
              </w:rPr>
            </w:pPr>
          </w:p>
        </w:tc>
        <w:tc>
          <w:tcPr>
            <w:tcW w:w="673" w:type="pct"/>
            <w:vMerge w:val="continue"/>
            <w:shd w:val="clear" w:color="auto" w:fill="auto"/>
            <w:vAlign w:val="center"/>
          </w:tcPr>
          <w:p w14:paraId="030EFF7E">
            <w:pPr>
              <w:pStyle w:val="41"/>
              <w:rPr>
                <w:rFonts w:hint="eastAsia"/>
              </w:rPr>
            </w:pPr>
          </w:p>
        </w:tc>
        <w:tc>
          <w:tcPr>
            <w:tcW w:w="1671" w:type="pct"/>
            <w:shd w:val="clear" w:color="auto" w:fill="auto"/>
            <w:vAlign w:val="center"/>
          </w:tcPr>
          <w:p w14:paraId="716C3A58">
            <w:pPr>
              <w:pStyle w:val="41"/>
              <w:rPr>
                <w:rFonts w:hint="eastAsia"/>
              </w:rPr>
            </w:pPr>
            <w:r>
              <w:rPr>
                <w:rFonts w:hint="eastAsia"/>
              </w:rPr>
              <w:t>市辖区社区总数量</w:t>
            </w:r>
          </w:p>
        </w:tc>
        <w:tc>
          <w:tcPr>
            <w:tcW w:w="1625" w:type="pct"/>
            <w:vMerge w:val="continue"/>
            <w:shd w:val="clear" w:color="auto" w:fill="auto"/>
            <w:vAlign w:val="center"/>
          </w:tcPr>
          <w:p w14:paraId="60073D4D">
            <w:pPr>
              <w:pStyle w:val="41"/>
              <w:rPr>
                <w:rFonts w:hint="eastAsia"/>
              </w:rPr>
            </w:pPr>
          </w:p>
        </w:tc>
        <w:tc>
          <w:tcPr>
            <w:tcW w:w="507" w:type="pct"/>
            <w:vMerge w:val="continue"/>
            <w:shd w:val="clear" w:color="auto" w:fill="auto"/>
            <w:vAlign w:val="center"/>
          </w:tcPr>
          <w:p w14:paraId="10C7A325">
            <w:pPr>
              <w:pStyle w:val="41"/>
              <w:rPr>
                <w:rFonts w:hint="eastAsia"/>
              </w:rPr>
            </w:pPr>
          </w:p>
        </w:tc>
      </w:tr>
      <w:tr w14:paraId="5ACD5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529EEF9A">
            <w:pPr>
              <w:pStyle w:val="41"/>
              <w:rPr>
                <w:rFonts w:hint="eastAsia"/>
              </w:rPr>
            </w:pPr>
          </w:p>
        </w:tc>
        <w:tc>
          <w:tcPr>
            <w:tcW w:w="299" w:type="pct"/>
            <w:vMerge w:val="restart"/>
            <w:shd w:val="clear" w:color="auto" w:fill="auto"/>
            <w:vAlign w:val="center"/>
          </w:tcPr>
          <w:p w14:paraId="365AD817">
            <w:pPr>
              <w:pStyle w:val="41"/>
              <w:rPr>
                <w:rFonts w:hint="eastAsia"/>
              </w:rPr>
            </w:pPr>
            <w:r>
              <w:rPr>
                <w:rFonts w:hint="eastAsia"/>
              </w:rPr>
              <w:t>6</w:t>
            </w:r>
          </w:p>
        </w:tc>
        <w:tc>
          <w:tcPr>
            <w:tcW w:w="673" w:type="pct"/>
            <w:vMerge w:val="restart"/>
            <w:shd w:val="clear" w:color="auto" w:fill="auto"/>
            <w:vAlign w:val="center"/>
          </w:tcPr>
          <w:p w14:paraId="5620A878">
            <w:pPr>
              <w:pStyle w:val="41"/>
              <w:rPr>
                <w:rFonts w:hint="eastAsia"/>
              </w:rPr>
            </w:pPr>
            <w:r>
              <w:rPr>
                <w:rFonts w:hint="eastAsia"/>
              </w:rPr>
              <w:t>社区便民商店覆盖度（%）</w:t>
            </w:r>
          </w:p>
        </w:tc>
        <w:tc>
          <w:tcPr>
            <w:tcW w:w="1671" w:type="pct"/>
            <w:shd w:val="clear" w:color="auto" w:fill="auto"/>
            <w:vAlign w:val="center"/>
          </w:tcPr>
          <w:p w14:paraId="3DEBF3B0">
            <w:pPr>
              <w:pStyle w:val="41"/>
              <w:rPr>
                <w:rFonts w:hint="eastAsia"/>
              </w:rPr>
            </w:pPr>
            <w:r>
              <w:rPr>
                <w:rFonts w:hint="eastAsia"/>
              </w:rPr>
              <w:t>市辖区建成区内拥有“综合超市”或“便利店”或“菜市场”等便民设施的社区个数</w:t>
            </w:r>
          </w:p>
        </w:tc>
        <w:tc>
          <w:tcPr>
            <w:tcW w:w="1625" w:type="pct"/>
            <w:vMerge w:val="restart"/>
            <w:shd w:val="clear" w:color="auto" w:fill="auto"/>
            <w:vAlign w:val="center"/>
          </w:tcPr>
          <w:p w14:paraId="1FF07697">
            <w:pPr>
              <w:pStyle w:val="41"/>
              <w:rPr>
                <w:rFonts w:hint="eastAsia"/>
              </w:rPr>
            </w:pPr>
            <w:r>
              <w:rPr>
                <w:rFonts w:hint="eastAsia"/>
              </w:rPr>
              <w:t>拥有“综合超市”或“便利店”或“菜市场”等便民设施的社区占建成区社区总数的比例。</w:t>
            </w:r>
          </w:p>
        </w:tc>
        <w:tc>
          <w:tcPr>
            <w:tcW w:w="507" w:type="pct"/>
            <w:vMerge w:val="restart"/>
            <w:shd w:val="clear" w:color="auto" w:fill="auto"/>
            <w:vAlign w:val="center"/>
          </w:tcPr>
          <w:p w14:paraId="6702358D">
            <w:pPr>
              <w:pStyle w:val="41"/>
              <w:rPr>
                <w:rFonts w:hint="eastAsia"/>
              </w:rPr>
            </w:pPr>
            <w:r>
              <w:rPr>
                <w:rFonts w:hint="eastAsia"/>
              </w:rPr>
              <w:t>POI大数据</w:t>
            </w:r>
          </w:p>
        </w:tc>
      </w:tr>
      <w:tr w14:paraId="730BB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11F59BEA">
            <w:pPr>
              <w:pStyle w:val="41"/>
              <w:rPr>
                <w:rFonts w:hint="eastAsia"/>
              </w:rPr>
            </w:pPr>
          </w:p>
        </w:tc>
        <w:tc>
          <w:tcPr>
            <w:tcW w:w="299" w:type="pct"/>
            <w:vMerge w:val="continue"/>
            <w:shd w:val="clear" w:color="auto" w:fill="auto"/>
            <w:vAlign w:val="center"/>
          </w:tcPr>
          <w:p w14:paraId="166B17FB">
            <w:pPr>
              <w:pStyle w:val="41"/>
              <w:rPr>
                <w:rFonts w:hint="eastAsia"/>
              </w:rPr>
            </w:pPr>
          </w:p>
        </w:tc>
        <w:tc>
          <w:tcPr>
            <w:tcW w:w="673" w:type="pct"/>
            <w:vMerge w:val="continue"/>
            <w:shd w:val="clear" w:color="auto" w:fill="auto"/>
            <w:vAlign w:val="center"/>
          </w:tcPr>
          <w:p w14:paraId="2583C5F6">
            <w:pPr>
              <w:pStyle w:val="41"/>
              <w:rPr>
                <w:rFonts w:hint="eastAsia"/>
              </w:rPr>
            </w:pPr>
          </w:p>
        </w:tc>
        <w:tc>
          <w:tcPr>
            <w:tcW w:w="1671" w:type="pct"/>
            <w:shd w:val="clear" w:color="auto" w:fill="auto"/>
            <w:vAlign w:val="center"/>
          </w:tcPr>
          <w:p w14:paraId="4B4E36AC">
            <w:pPr>
              <w:pStyle w:val="41"/>
              <w:rPr>
                <w:rFonts w:hint="eastAsia"/>
              </w:rPr>
            </w:pPr>
            <w:r>
              <w:rPr>
                <w:rFonts w:hint="eastAsia"/>
              </w:rPr>
              <w:t>市辖区社区总数量</w:t>
            </w:r>
          </w:p>
        </w:tc>
        <w:tc>
          <w:tcPr>
            <w:tcW w:w="1625" w:type="pct"/>
            <w:vMerge w:val="continue"/>
            <w:shd w:val="clear" w:color="auto" w:fill="auto"/>
            <w:vAlign w:val="center"/>
          </w:tcPr>
          <w:p w14:paraId="12944931">
            <w:pPr>
              <w:pStyle w:val="41"/>
              <w:rPr>
                <w:rFonts w:hint="eastAsia"/>
              </w:rPr>
            </w:pPr>
          </w:p>
        </w:tc>
        <w:tc>
          <w:tcPr>
            <w:tcW w:w="507" w:type="pct"/>
            <w:vMerge w:val="continue"/>
            <w:shd w:val="clear" w:color="auto" w:fill="auto"/>
            <w:vAlign w:val="center"/>
          </w:tcPr>
          <w:p w14:paraId="5DC89512">
            <w:pPr>
              <w:pStyle w:val="41"/>
              <w:rPr>
                <w:rFonts w:hint="eastAsia"/>
              </w:rPr>
            </w:pPr>
          </w:p>
        </w:tc>
      </w:tr>
      <w:tr w14:paraId="44381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2465B8A0">
            <w:pPr>
              <w:pStyle w:val="41"/>
              <w:rPr>
                <w:rFonts w:hint="eastAsia"/>
              </w:rPr>
            </w:pPr>
          </w:p>
        </w:tc>
        <w:tc>
          <w:tcPr>
            <w:tcW w:w="299" w:type="pct"/>
            <w:vMerge w:val="restart"/>
            <w:shd w:val="clear" w:color="auto" w:fill="auto"/>
            <w:vAlign w:val="center"/>
          </w:tcPr>
          <w:p w14:paraId="6D689209">
            <w:pPr>
              <w:pStyle w:val="41"/>
              <w:rPr>
                <w:rFonts w:hint="eastAsia"/>
              </w:rPr>
            </w:pPr>
            <w:r>
              <w:rPr>
                <w:rFonts w:hint="eastAsia"/>
              </w:rPr>
              <w:t>7</w:t>
            </w:r>
          </w:p>
        </w:tc>
        <w:tc>
          <w:tcPr>
            <w:tcW w:w="673" w:type="pct"/>
            <w:vMerge w:val="restart"/>
            <w:shd w:val="clear" w:color="auto" w:fill="auto"/>
            <w:vAlign w:val="center"/>
          </w:tcPr>
          <w:p w14:paraId="5FB76126">
            <w:pPr>
              <w:pStyle w:val="41"/>
              <w:rPr>
                <w:rFonts w:hint="eastAsia"/>
              </w:rPr>
            </w:pPr>
            <w:r>
              <w:rPr>
                <w:rFonts w:hint="eastAsia"/>
              </w:rPr>
              <w:t>邮件和快件寄递服务设施覆盖度（%）</w:t>
            </w:r>
          </w:p>
        </w:tc>
        <w:tc>
          <w:tcPr>
            <w:tcW w:w="1671" w:type="pct"/>
            <w:shd w:val="clear" w:color="auto" w:fill="auto"/>
            <w:vAlign w:val="center"/>
          </w:tcPr>
          <w:p w14:paraId="1916CEA4">
            <w:pPr>
              <w:pStyle w:val="41"/>
              <w:rPr>
                <w:rFonts w:hint="eastAsia"/>
              </w:rPr>
            </w:pPr>
            <w:r>
              <w:rPr>
                <w:rFonts w:hint="eastAsia"/>
              </w:rPr>
              <w:t>市辖区建成区内拥有邮政或快递点（含快递柜）等设施的社区个数</w:t>
            </w:r>
          </w:p>
        </w:tc>
        <w:tc>
          <w:tcPr>
            <w:tcW w:w="1625" w:type="pct"/>
            <w:vMerge w:val="restart"/>
            <w:shd w:val="clear" w:color="auto" w:fill="auto"/>
            <w:vAlign w:val="center"/>
          </w:tcPr>
          <w:p w14:paraId="1B022945">
            <w:pPr>
              <w:pStyle w:val="41"/>
              <w:rPr>
                <w:rFonts w:hint="eastAsia"/>
              </w:rPr>
            </w:pPr>
            <w:r>
              <w:rPr>
                <w:rFonts w:hint="eastAsia"/>
              </w:rPr>
              <w:t>拥有邮政或快递点（含快递柜）等设施的社区占建成区社区总数的比例。</w:t>
            </w:r>
          </w:p>
        </w:tc>
        <w:tc>
          <w:tcPr>
            <w:tcW w:w="507" w:type="pct"/>
            <w:vMerge w:val="restart"/>
            <w:shd w:val="clear" w:color="auto" w:fill="auto"/>
            <w:vAlign w:val="center"/>
          </w:tcPr>
          <w:p w14:paraId="3CF5FEAE">
            <w:pPr>
              <w:pStyle w:val="41"/>
              <w:rPr>
                <w:rFonts w:hint="eastAsia"/>
              </w:rPr>
            </w:pPr>
            <w:r>
              <w:rPr>
                <w:rFonts w:hint="eastAsia"/>
              </w:rPr>
              <w:t>POI大数据</w:t>
            </w:r>
          </w:p>
        </w:tc>
      </w:tr>
      <w:tr w14:paraId="1C74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380BCDED">
            <w:pPr>
              <w:pStyle w:val="41"/>
              <w:rPr>
                <w:rFonts w:hint="eastAsia"/>
              </w:rPr>
            </w:pPr>
          </w:p>
        </w:tc>
        <w:tc>
          <w:tcPr>
            <w:tcW w:w="299" w:type="pct"/>
            <w:vMerge w:val="continue"/>
            <w:shd w:val="clear" w:color="auto" w:fill="auto"/>
            <w:vAlign w:val="center"/>
          </w:tcPr>
          <w:p w14:paraId="37E7CA46">
            <w:pPr>
              <w:pStyle w:val="41"/>
              <w:rPr>
                <w:rFonts w:hint="eastAsia"/>
              </w:rPr>
            </w:pPr>
          </w:p>
        </w:tc>
        <w:tc>
          <w:tcPr>
            <w:tcW w:w="673" w:type="pct"/>
            <w:vMerge w:val="continue"/>
            <w:shd w:val="clear" w:color="auto" w:fill="auto"/>
            <w:vAlign w:val="center"/>
          </w:tcPr>
          <w:p w14:paraId="5247BCB7">
            <w:pPr>
              <w:pStyle w:val="41"/>
              <w:rPr>
                <w:rFonts w:hint="eastAsia"/>
              </w:rPr>
            </w:pPr>
          </w:p>
        </w:tc>
        <w:tc>
          <w:tcPr>
            <w:tcW w:w="1671" w:type="pct"/>
            <w:shd w:val="clear" w:color="auto" w:fill="auto"/>
            <w:vAlign w:val="center"/>
          </w:tcPr>
          <w:p w14:paraId="251F97CB">
            <w:pPr>
              <w:pStyle w:val="41"/>
              <w:rPr>
                <w:rFonts w:hint="eastAsia"/>
              </w:rPr>
            </w:pPr>
            <w:r>
              <w:rPr>
                <w:rFonts w:hint="eastAsia"/>
              </w:rPr>
              <w:t>市辖区社区总数量</w:t>
            </w:r>
          </w:p>
        </w:tc>
        <w:tc>
          <w:tcPr>
            <w:tcW w:w="1625" w:type="pct"/>
            <w:vMerge w:val="continue"/>
            <w:shd w:val="clear" w:color="auto" w:fill="auto"/>
            <w:vAlign w:val="center"/>
          </w:tcPr>
          <w:p w14:paraId="480EFC05">
            <w:pPr>
              <w:pStyle w:val="41"/>
              <w:rPr>
                <w:rFonts w:hint="eastAsia"/>
              </w:rPr>
            </w:pPr>
          </w:p>
        </w:tc>
        <w:tc>
          <w:tcPr>
            <w:tcW w:w="507" w:type="pct"/>
            <w:vMerge w:val="continue"/>
            <w:shd w:val="clear" w:color="auto" w:fill="auto"/>
            <w:vAlign w:val="center"/>
          </w:tcPr>
          <w:p w14:paraId="01E72B47">
            <w:pPr>
              <w:pStyle w:val="41"/>
              <w:rPr>
                <w:rFonts w:hint="eastAsia"/>
              </w:rPr>
            </w:pPr>
          </w:p>
        </w:tc>
      </w:tr>
      <w:tr w14:paraId="0D70C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restart"/>
            <w:shd w:val="clear" w:color="auto" w:fill="auto"/>
            <w:vAlign w:val="center"/>
          </w:tcPr>
          <w:p w14:paraId="2A172B95">
            <w:pPr>
              <w:pStyle w:val="41"/>
              <w:rPr>
                <w:rFonts w:hint="eastAsia"/>
              </w:rPr>
            </w:pPr>
            <w:r>
              <w:rPr>
                <w:rFonts w:hint="eastAsia"/>
              </w:rPr>
              <w:t>宜居环境</w:t>
            </w:r>
          </w:p>
        </w:tc>
        <w:tc>
          <w:tcPr>
            <w:tcW w:w="299" w:type="pct"/>
            <w:vMerge w:val="restart"/>
            <w:shd w:val="clear" w:color="auto" w:fill="auto"/>
            <w:vAlign w:val="center"/>
          </w:tcPr>
          <w:p w14:paraId="55EFCE17">
            <w:pPr>
              <w:pStyle w:val="41"/>
              <w:rPr>
                <w:rFonts w:hint="eastAsia"/>
              </w:rPr>
            </w:pPr>
            <w:r>
              <w:rPr>
                <w:rFonts w:hint="eastAsia"/>
              </w:rPr>
              <w:t>8</w:t>
            </w:r>
          </w:p>
        </w:tc>
        <w:tc>
          <w:tcPr>
            <w:tcW w:w="673" w:type="pct"/>
            <w:vMerge w:val="restart"/>
            <w:shd w:val="clear" w:color="auto" w:fill="auto"/>
            <w:vAlign w:val="center"/>
          </w:tcPr>
          <w:p w14:paraId="6BC235D3">
            <w:pPr>
              <w:pStyle w:val="41"/>
              <w:rPr>
                <w:rFonts w:hint="eastAsia"/>
              </w:rPr>
            </w:pPr>
            <w:r>
              <w:rPr>
                <w:rFonts w:hint="eastAsia"/>
              </w:rPr>
              <w:t>公共活动场地覆盖度（%）</w:t>
            </w:r>
          </w:p>
        </w:tc>
        <w:tc>
          <w:tcPr>
            <w:tcW w:w="1671" w:type="pct"/>
            <w:shd w:val="clear" w:color="auto" w:fill="auto"/>
            <w:vAlign w:val="center"/>
          </w:tcPr>
          <w:p w14:paraId="1497C7F5">
            <w:pPr>
              <w:pStyle w:val="41"/>
              <w:rPr>
                <w:rFonts w:hint="eastAsia"/>
              </w:rPr>
            </w:pPr>
            <w:r>
              <w:rPr>
                <w:rFonts w:hint="eastAsia"/>
              </w:rPr>
              <w:t>市辖区建成区内拥有公共活动场地社区个数</w:t>
            </w:r>
          </w:p>
        </w:tc>
        <w:tc>
          <w:tcPr>
            <w:tcW w:w="1625" w:type="pct"/>
            <w:vMerge w:val="restart"/>
            <w:shd w:val="clear" w:color="auto" w:fill="auto"/>
            <w:vAlign w:val="center"/>
          </w:tcPr>
          <w:p w14:paraId="1DDEAF7D">
            <w:pPr>
              <w:pStyle w:val="41"/>
              <w:rPr>
                <w:rFonts w:hint="eastAsia"/>
              </w:rPr>
            </w:pPr>
            <w:r>
              <w:rPr>
                <w:rFonts w:hint="eastAsia"/>
              </w:rPr>
              <w:t>拥有公共活动场地社区占建成区社区总数的比例。（拥有公共活动场地指社区至少有一片公共活动场地，用地面积不小于150平米，配置健身器材、健身步道、休息座椅、儿童娱乐设施等。）</w:t>
            </w:r>
          </w:p>
        </w:tc>
        <w:tc>
          <w:tcPr>
            <w:tcW w:w="507" w:type="pct"/>
            <w:vMerge w:val="restart"/>
            <w:shd w:val="clear" w:color="auto" w:fill="auto"/>
            <w:vAlign w:val="center"/>
          </w:tcPr>
          <w:p w14:paraId="02FF0BB5">
            <w:pPr>
              <w:pStyle w:val="41"/>
              <w:rPr>
                <w:rFonts w:hint="eastAsia"/>
              </w:rPr>
            </w:pPr>
            <w:r>
              <w:rPr>
                <w:rFonts w:hint="eastAsia"/>
              </w:rPr>
              <w:t>城市管理部门</w:t>
            </w:r>
          </w:p>
        </w:tc>
      </w:tr>
      <w:tr w14:paraId="0851C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39D6CEC9">
            <w:pPr>
              <w:pStyle w:val="41"/>
              <w:rPr>
                <w:rFonts w:hint="eastAsia"/>
              </w:rPr>
            </w:pPr>
          </w:p>
        </w:tc>
        <w:tc>
          <w:tcPr>
            <w:tcW w:w="299" w:type="pct"/>
            <w:vMerge w:val="continue"/>
            <w:shd w:val="clear" w:color="auto" w:fill="auto"/>
            <w:vAlign w:val="center"/>
          </w:tcPr>
          <w:p w14:paraId="00C7BE9A">
            <w:pPr>
              <w:pStyle w:val="41"/>
              <w:rPr>
                <w:rFonts w:hint="eastAsia"/>
              </w:rPr>
            </w:pPr>
          </w:p>
        </w:tc>
        <w:tc>
          <w:tcPr>
            <w:tcW w:w="673" w:type="pct"/>
            <w:vMerge w:val="continue"/>
            <w:shd w:val="clear" w:color="auto" w:fill="auto"/>
            <w:vAlign w:val="center"/>
          </w:tcPr>
          <w:p w14:paraId="09E7DBA9">
            <w:pPr>
              <w:pStyle w:val="41"/>
              <w:rPr>
                <w:rFonts w:hint="eastAsia"/>
              </w:rPr>
            </w:pPr>
          </w:p>
        </w:tc>
        <w:tc>
          <w:tcPr>
            <w:tcW w:w="1671" w:type="pct"/>
            <w:shd w:val="clear" w:color="auto" w:fill="auto"/>
            <w:vAlign w:val="center"/>
          </w:tcPr>
          <w:p w14:paraId="1EE2A156">
            <w:pPr>
              <w:pStyle w:val="41"/>
              <w:rPr>
                <w:rFonts w:hint="eastAsia"/>
              </w:rPr>
            </w:pPr>
            <w:r>
              <w:rPr>
                <w:rFonts w:hint="eastAsia"/>
              </w:rPr>
              <w:t>市辖区社区总数量</w:t>
            </w:r>
          </w:p>
        </w:tc>
        <w:tc>
          <w:tcPr>
            <w:tcW w:w="1625" w:type="pct"/>
            <w:vMerge w:val="continue"/>
            <w:shd w:val="clear" w:color="auto" w:fill="auto"/>
            <w:vAlign w:val="center"/>
          </w:tcPr>
          <w:p w14:paraId="77543565">
            <w:pPr>
              <w:pStyle w:val="41"/>
              <w:rPr>
                <w:rFonts w:hint="eastAsia"/>
              </w:rPr>
            </w:pPr>
          </w:p>
        </w:tc>
        <w:tc>
          <w:tcPr>
            <w:tcW w:w="507" w:type="pct"/>
            <w:vMerge w:val="continue"/>
            <w:shd w:val="clear" w:color="auto" w:fill="auto"/>
            <w:vAlign w:val="center"/>
          </w:tcPr>
          <w:p w14:paraId="74916161">
            <w:pPr>
              <w:pStyle w:val="41"/>
              <w:rPr>
                <w:rFonts w:hint="eastAsia"/>
              </w:rPr>
            </w:pPr>
          </w:p>
        </w:tc>
      </w:tr>
      <w:tr w14:paraId="1347C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4561A159">
            <w:pPr>
              <w:pStyle w:val="41"/>
              <w:rPr>
                <w:rFonts w:hint="eastAsia"/>
              </w:rPr>
            </w:pPr>
          </w:p>
        </w:tc>
        <w:tc>
          <w:tcPr>
            <w:tcW w:w="299" w:type="pct"/>
            <w:vMerge w:val="restart"/>
            <w:shd w:val="clear" w:color="auto" w:fill="auto"/>
            <w:vAlign w:val="center"/>
          </w:tcPr>
          <w:p w14:paraId="4D77AD18">
            <w:pPr>
              <w:pStyle w:val="41"/>
              <w:rPr>
                <w:rFonts w:hint="eastAsia"/>
              </w:rPr>
            </w:pPr>
            <w:r>
              <w:rPr>
                <w:rFonts w:hint="eastAsia"/>
              </w:rPr>
              <w:t>9</w:t>
            </w:r>
          </w:p>
        </w:tc>
        <w:tc>
          <w:tcPr>
            <w:tcW w:w="673" w:type="pct"/>
            <w:vMerge w:val="restart"/>
            <w:shd w:val="clear" w:color="auto" w:fill="auto"/>
            <w:vAlign w:val="center"/>
          </w:tcPr>
          <w:p w14:paraId="033862CA">
            <w:pPr>
              <w:pStyle w:val="41"/>
              <w:rPr>
                <w:rFonts w:hint="eastAsia"/>
              </w:rPr>
            </w:pPr>
            <w:r>
              <w:rPr>
                <w:rFonts w:hint="eastAsia"/>
              </w:rPr>
              <w:t>公共活动场地覆盖度（%）</w:t>
            </w:r>
          </w:p>
        </w:tc>
        <w:tc>
          <w:tcPr>
            <w:tcW w:w="1671" w:type="pct"/>
            <w:shd w:val="clear" w:color="auto" w:fill="auto"/>
            <w:vAlign w:val="center"/>
          </w:tcPr>
          <w:p w14:paraId="25329688">
            <w:pPr>
              <w:pStyle w:val="41"/>
              <w:rPr>
                <w:rFonts w:hint="eastAsia"/>
              </w:rPr>
            </w:pPr>
            <w:r>
              <w:rPr>
                <w:rFonts w:hint="eastAsia"/>
              </w:rPr>
              <w:t>市辖区建成区内拥有公共开放绿地的社区个数</w:t>
            </w:r>
          </w:p>
        </w:tc>
        <w:tc>
          <w:tcPr>
            <w:tcW w:w="1625" w:type="pct"/>
            <w:vMerge w:val="restart"/>
            <w:shd w:val="clear" w:color="auto" w:fill="auto"/>
            <w:vAlign w:val="center"/>
          </w:tcPr>
          <w:p w14:paraId="20C5AD43">
            <w:pPr>
              <w:pStyle w:val="41"/>
              <w:rPr>
                <w:rFonts w:hint="eastAsia"/>
              </w:rPr>
            </w:pPr>
            <w:r>
              <w:rPr>
                <w:rFonts w:hint="eastAsia"/>
              </w:rPr>
              <w:t>拥有公共开放绿地的社区占建成区社区总数的比例。（拥有公共开放绿地指社区至少拥有一片开放的公共绿地，可以是社区游园，也可以是口袋公园或其他类型绿地。应当配备休憩设施，景观环境优美）</w:t>
            </w:r>
          </w:p>
        </w:tc>
        <w:tc>
          <w:tcPr>
            <w:tcW w:w="507" w:type="pct"/>
            <w:vMerge w:val="restart"/>
            <w:shd w:val="clear" w:color="auto" w:fill="auto"/>
            <w:vAlign w:val="center"/>
          </w:tcPr>
          <w:p w14:paraId="5A94A341">
            <w:pPr>
              <w:pStyle w:val="41"/>
              <w:rPr>
                <w:rFonts w:hint="eastAsia"/>
              </w:rPr>
            </w:pPr>
            <w:r>
              <w:rPr>
                <w:rFonts w:hint="eastAsia"/>
              </w:rPr>
              <w:t>城市管理部门</w:t>
            </w:r>
          </w:p>
        </w:tc>
      </w:tr>
      <w:tr w14:paraId="5562C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446EEDD2">
            <w:pPr>
              <w:pStyle w:val="41"/>
              <w:rPr>
                <w:rFonts w:hint="eastAsia"/>
              </w:rPr>
            </w:pPr>
          </w:p>
        </w:tc>
        <w:tc>
          <w:tcPr>
            <w:tcW w:w="299" w:type="pct"/>
            <w:vMerge w:val="continue"/>
            <w:shd w:val="clear" w:color="auto" w:fill="auto"/>
            <w:vAlign w:val="center"/>
          </w:tcPr>
          <w:p w14:paraId="6EA67757">
            <w:pPr>
              <w:pStyle w:val="41"/>
              <w:rPr>
                <w:rFonts w:hint="eastAsia"/>
              </w:rPr>
            </w:pPr>
          </w:p>
        </w:tc>
        <w:tc>
          <w:tcPr>
            <w:tcW w:w="673" w:type="pct"/>
            <w:vMerge w:val="continue"/>
            <w:shd w:val="clear" w:color="auto" w:fill="auto"/>
            <w:vAlign w:val="center"/>
          </w:tcPr>
          <w:p w14:paraId="033D2D96">
            <w:pPr>
              <w:pStyle w:val="41"/>
              <w:rPr>
                <w:rFonts w:hint="eastAsia"/>
              </w:rPr>
            </w:pPr>
          </w:p>
        </w:tc>
        <w:tc>
          <w:tcPr>
            <w:tcW w:w="1671" w:type="pct"/>
            <w:shd w:val="clear" w:color="auto" w:fill="auto"/>
            <w:vAlign w:val="center"/>
          </w:tcPr>
          <w:p w14:paraId="5D0A7309">
            <w:pPr>
              <w:pStyle w:val="41"/>
              <w:rPr>
                <w:rFonts w:hint="eastAsia"/>
              </w:rPr>
            </w:pPr>
            <w:r>
              <w:rPr>
                <w:rFonts w:hint="eastAsia"/>
              </w:rPr>
              <w:t>市辖区社区总数量</w:t>
            </w:r>
          </w:p>
        </w:tc>
        <w:tc>
          <w:tcPr>
            <w:tcW w:w="1625" w:type="pct"/>
            <w:vMerge w:val="continue"/>
            <w:shd w:val="clear" w:color="auto" w:fill="auto"/>
            <w:vAlign w:val="center"/>
          </w:tcPr>
          <w:p w14:paraId="74EC0C2A">
            <w:pPr>
              <w:pStyle w:val="41"/>
              <w:rPr>
                <w:rFonts w:hint="eastAsia"/>
              </w:rPr>
            </w:pPr>
          </w:p>
        </w:tc>
        <w:tc>
          <w:tcPr>
            <w:tcW w:w="507" w:type="pct"/>
            <w:vMerge w:val="continue"/>
            <w:shd w:val="clear" w:color="auto" w:fill="auto"/>
            <w:vAlign w:val="center"/>
          </w:tcPr>
          <w:p w14:paraId="1E9BADAE">
            <w:pPr>
              <w:pStyle w:val="41"/>
              <w:rPr>
                <w:rFonts w:hint="eastAsia"/>
              </w:rPr>
            </w:pPr>
          </w:p>
        </w:tc>
      </w:tr>
      <w:tr w14:paraId="017E8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48913B30">
            <w:pPr>
              <w:pStyle w:val="41"/>
              <w:rPr>
                <w:rFonts w:hint="eastAsia"/>
              </w:rPr>
            </w:pPr>
          </w:p>
        </w:tc>
        <w:tc>
          <w:tcPr>
            <w:tcW w:w="299" w:type="pct"/>
            <w:vMerge w:val="restart"/>
            <w:shd w:val="clear" w:color="auto" w:fill="auto"/>
            <w:vAlign w:val="center"/>
          </w:tcPr>
          <w:p w14:paraId="06988585">
            <w:pPr>
              <w:pStyle w:val="41"/>
              <w:rPr>
                <w:rFonts w:hint="eastAsia"/>
              </w:rPr>
            </w:pPr>
            <w:r>
              <w:rPr>
                <w:rFonts w:hint="eastAsia"/>
              </w:rPr>
              <w:t>10</w:t>
            </w:r>
          </w:p>
        </w:tc>
        <w:tc>
          <w:tcPr>
            <w:tcW w:w="673" w:type="pct"/>
            <w:vMerge w:val="restart"/>
            <w:shd w:val="clear" w:color="auto" w:fill="auto"/>
            <w:vAlign w:val="center"/>
          </w:tcPr>
          <w:p w14:paraId="2446F411">
            <w:pPr>
              <w:pStyle w:val="41"/>
              <w:rPr>
                <w:rFonts w:hint="eastAsia"/>
              </w:rPr>
            </w:pPr>
            <w:r>
              <w:rPr>
                <w:rFonts w:hint="eastAsia"/>
              </w:rPr>
              <w:t>无停车位缺口的社区占比（%）</w:t>
            </w:r>
          </w:p>
        </w:tc>
        <w:tc>
          <w:tcPr>
            <w:tcW w:w="1671" w:type="pct"/>
            <w:shd w:val="clear" w:color="auto" w:fill="auto"/>
            <w:vAlign w:val="center"/>
          </w:tcPr>
          <w:p w14:paraId="510E0538">
            <w:pPr>
              <w:pStyle w:val="41"/>
              <w:rPr>
                <w:rFonts w:hint="eastAsia"/>
              </w:rPr>
            </w:pPr>
            <w:r>
              <w:rPr>
                <w:rFonts w:hint="eastAsia"/>
              </w:rPr>
              <w:t>市辖区建成区内拥有辖内小区居民停车需求与现有停车泊位无缺口的社区个数</w:t>
            </w:r>
          </w:p>
        </w:tc>
        <w:tc>
          <w:tcPr>
            <w:tcW w:w="1625" w:type="pct"/>
            <w:vMerge w:val="restart"/>
            <w:shd w:val="clear" w:color="auto" w:fill="auto"/>
            <w:vAlign w:val="center"/>
          </w:tcPr>
          <w:p w14:paraId="21EB1567">
            <w:pPr>
              <w:pStyle w:val="41"/>
              <w:rPr>
                <w:rFonts w:hint="eastAsia"/>
              </w:rPr>
            </w:pPr>
            <w:r>
              <w:rPr>
                <w:rFonts w:hint="eastAsia"/>
              </w:rPr>
              <w:t>辖内小区居民停车需求与现有停车泊位无缺口的社区，占全部社区数量的比例</w:t>
            </w:r>
          </w:p>
        </w:tc>
        <w:tc>
          <w:tcPr>
            <w:tcW w:w="507" w:type="pct"/>
            <w:vMerge w:val="restart"/>
            <w:shd w:val="clear" w:color="auto" w:fill="auto"/>
            <w:vAlign w:val="center"/>
          </w:tcPr>
          <w:p w14:paraId="52A0E503">
            <w:pPr>
              <w:pStyle w:val="41"/>
              <w:rPr>
                <w:rFonts w:hint="eastAsia"/>
              </w:rPr>
            </w:pPr>
            <w:r>
              <w:rPr>
                <w:rFonts w:hint="eastAsia"/>
              </w:rPr>
              <w:t>城市管理部门</w:t>
            </w:r>
          </w:p>
        </w:tc>
      </w:tr>
      <w:tr w14:paraId="707ED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6D1C4058">
            <w:pPr>
              <w:pStyle w:val="41"/>
              <w:rPr>
                <w:rFonts w:hint="eastAsia"/>
              </w:rPr>
            </w:pPr>
          </w:p>
        </w:tc>
        <w:tc>
          <w:tcPr>
            <w:tcW w:w="299" w:type="pct"/>
            <w:vMerge w:val="continue"/>
            <w:shd w:val="clear" w:color="auto" w:fill="auto"/>
            <w:vAlign w:val="center"/>
          </w:tcPr>
          <w:p w14:paraId="6FDD70B2">
            <w:pPr>
              <w:pStyle w:val="41"/>
              <w:rPr>
                <w:rFonts w:hint="eastAsia"/>
              </w:rPr>
            </w:pPr>
          </w:p>
        </w:tc>
        <w:tc>
          <w:tcPr>
            <w:tcW w:w="673" w:type="pct"/>
            <w:vMerge w:val="continue"/>
            <w:shd w:val="clear" w:color="auto" w:fill="auto"/>
            <w:vAlign w:val="center"/>
          </w:tcPr>
          <w:p w14:paraId="1D39444B">
            <w:pPr>
              <w:pStyle w:val="41"/>
              <w:rPr>
                <w:rFonts w:hint="eastAsia"/>
              </w:rPr>
            </w:pPr>
          </w:p>
        </w:tc>
        <w:tc>
          <w:tcPr>
            <w:tcW w:w="1671" w:type="pct"/>
            <w:shd w:val="clear" w:color="auto" w:fill="auto"/>
            <w:vAlign w:val="center"/>
          </w:tcPr>
          <w:p w14:paraId="38FDACD1">
            <w:pPr>
              <w:pStyle w:val="41"/>
              <w:rPr>
                <w:rFonts w:hint="eastAsia"/>
              </w:rPr>
            </w:pPr>
            <w:r>
              <w:rPr>
                <w:rFonts w:hint="eastAsia"/>
              </w:rPr>
              <w:t>市辖区社区总数量</w:t>
            </w:r>
          </w:p>
        </w:tc>
        <w:tc>
          <w:tcPr>
            <w:tcW w:w="1625" w:type="pct"/>
            <w:vMerge w:val="continue"/>
            <w:shd w:val="clear" w:color="auto" w:fill="auto"/>
            <w:vAlign w:val="center"/>
          </w:tcPr>
          <w:p w14:paraId="76DB90E9">
            <w:pPr>
              <w:pStyle w:val="41"/>
              <w:rPr>
                <w:rFonts w:hint="eastAsia"/>
              </w:rPr>
            </w:pPr>
          </w:p>
        </w:tc>
        <w:tc>
          <w:tcPr>
            <w:tcW w:w="507" w:type="pct"/>
            <w:vMerge w:val="continue"/>
            <w:shd w:val="clear" w:color="auto" w:fill="auto"/>
            <w:vAlign w:val="center"/>
          </w:tcPr>
          <w:p w14:paraId="60532351">
            <w:pPr>
              <w:pStyle w:val="41"/>
              <w:rPr>
                <w:rFonts w:hint="eastAsia"/>
              </w:rPr>
            </w:pPr>
          </w:p>
        </w:tc>
      </w:tr>
      <w:tr w14:paraId="6198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4C2BF474">
            <w:pPr>
              <w:pStyle w:val="41"/>
              <w:rPr>
                <w:rFonts w:hint="eastAsia"/>
              </w:rPr>
            </w:pPr>
          </w:p>
        </w:tc>
        <w:tc>
          <w:tcPr>
            <w:tcW w:w="299" w:type="pct"/>
            <w:vMerge w:val="restart"/>
            <w:shd w:val="clear" w:color="auto" w:fill="auto"/>
            <w:vAlign w:val="center"/>
          </w:tcPr>
          <w:p w14:paraId="4D4DF40F">
            <w:pPr>
              <w:pStyle w:val="41"/>
              <w:rPr>
                <w:rFonts w:hint="eastAsia"/>
              </w:rPr>
            </w:pPr>
            <w:r>
              <w:rPr>
                <w:rFonts w:hint="eastAsia"/>
              </w:rPr>
              <w:t>11</w:t>
            </w:r>
          </w:p>
        </w:tc>
        <w:tc>
          <w:tcPr>
            <w:tcW w:w="673" w:type="pct"/>
            <w:vMerge w:val="restart"/>
            <w:shd w:val="clear" w:color="auto" w:fill="auto"/>
            <w:vAlign w:val="center"/>
          </w:tcPr>
          <w:p w14:paraId="4298CF32">
            <w:pPr>
              <w:pStyle w:val="41"/>
              <w:rPr>
                <w:rFonts w:hint="eastAsia"/>
              </w:rPr>
            </w:pPr>
            <w:r>
              <w:rPr>
                <w:rFonts w:hint="eastAsia"/>
              </w:rPr>
              <w:t>实施垃圾分类的社区占比（%）</w:t>
            </w:r>
          </w:p>
        </w:tc>
        <w:tc>
          <w:tcPr>
            <w:tcW w:w="1671" w:type="pct"/>
            <w:shd w:val="clear" w:color="auto" w:fill="auto"/>
            <w:vAlign w:val="center"/>
          </w:tcPr>
          <w:p w14:paraId="7B5192A4">
            <w:pPr>
              <w:pStyle w:val="41"/>
              <w:rPr>
                <w:rFonts w:hint="eastAsia"/>
              </w:rPr>
            </w:pPr>
            <w:r>
              <w:rPr>
                <w:rFonts w:hint="eastAsia"/>
              </w:rPr>
              <w:t>市辖区建成区内全面实施垃圾分类管理的社区个数</w:t>
            </w:r>
          </w:p>
        </w:tc>
        <w:tc>
          <w:tcPr>
            <w:tcW w:w="1625" w:type="pct"/>
            <w:vMerge w:val="restart"/>
            <w:shd w:val="clear" w:color="auto" w:fill="auto"/>
            <w:vAlign w:val="center"/>
          </w:tcPr>
          <w:p w14:paraId="0373A9D9">
            <w:pPr>
              <w:pStyle w:val="41"/>
              <w:rPr>
                <w:rFonts w:hint="eastAsia"/>
              </w:rPr>
            </w:pPr>
            <w:r>
              <w:rPr>
                <w:rFonts w:hint="eastAsia"/>
              </w:rPr>
              <w:t>辖内的小区全面实施垃圾分类管理的社区，占全部社区总数量的比例。</w:t>
            </w:r>
          </w:p>
        </w:tc>
        <w:tc>
          <w:tcPr>
            <w:tcW w:w="507" w:type="pct"/>
            <w:vMerge w:val="restart"/>
            <w:shd w:val="clear" w:color="auto" w:fill="auto"/>
            <w:vAlign w:val="center"/>
          </w:tcPr>
          <w:p w14:paraId="07479E83">
            <w:pPr>
              <w:pStyle w:val="41"/>
              <w:rPr>
                <w:rFonts w:hint="eastAsia"/>
              </w:rPr>
            </w:pPr>
            <w:r>
              <w:rPr>
                <w:rFonts w:hint="eastAsia"/>
              </w:rPr>
              <w:t>城市管理部门</w:t>
            </w:r>
          </w:p>
        </w:tc>
      </w:tr>
      <w:tr w14:paraId="3961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398A0127">
            <w:pPr>
              <w:pStyle w:val="41"/>
              <w:rPr>
                <w:rFonts w:hint="eastAsia"/>
              </w:rPr>
            </w:pPr>
          </w:p>
        </w:tc>
        <w:tc>
          <w:tcPr>
            <w:tcW w:w="299" w:type="pct"/>
            <w:vMerge w:val="continue"/>
            <w:shd w:val="clear" w:color="auto" w:fill="auto"/>
            <w:vAlign w:val="center"/>
          </w:tcPr>
          <w:p w14:paraId="7E5B0962">
            <w:pPr>
              <w:pStyle w:val="41"/>
              <w:rPr>
                <w:rFonts w:hint="eastAsia"/>
              </w:rPr>
            </w:pPr>
          </w:p>
        </w:tc>
        <w:tc>
          <w:tcPr>
            <w:tcW w:w="673" w:type="pct"/>
            <w:vMerge w:val="continue"/>
            <w:shd w:val="clear" w:color="auto" w:fill="auto"/>
            <w:vAlign w:val="center"/>
          </w:tcPr>
          <w:p w14:paraId="0583FB1A">
            <w:pPr>
              <w:pStyle w:val="41"/>
              <w:rPr>
                <w:rFonts w:hint="eastAsia"/>
              </w:rPr>
            </w:pPr>
          </w:p>
        </w:tc>
        <w:tc>
          <w:tcPr>
            <w:tcW w:w="1671" w:type="pct"/>
            <w:shd w:val="clear" w:color="auto" w:fill="auto"/>
            <w:vAlign w:val="center"/>
          </w:tcPr>
          <w:p w14:paraId="3344C9B8">
            <w:pPr>
              <w:pStyle w:val="41"/>
              <w:rPr>
                <w:rFonts w:hint="eastAsia"/>
              </w:rPr>
            </w:pPr>
            <w:r>
              <w:rPr>
                <w:rFonts w:hint="eastAsia"/>
              </w:rPr>
              <w:t>市辖区社区总数量</w:t>
            </w:r>
          </w:p>
        </w:tc>
        <w:tc>
          <w:tcPr>
            <w:tcW w:w="1625" w:type="pct"/>
            <w:vMerge w:val="continue"/>
            <w:shd w:val="clear" w:color="auto" w:fill="auto"/>
            <w:vAlign w:val="center"/>
          </w:tcPr>
          <w:p w14:paraId="70FB774D">
            <w:pPr>
              <w:pStyle w:val="41"/>
              <w:rPr>
                <w:rFonts w:hint="eastAsia"/>
              </w:rPr>
            </w:pPr>
          </w:p>
        </w:tc>
        <w:tc>
          <w:tcPr>
            <w:tcW w:w="507" w:type="pct"/>
            <w:vMerge w:val="continue"/>
            <w:shd w:val="clear" w:color="auto" w:fill="auto"/>
            <w:vAlign w:val="center"/>
          </w:tcPr>
          <w:p w14:paraId="7A1CAE8B">
            <w:pPr>
              <w:pStyle w:val="41"/>
              <w:rPr>
                <w:rFonts w:hint="eastAsia"/>
              </w:rPr>
            </w:pPr>
          </w:p>
        </w:tc>
      </w:tr>
      <w:tr w14:paraId="653FE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5A828B2B">
            <w:pPr>
              <w:pStyle w:val="41"/>
              <w:rPr>
                <w:rFonts w:hint="eastAsia"/>
              </w:rPr>
            </w:pPr>
          </w:p>
        </w:tc>
        <w:tc>
          <w:tcPr>
            <w:tcW w:w="299" w:type="pct"/>
            <w:vMerge w:val="restart"/>
            <w:shd w:val="clear" w:color="auto" w:fill="auto"/>
            <w:vAlign w:val="center"/>
          </w:tcPr>
          <w:p w14:paraId="5D21EA01">
            <w:pPr>
              <w:pStyle w:val="41"/>
              <w:rPr>
                <w:rFonts w:hint="eastAsia"/>
              </w:rPr>
            </w:pPr>
            <w:r>
              <w:rPr>
                <w:rFonts w:hint="eastAsia"/>
              </w:rPr>
              <w:t>12</w:t>
            </w:r>
          </w:p>
        </w:tc>
        <w:tc>
          <w:tcPr>
            <w:tcW w:w="673" w:type="pct"/>
            <w:vMerge w:val="restart"/>
            <w:shd w:val="clear" w:color="auto" w:fill="auto"/>
            <w:vAlign w:val="center"/>
          </w:tcPr>
          <w:p w14:paraId="791B0C17">
            <w:pPr>
              <w:pStyle w:val="41"/>
              <w:rPr>
                <w:rFonts w:hint="eastAsia"/>
              </w:rPr>
            </w:pPr>
            <w:r>
              <w:rPr>
                <w:rFonts w:hint="eastAsia"/>
              </w:rPr>
              <w:t>完成无障碍环境建设社区占比（%）</w:t>
            </w:r>
          </w:p>
        </w:tc>
        <w:tc>
          <w:tcPr>
            <w:tcW w:w="1671" w:type="pct"/>
            <w:shd w:val="clear" w:color="auto" w:fill="auto"/>
            <w:vAlign w:val="center"/>
          </w:tcPr>
          <w:p w14:paraId="1DABC57E">
            <w:pPr>
              <w:pStyle w:val="41"/>
              <w:rPr>
                <w:rFonts w:hint="eastAsia"/>
              </w:rPr>
            </w:pPr>
            <w:r>
              <w:rPr>
                <w:rFonts w:hint="eastAsia"/>
              </w:rPr>
              <w:t>市辖区建成区内拥有道路、绿地、配套公共设施、住宅均达到《无障碍设计规范》的社区个数</w:t>
            </w:r>
          </w:p>
        </w:tc>
        <w:tc>
          <w:tcPr>
            <w:tcW w:w="1625" w:type="pct"/>
            <w:vMerge w:val="restart"/>
            <w:shd w:val="clear" w:color="auto" w:fill="auto"/>
            <w:vAlign w:val="center"/>
          </w:tcPr>
          <w:p w14:paraId="61C4456B">
            <w:pPr>
              <w:pStyle w:val="41"/>
              <w:rPr>
                <w:rFonts w:hint="eastAsia"/>
              </w:rPr>
            </w:pPr>
            <w:r>
              <w:rPr>
                <w:rFonts w:hint="eastAsia"/>
              </w:rPr>
              <w:t>辖内的小区中道路、绿地、配套公共设施、住宅均达到《无障碍设计规范》的社区，占全部社区总数量的比例。</w:t>
            </w:r>
          </w:p>
        </w:tc>
        <w:tc>
          <w:tcPr>
            <w:tcW w:w="507" w:type="pct"/>
            <w:vMerge w:val="restart"/>
            <w:shd w:val="clear" w:color="auto" w:fill="auto"/>
            <w:vAlign w:val="center"/>
          </w:tcPr>
          <w:p w14:paraId="41A8011F">
            <w:pPr>
              <w:pStyle w:val="41"/>
              <w:rPr>
                <w:rFonts w:hint="eastAsia"/>
              </w:rPr>
            </w:pPr>
            <w:r>
              <w:rPr>
                <w:rFonts w:hint="eastAsia"/>
              </w:rPr>
              <w:t>城市管理部门</w:t>
            </w:r>
          </w:p>
        </w:tc>
      </w:tr>
      <w:tr w14:paraId="3B874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5FA64F33">
            <w:pPr>
              <w:pStyle w:val="41"/>
              <w:rPr>
                <w:rFonts w:hint="eastAsia"/>
              </w:rPr>
            </w:pPr>
          </w:p>
        </w:tc>
        <w:tc>
          <w:tcPr>
            <w:tcW w:w="299" w:type="pct"/>
            <w:vMerge w:val="continue"/>
            <w:shd w:val="clear" w:color="auto" w:fill="auto"/>
            <w:vAlign w:val="center"/>
          </w:tcPr>
          <w:p w14:paraId="0A394274">
            <w:pPr>
              <w:pStyle w:val="41"/>
              <w:rPr>
                <w:rFonts w:hint="eastAsia"/>
              </w:rPr>
            </w:pPr>
          </w:p>
        </w:tc>
        <w:tc>
          <w:tcPr>
            <w:tcW w:w="673" w:type="pct"/>
            <w:vMerge w:val="continue"/>
            <w:shd w:val="clear" w:color="auto" w:fill="auto"/>
            <w:vAlign w:val="center"/>
          </w:tcPr>
          <w:p w14:paraId="51B71755">
            <w:pPr>
              <w:pStyle w:val="41"/>
              <w:rPr>
                <w:rFonts w:hint="eastAsia"/>
              </w:rPr>
            </w:pPr>
          </w:p>
        </w:tc>
        <w:tc>
          <w:tcPr>
            <w:tcW w:w="1671" w:type="pct"/>
            <w:shd w:val="clear" w:color="auto" w:fill="auto"/>
            <w:vAlign w:val="center"/>
          </w:tcPr>
          <w:p w14:paraId="780704BF">
            <w:pPr>
              <w:pStyle w:val="41"/>
              <w:rPr>
                <w:rFonts w:hint="eastAsia"/>
              </w:rPr>
            </w:pPr>
            <w:r>
              <w:rPr>
                <w:rFonts w:hint="eastAsia"/>
              </w:rPr>
              <w:t>市辖区社区总数量</w:t>
            </w:r>
          </w:p>
        </w:tc>
        <w:tc>
          <w:tcPr>
            <w:tcW w:w="1625" w:type="pct"/>
            <w:vMerge w:val="continue"/>
            <w:shd w:val="clear" w:color="auto" w:fill="auto"/>
            <w:vAlign w:val="center"/>
          </w:tcPr>
          <w:p w14:paraId="404E10AB">
            <w:pPr>
              <w:pStyle w:val="41"/>
              <w:rPr>
                <w:rFonts w:hint="eastAsia"/>
              </w:rPr>
            </w:pPr>
          </w:p>
        </w:tc>
        <w:tc>
          <w:tcPr>
            <w:tcW w:w="507" w:type="pct"/>
            <w:vMerge w:val="continue"/>
            <w:shd w:val="clear" w:color="auto" w:fill="auto"/>
            <w:vAlign w:val="center"/>
          </w:tcPr>
          <w:p w14:paraId="0DE23E93">
            <w:pPr>
              <w:pStyle w:val="41"/>
              <w:rPr>
                <w:rFonts w:hint="eastAsia"/>
              </w:rPr>
            </w:pPr>
          </w:p>
        </w:tc>
      </w:tr>
      <w:tr w14:paraId="246CB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restart"/>
            <w:shd w:val="clear" w:color="auto" w:fill="auto"/>
            <w:vAlign w:val="center"/>
          </w:tcPr>
          <w:p w14:paraId="4FD65DA4">
            <w:pPr>
              <w:pStyle w:val="41"/>
              <w:rPr>
                <w:rFonts w:hint="eastAsia"/>
              </w:rPr>
            </w:pPr>
            <w:r>
              <w:rPr>
                <w:rFonts w:hint="eastAsia"/>
              </w:rPr>
              <w:t>智能服务</w:t>
            </w:r>
          </w:p>
        </w:tc>
        <w:tc>
          <w:tcPr>
            <w:tcW w:w="299" w:type="pct"/>
            <w:vMerge w:val="restart"/>
            <w:shd w:val="clear" w:color="auto" w:fill="auto"/>
            <w:vAlign w:val="center"/>
          </w:tcPr>
          <w:p w14:paraId="6DD33E95">
            <w:pPr>
              <w:pStyle w:val="41"/>
              <w:rPr>
                <w:rFonts w:hint="eastAsia"/>
              </w:rPr>
            </w:pPr>
            <w:r>
              <w:rPr>
                <w:rFonts w:hint="eastAsia"/>
              </w:rPr>
              <w:t>13</w:t>
            </w:r>
          </w:p>
        </w:tc>
        <w:tc>
          <w:tcPr>
            <w:tcW w:w="673" w:type="pct"/>
            <w:vMerge w:val="restart"/>
            <w:shd w:val="clear" w:color="auto" w:fill="auto"/>
            <w:vAlign w:val="center"/>
          </w:tcPr>
          <w:p w14:paraId="5C14CA72">
            <w:pPr>
              <w:pStyle w:val="41"/>
              <w:rPr>
                <w:rFonts w:hint="eastAsia"/>
              </w:rPr>
            </w:pPr>
            <w:r>
              <w:rPr>
                <w:rFonts w:hint="eastAsia"/>
              </w:rPr>
              <w:t>社区政务通用自助服务设施覆盖度（%）</w:t>
            </w:r>
          </w:p>
        </w:tc>
        <w:tc>
          <w:tcPr>
            <w:tcW w:w="1671" w:type="pct"/>
            <w:shd w:val="clear" w:color="auto" w:fill="auto"/>
            <w:vAlign w:val="center"/>
          </w:tcPr>
          <w:p w14:paraId="24A75C0B">
            <w:pPr>
              <w:pStyle w:val="41"/>
              <w:rPr>
                <w:rFonts w:hint="eastAsia"/>
              </w:rPr>
            </w:pPr>
            <w:r>
              <w:rPr>
                <w:rFonts w:hint="eastAsia"/>
              </w:rPr>
              <w:t>市辖区建成区内拥有政务通用自助服务设施的社区个数</w:t>
            </w:r>
          </w:p>
        </w:tc>
        <w:tc>
          <w:tcPr>
            <w:tcW w:w="1625" w:type="pct"/>
            <w:vMerge w:val="restart"/>
            <w:shd w:val="clear" w:color="auto" w:fill="auto"/>
            <w:vAlign w:val="center"/>
          </w:tcPr>
          <w:p w14:paraId="4382E9AA">
            <w:pPr>
              <w:pStyle w:val="41"/>
              <w:rPr>
                <w:rFonts w:hint="eastAsia"/>
              </w:rPr>
            </w:pPr>
            <w:r>
              <w:rPr>
                <w:rFonts w:hint="eastAsia"/>
              </w:rPr>
              <w:t>拥有政务通用自助服务设施（如通用自助服务一体机）的社区，占全部社区总数量的比例。</w:t>
            </w:r>
          </w:p>
        </w:tc>
        <w:tc>
          <w:tcPr>
            <w:tcW w:w="507" w:type="pct"/>
            <w:vMerge w:val="restart"/>
            <w:shd w:val="clear" w:color="auto" w:fill="auto"/>
            <w:vAlign w:val="center"/>
          </w:tcPr>
          <w:p w14:paraId="104AE62B">
            <w:pPr>
              <w:pStyle w:val="41"/>
              <w:rPr>
                <w:rFonts w:hint="eastAsia"/>
              </w:rPr>
            </w:pPr>
            <w:r>
              <w:rPr>
                <w:rFonts w:hint="eastAsia"/>
              </w:rPr>
              <w:t>民政部门</w:t>
            </w:r>
          </w:p>
        </w:tc>
      </w:tr>
      <w:tr w14:paraId="63ACE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trPr>
        <w:tc>
          <w:tcPr>
            <w:tcW w:w="222" w:type="pct"/>
            <w:vMerge w:val="continue"/>
            <w:shd w:val="clear" w:color="auto" w:fill="auto"/>
            <w:vAlign w:val="center"/>
          </w:tcPr>
          <w:p w14:paraId="79B7F0E5">
            <w:pPr>
              <w:pStyle w:val="41"/>
              <w:rPr>
                <w:rFonts w:hint="eastAsia"/>
              </w:rPr>
            </w:pPr>
          </w:p>
        </w:tc>
        <w:tc>
          <w:tcPr>
            <w:tcW w:w="299" w:type="pct"/>
            <w:vMerge w:val="continue"/>
            <w:shd w:val="clear" w:color="auto" w:fill="auto"/>
            <w:vAlign w:val="center"/>
          </w:tcPr>
          <w:p w14:paraId="20A18CB6">
            <w:pPr>
              <w:pStyle w:val="41"/>
              <w:rPr>
                <w:rFonts w:hint="eastAsia"/>
              </w:rPr>
            </w:pPr>
          </w:p>
        </w:tc>
        <w:tc>
          <w:tcPr>
            <w:tcW w:w="673" w:type="pct"/>
            <w:vMerge w:val="continue"/>
            <w:shd w:val="clear" w:color="auto" w:fill="auto"/>
            <w:vAlign w:val="center"/>
          </w:tcPr>
          <w:p w14:paraId="709FDDFB">
            <w:pPr>
              <w:pStyle w:val="41"/>
              <w:rPr>
                <w:rFonts w:hint="eastAsia"/>
              </w:rPr>
            </w:pPr>
          </w:p>
        </w:tc>
        <w:tc>
          <w:tcPr>
            <w:tcW w:w="1671" w:type="pct"/>
            <w:shd w:val="clear" w:color="auto" w:fill="auto"/>
            <w:vAlign w:val="center"/>
          </w:tcPr>
          <w:p w14:paraId="4013EB68">
            <w:pPr>
              <w:pStyle w:val="41"/>
              <w:rPr>
                <w:rFonts w:hint="eastAsia"/>
              </w:rPr>
            </w:pPr>
            <w:r>
              <w:rPr>
                <w:rFonts w:hint="eastAsia"/>
              </w:rPr>
              <w:t>市辖区社区总数量</w:t>
            </w:r>
          </w:p>
        </w:tc>
        <w:tc>
          <w:tcPr>
            <w:tcW w:w="1625" w:type="pct"/>
            <w:vMerge w:val="continue"/>
            <w:shd w:val="clear" w:color="auto" w:fill="auto"/>
            <w:vAlign w:val="center"/>
          </w:tcPr>
          <w:p w14:paraId="573ACD1F">
            <w:pPr>
              <w:pStyle w:val="41"/>
              <w:rPr>
                <w:rFonts w:hint="eastAsia"/>
              </w:rPr>
            </w:pPr>
          </w:p>
        </w:tc>
        <w:tc>
          <w:tcPr>
            <w:tcW w:w="507" w:type="pct"/>
            <w:vMerge w:val="continue"/>
            <w:shd w:val="clear" w:color="auto" w:fill="auto"/>
            <w:vAlign w:val="center"/>
          </w:tcPr>
          <w:p w14:paraId="05DBFE06">
            <w:pPr>
              <w:pStyle w:val="41"/>
              <w:rPr>
                <w:rFonts w:hint="eastAsia"/>
              </w:rPr>
            </w:pPr>
          </w:p>
        </w:tc>
      </w:tr>
      <w:tr w14:paraId="059A5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restart"/>
            <w:shd w:val="clear" w:color="auto" w:fill="auto"/>
            <w:vAlign w:val="center"/>
          </w:tcPr>
          <w:p w14:paraId="7AD638A6">
            <w:pPr>
              <w:pStyle w:val="41"/>
              <w:rPr>
                <w:rFonts w:hint="eastAsia"/>
              </w:rPr>
            </w:pPr>
            <w:r>
              <w:rPr>
                <w:rFonts w:hint="eastAsia"/>
              </w:rPr>
              <w:t>社区治理</w:t>
            </w:r>
          </w:p>
        </w:tc>
        <w:tc>
          <w:tcPr>
            <w:tcW w:w="299" w:type="pct"/>
            <w:vMerge w:val="restart"/>
            <w:shd w:val="clear" w:color="auto" w:fill="auto"/>
            <w:vAlign w:val="center"/>
          </w:tcPr>
          <w:p w14:paraId="07482421">
            <w:pPr>
              <w:pStyle w:val="41"/>
              <w:rPr>
                <w:rFonts w:hint="eastAsia"/>
              </w:rPr>
            </w:pPr>
            <w:r>
              <w:rPr>
                <w:rFonts w:hint="eastAsia"/>
              </w:rPr>
              <w:t>14</w:t>
            </w:r>
          </w:p>
        </w:tc>
        <w:tc>
          <w:tcPr>
            <w:tcW w:w="673" w:type="pct"/>
            <w:vMerge w:val="restart"/>
            <w:shd w:val="clear" w:color="auto" w:fill="auto"/>
            <w:vAlign w:val="center"/>
          </w:tcPr>
          <w:p w14:paraId="759EC826">
            <w:pPr>
              <w:pStyle w:val="41"/>
              <w:rPr>
                <w:rFonts w:hint="eastAsia"/>
              </w:rPr>
            </w:pPr>
            <w:r>
              <w:rPr>
                <w:rFonts w:hint="eastAsia"/>
              </w:rPr>
              <w:t>实施物业管理的社区占比（%）</w:t>
            </w:r>
          </w:p>
        </w:tc>
        <w:tc>
          <w:tcPr>
            <w:tcW w:w="1671" w:type="pct"/>
            <w:shd w:val="clear" w:color="auto" w:fill="auto"/>
            <w:vAlign w:val="center"/>
          </w:tcPr>
          <w:p w14:paraId="6771428D">
            <w:pPr>
              <w:pStyle w:val="41"/>
              <w:rPr>
                <w:rFonts w:hint="eastAsia"/>
              </w:rPr>
            </w:pPr>
            <w:r>
              <w:rPr>
                <w:rFonts w:hint="eastAsia"/>
              </w:rPr>
              <w:t>市辖区建成区内全面实施物业管理的社区个数</w:t>
            </w:r>
          </w:p>
        </w:tc>
        <w:tc>
          <w:tcPr>
            <w:tcW w:w="1625" w:type="pct"/>
            <w:vMerge w:val="restart"/>
            <w:shd w:val="clear" w:color="auto" w:fill="auto"/>
            <w:vAlign w:val="center"/>
          </w:tcPr>
          <w:p w14:paraId="7F131906">
            <w:pPr>
              <w:pStyle w:val="41"/>
              <w:rPr>
                <w:rFonts w:hint="eastAsia"/>
              </w:rPr>
            </w:pPr>
            <w:r>
              <w:rPr>
                <w:rFonts w:hint="eastAsia"/>
              </w:rPr>
              <w:t>辖内的小区全面实施物业管理的社区，占全部社区总数量的比例。</w:t>
            </w:r>
          </w:p>
        </w:tc>
        <w:tc>
          <w:tcPr>
            <w:tcW w:w="507" w:type="pct"/>
            <w:vMerge w:val="restart"/>
            <w:shd w:val="clear" w:color="auto" w:fill="auto"/>
            <w:vAlign w:val="center"/>
          </w:tcPr>
          <w:p w14:paraId="1AB3FA69">
            <w:pPr>
              <w:pStyle w:val="41"/>
              <w:rPr>
                <w:rFonts w:hint="eastAsia"/>
              </w:rPr>
            </w:pPr>
            <w:r>
              <w:rPr>
                <w:rFonts w:hint="eastAsia"/>
              </w:rPr>
              <w:t>住建部门</w:t>
            </w:r>
          </w:p>
        </w:tc>
      </w:tr>
      <w:tr w14:paraId="31D03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0C4CA5FC">
            <w:pPr>
              <w:pStyle w:val="41"/>
              <w:rPr>
                <w:rFonts w:hint="eastAsia"/>
              </w:rPr>
            </w:pPr>
          </w:p>
        </w:tc>
        <w:tc>
          <w:tcPr>
            <w:tcW w:w="299" w:type="pct"/>
            <w:vMerge w:val="continue"/>
            <w:shd w:val="clear" w:color="auto" w:fill="auto"/>
            <w:vAlign w:val="center"/>
          </w:tcPr>
          <w:p w14:paraId="738875A8">
            <w:pPr>
              <w:pStyle w:val="41"/>
              <w:rPr>
                <w:rFonts w:hint="eastAsia"/>
              </w:rPr>
            </w:pPr>
          </w:p>
        </w:tc>
        <w:tc>
          <w:tcPr>
            <w:tcW w:w="673" w:type="pct"/>
            <w:vMerge w:val="continue"/>
            <w:shd w:val="clear" w:color="auto" w:fill="auto"/>
            <w:vAlign w:val="center"/>
          </w:tcPr>
          <w:p w14:paraId="5516A850">
            <w:pPr>
              <w:pStyle w:val="41"/>
              <w:rPr>
                <w:rFonts w:hint="eastAsia"/>
              </w:rPr>
            </w:pPr>
          </w:p>
        </w:tc>
        <w:tc>
          <w:tcPr>
            <w:tcW w:w="1671" w:type="pct"/>
            <w:shd w:val="clear" w:color="auto" w:fill="auto"/>
            <w:vAlign w:val="center"/>
          </w:tcPr>
          <w:p w14:paraId="6143EFAF">
            <w:pPr>
              <w:pStyle w:val="41"/>
              <w:rPr>
                <w:rFonts w:hint="eastAsia"/>
              </w:rPr>
            </w:pPr>
            <w:r>
              <w:rPr>
                <w:rFonts w:hint="eastAsia"/>
              </w:rPr>
              <w:t>市辖区社区总数量</w:t>
            </w:r>
          </w:p>
        </w:tc>
        <w:tc>
          <w:tcPr>
            <w:tcW w:w="1625" w:type="pct"/>
            <w:vMerge w:val="continue"/>
            <w:shd w:val="clear" w:color="auto" w:fill="auto"/>
            <w:vAlign w:val="center"/>
          </w:tcPr>
          <w:p w14:paraId="064EF8A0">
            <w:pPr>
              <w:pStyle w:val="41"/>
              <w:rPr>
                <w:rFonts w:hint="eastAsia"/>
              </w:rPr>
            </w:pPr>
          </w:p>
        </w:tc>
        <w:tc>
          <w:tcPr>
            <w:tcW w:w="507" w:type="pct"/>
            <w:vMerge w:val="continue"/>
            <w:shd w:val="clear" w:color="auto" w:fill="auto"/>
            <w:vAlign w:val="center"/>
          </w:tcPr>
          <w:p w14:paraId="1EA4C2C1">
            <w:pPr>
              <w:pStyle w:val="41"/>
              <w:rPr>
                <w:rFonts w:hint="eastAsia"/>
              </w:rPr>
            </w:pPr>
          </w:p>
        </w:tc>
      </w:tr>
      <w:tr w14:paraId="2263E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1C88ACF2">
            <w:pPr>
              <w:pStyle w:val="41"/>
              <w:rPr>
                <w:rFonts w:hint="eastAsia"/>
              </w:rPr>
            </w:pPr>
          </w:p>
        </w:tc>
        <w:tc>
          <w:tcPr>
            <w:tcW w:w="299" w:type="pct"/>
            <w:vMerge w:val="restart"/>
            <w:shd w:val="clear" w:color="auto" w:fill="auto"/>
            <w:vAlign w:val="center"/>
          </w:tcPr>
          <w:p w14:paraId="425F7FE7">
            <w:pPr>
              <w:pStyle w:val="41"/>
              <w:rPr>
                <w:rFonts w:hint="eastAsia"/>
              </w:rPr>
            </w:pPr>
            <w:r>
              <w:rPr>
                <w:rFonts w:hint="eastAsia"/>
              </w:rPr>
              <w:t>15</w:t>
            </w:r>
          </w:p>
        </w:tc>
        <w:tc>
          <w:tcPr>
            <w:tcW w:w="673" w:type="pct"/>
            <w:vMerge w:val="restart"/>
            <w:shd w:val="clear" w:color="auto" w:fill="auto"/>
            <w:vAlign w:val="center"/>
          </w:tcPr>
          <w:p w14:paraId="64BA9F67">
            <w:pPr>
              <w:pStyle w:val="41"/>
              <w:rPr>
                <w:rFonts w:hint="eastAsia"/>
              </w:rPr>
            </w:pPr>
            <w:r>
              <w:rPr>
                <w:rFonts w:hint="eastAsia"/>
              </w:rPr>
              <w:t>完成私搭乱建等违规行为治理的社区数量占比</w:t>
            </w:r>
          </w:p>
          <w:p w14:paraId="66820E21">
            <w:pPr>
              <w:pStyle w:val="41"/>
              <w:rPr>
                <w:rFonts w:hint="eastAsia"/>
              </w:rPr>
            </w:pPr>
            <w:r>
              <w:rPr>
                <w:rFonts w:hint="eastAsia"/>
              </w:rPr>
              <w:t>（%）</w:t>
            </w:r>
          </w:p>
        </w:tc>
        <w:tc>
          <w:tcPr>
            <w:tcW w:w="1671" w:type="pct"/>
            <w:shd w:val="clear" w:color="auto" w:fill="auto"/>
            <w:vAlign w:val="center"/>
          </w:tcPr>
          <w:p w14:paraId="2664EE6B">
            <w:pPr>
              <w:pStyle w:val="41"/>
              <w:rPr>
                <w:rFonts w:hint="eastAsia"/>
              </w:rPr>
            </w:pPr>
            <w:r>
              <w:rPr>
                <w:rFonts w:hint="eastAsia"/>
              </w:rPr>
              <w:t>市辖区建成区内违法占地、占用消防通道、侵占公共绿地，以及加建扩建阳台、在楼顶搭建加建等违法建设行为治理的社区</w:t>
            </w:r>
          </w:p>
        </w:tc>
        <w:tc>
          <w:tcPr>
            <w:tcW w:w="1625" w:type="pct"/>
            <w:vMerge w:val="restart"/>
            <w:shd w:val="clear" w:color="auto" w:fill="auto"/>
            <w:vAlign w:val="center"/>
          </w:tcPr>
          <w:p w14:paraId="091B3DF7">
            <w:pPr>
              <w:pStyle w:val="41"/>
              <w:rPr>
                <w:rFonts w:hint="eastAsia"/>
              </w:rPr>
            </w:pPr>
            <w:r>
              <w:rPr>
                <w:rFonts w:hint="eastAsia"/>
              </w:rPr>
              <w:t>完成社区管辖内的所有小区违法占地、占用消防通道、侵占公共绿地，以及加建扩建阳台、在楼顶搭建加建等违法建设行为治理的社区数量占全部社区数量的比例。</w:t>
            </w:r>
          </w:p>
        </w:tc>
        <w:tc>
          <w:tcPr>
            <w:tcW w:w="507" w:type="pct"/>
            <w:vMerge w:val="restart"/>
            <w:shd w:val="clear" w:color="auto" w:fill="auto"/>
            <w:vAlign w:val="center"/>
          </w:tcPr>
          <w:p w14:paraId="7524DDF5">
            <w:pPr>
              <w:pStyle w:val="41"/>
              <w:rPr>
                <w:rFonts w:hint="eastAsia"/>
              </w:rPr>
            </w:pPr>
            <w:r>
              <w:rPr>
                <w:rFonts w:hint="eastAsia"/>
              </w:rPr>
              <w:t>城市管理部门</w:t>
            </w:r>
          </w:p>
        </w:tc>
      </w:tr>
      <w:tr w14:paraId="23C11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22" w:type="pct"/>
            <w:vMerge w:val="continue"/>
            <w:shd w:val="clear" w:color="auto" w:fill="auto"/>
            <w:vAlign w:val="center"/>
          </w:tcPr>
          <w:p w14:paraId="6D9A4EC4">
            <w:pPr>
              <w:pStyle w:val="41"/>
              <w:rPr>
                <w:rFonts w:hint="eastAsia"/>
              </w:rPr>
            </w:pPr>
          </w:p>
        </w:tc>
        <w:tc>
          <w:tcPr>
            <w:tcW w:w="299" w:type="pct"/>
            <w:vMerge w:val="continue"/>
            <w:shd w:val="clear" w:color="auto" w:fill="auto"/>
            <w:vAlign w:val="center"/>
          </w:tcPr>
          <w:p w14:paraId="53CC9E8D">
            <w:pPr>
              <w:pStyle w:val="41"/>
              <w:rPr>
                <w:rFonts w:hint="eastAsia"/>
              </w:rPr>
            </w:pPr>
          </w:p>
        </w:tc>
        <w:tc>
          <w:tcPr>
            <w:tcW w:w="673" w:type="pct"/>
            <w:vMerge w:val="continue"/>
            <w:shd w:val="clear" w:color="auto" w:fill="auto"/>
            <w:vAlign w:val="center"/>
          </w:tcPr>
          <w:p w14:paraId="6BEB700C">
            <w:pPr>
              <w:pStyle w:val="41"/>
              <w:rPr>
                <w:rFonts w:hint="eastAsia"/>
              </w:rPr>
            </w:pPr>
          </w:p>
        </w:tc>
        <w:tc>
          <w:tcPr>
            <w:tcW w:w="1671" w:type="pct"/>
            <w:shd w:val="clear" w:color="auto" w:fill="auto"/>
            <w:vAlign w:val="center"/>
          </w:tcPr>
          <w:p w14:paraId="42365A9F">
            <w:pPr>
              <w:pStyle w:val="41"/>
              <w:rPr>
                <w:rFonts w:hint="eastAsia"/>
              </w:rPr>
            </w:pPr>
            <w:r>
              <w:rPr>
                <w:rFonts w:hint="eastAsia"/>
              </w:rPr>
              <w:t>市辖区社区总数量</w:t>
            </w:r>
          </w:p>
        </w:tc>
        <w:tc>
          <w:tcPr>
            <w:tcW w:w="1625" w:type="pct"/>
            <w:vMerge w:val="continue"/>
            <w:shd w:val="clear" w:color="auto" w:fill="auto"/>
            <w:vAlign w:val="center"/>
          </w:tcPr>
          <w:p w14:paraId="3A3F4CB8">
            <w:pPr>
              <w:pStyle w:val="41"/>
              <w:rPr>
                <w:rFonts w:hint="eastAsia"/>
              </w:rPr>
            </w:pPr>
          </w:p>
        </w:tc>
        <w:tc>
          <w:tcPr>
            <w:tcW w:w="507" w:type="pct"/>
            <w:vMerge w:val="continue"/>
            <w:shd w:val="clear" w:color="auto" w:fill="auto"/>
            <w:vAlign w:val="center"/>
          </w:tcPr>
          <w:p w14:paraId="296F0935">
            <w:pPr>
              <w:pStyle w:val="41"/>
              <w:rPr>
                <w:rFonts w:hint="eastAsia"/>
              </w:rPr>
            </w:pPr>
          </w:p>
        </w:tc>
      </w:tr>
    </w:tbl>
    <w:p w14:paraId="40E97683">
      <w:pPr>
        <w:pStyle w:val="48"/>
        <w:rPr>
          <w:rFonts w:hint="eastAsia"/>
        </w:rPr>
        <w:sectPr>
          <w:pgSz w:w="11900" w:h="16838"/>
          <w:pgMar w:top="1440" w:right="1803" w:bottom="1440" w:left="1803" w:header="600" w:footer="360" w:gutter="0"/>
          <w:pgNumType w:fmt="decimal"/>
          <w:cols w:space="720" w:num="1"/>
        </w:sectPr>
      </w:pPr>
    </w:p>
    <w:p w14:paraId="57745070">
      <w:pPr>
        <w:pStyle w:val="48"/>
        <w:outlineLvl w:val="9"/>
        <w:rPr>
          <w:rFonts w:hint="eastAsia"/>
        </w:rPr>
      </w:pPr>
      <w:r>
        <w:rPr>
          <w:rFonts w:hint="eastAsia"/>
        </w:rPr>
        <w:t>燃气专项体检指标</w:t>
      </w:r>
    </w:p>
    <w:tbl>
      <w:tblPr>
        <w:tblStyle w:val="2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1"/>
        <w:gridCol w:w="578"/>
        <w:gridCol w:w="869"/>
        <w:gridCol w:w="2147"/>
        <w:gridCol w:w="2536"/>
        <w:gridCol w:w="1873"/>
      </w:tblGrid>
      <w:tr w14:paraId="13C12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jc w:val="center"/>
        </w:trPr>
        <w:tc>
          <w:tcPr>
            <w:tcW w:w="295" w:type="pct"/>
            <w:shd w:val="clear" w:color="auto" w:fill="auto"/>
            <w:vAlign w:val="center"/>
          </w:tcPr>
          <w:p w14:paraId="243EB227">
            <w:pPr>
              <w:pStyle w:val="41"/>
              <w:rPr>
                <w:rFonts w:hint="eastAsia" w:ascii="黑体" w:hAnsi="黑体" w:eastAsia="黑体" w:cs="黑体"/>
              </w:rPr>
            </w:pPr>
            <w:r>
              <w:rPr>
                <w:rFonts w:hint="eastAsia" w:ascii="黑体" w:hAnsi="黑体" w:eastAsia="黑体" w:cs="黑体"/>
              </w:rPr>
              <w:t>维度</w:t>
            </w:r>
          </w:p>
        </w:tc>
        <w:tc>
          <w:tcPr>
            <w:tcW w:w="340" w:type="pct"/>
            <w:shd w:val="clear" w:color="auto" w:fill="auto"/>
            <w:vAlign w:val="center"/>
          </w:tcPr>
          <w:p w14:paraId="1445575D">
            <w:pPr>
              <w:pStyle w:val="41"/>
              <w:rPr>
                <w:rFonts w:hint="eastAsia" w:ascii="黑体" w:hAnsi="黑体" w:eastAsia="黑体" w:cs="黑体"/>
              </w:rPr>
            </w:pPr>
            <w:r>
              <w:rPr>
                <w:rFonts w:hint="eastAsia" w:ascii="黑体" w:hAnsi="黑体" w:eastAsia="黑体" w:cs="黑体"/>
              </w:rPr>
              <w:t>序号</w:t>
            </w:r>
          </w:p>
        </w:tc>
        <w:tc>
          <w:tcPr>
            <w:tcW w:w="511" w:type="pct"/>
            <w:shd w:val="clear" w:color="auto" w:fill="auto"/>
            <w:vAlign w:val="center"/>
          </w:tcPr>
          <w:p w14:paraId="4335526B">
            <w:pPr>
              <w:pStyle w:val="41"/>
              <w:rPr>
                <w:rFonts w:hint="eastAsia" w:ascii="黑体" w:hAnsi="黑体" w:eastAsia="黑体" w:cs="黑体"/>
              </w:rPr>
            </w:pPr>
            <w:r>
              <w:rPr>
                <w:rFonts w:hint="eastAsia" w:ascii="黑体" w:hAnsi="黑体" w:eastAsia="黑体" w:cs="黑体"/>
              </w:rPr>
              <w:t>指标</w:t>
            </w:r>
          </w:p>
        </w:tc>
        <w:tc>
          <w:tcPr>
            <w:tcW w:w="1261" w:type="pct"/>
            <w:shd w:val="clear" w:color="auto" w:fill="auto"/>
            <w:vAlign w:val="center"/>
          </w:tcPr>
          <w:p w14:paraId="6FA79F38">
            <w:pPr>
              <w:pStyle w:val="41"/>
              <w:rPr>
                <w:rFonts w:hint="eastAsia" w:ascii="黑体" w:hAnsi="黑体" w:eastAsia="黑体" w:cs="黑体"/>
              </w:rPr>
            </w:pPr>
            <w:r>
              <w:rPr>
                <w:rFonts w:hint="eastAsia" w:ascii="黑体" w:hAnsi="黑体" w:eastAsia="黑体" w:cs="黑体"/>
              </w:rPr>
              <w:t>分解指标</w:t>
            </w:r>
          </w:p>
        </w:tc>
        <w:tc>
          <w:tcPr>
            <w:tcW w:w="1490" w:type="pct"/>
            <w:shd w:val="clear" w:color="auto" w:fill="auto"/>
            <w:vAlign w:val="center"/>
          </w:tcPr>
          <w:p w14:paraId="0C942B12">
            <w:pPr>
              <w:pStyle w:val="41"/>
              <w:rPr>
                <w:rFonts w:hint="eastAsia" w:ascii="黑体" w:hAnsi="黑体" w:eastAsia="黑体" w:cs="黑体"/>
              </w:rPr>
            </w:pPr>
            <w:r>
              <w:rPr>
                <w:rFonts w:hint="eastAsia" w:ascii="黑体" w:hAnsi="黑体" w:eastAsia="黑体" w:cs="黑体"/>
              </w:rPr>
              <w:t>体检内容</w:t>
            </w:r>
          </w:p>
        </w:tc>
        <w:tc>
          <w:tcPr>
            <w:tcW w:w="1101" w:type="pct"/>
            <w:shd w:val="clear" w:color="auto" w:fill="auto"/>
            <w:vAlign w:val="center"/>
          </w:tcPr>
          <w:p w14:paraId="2B45119B">
            <w:pPr>
              <w:pStyle w:val="41"/>
              <w:rPr>
                <w:rFonts w:hint="eastAsia" w:ascii="黑体" w:hAnsi="黑体" w:eastAsia="黑体" w:cs="黑体"/>
              </w:rPr>
            </w:pPr>
            <w:r>
              <w:rPr>
                <w:rFonts w:hint="eastAsia" w:ascii="黑体" w:hAnsi="黑体" w:eastAsia="黑体" w:cs="黑体"/>
              </w:rPr>
              <w:t>数据获取</w:t>
            </w:r>
          </w:p>
        </w:tc>
      </w:tr>
      <w:tr w14:paraId="30365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95" w:type="pct"/>
            <w:vMerge w:val="restart"/>
            <w:shd w:val="clear" w:color="auto" w:fill="auto"/>
            <w:vAlign w:val="center"/>
          </w:tcPr>
          <w:p w14:paraId="73EAEEA5">
            <w:pPr>
              <w:pStyle w:val="41"/>
              <w:rPr>
                <w:rFonts w:hint="eastAsia"/>
              </w:rPr>
            </w:pPr>
            <w:r>
              <w:rPr>
                <w:rFonts w:hint="eastAsia"/>
              </w:rPr>
              <w:t>安全韧性</w:t>
            </w:r>
          </w:p>
        </w:tc>
        <w:tc>
          <w:tcPr>
            <w:tcW w:w="340" w:type="pct"/>
            <w:vMerge w:val="restart"/>
            <w:shd w:val="clear" w:color="auto" w:fill="auto"/>
            <w:vAlign w:val="center"/>
          </w:tcPr>
          <w:p w14:paraId="16D216BF">
            <w:pPr>
              <w:pStyle w:val="41"/>
              <w:rPr>
                <w:rFonts w:hint="eastAsia"/>
              </w:rPr>
            </w:pPr>
            <w:r>
              <w:rPr>
                <w:rFonts w:hint="eastAsia"/>
              </w:rPr>
              <w:t>1</w:t>
            </w:r>
          </w:p>
        </w:tc>
        <w:tc>
          <w:tcPr>
            <w:tcW w:w="511" w:type="pct"/>
            <w:vMerge w:val="restart"/>
            <w:shd w:val="clear" w:color="auto" w:fill="auto"/>
            <w:vAlign w:val="center"/>
          </w:tcPr>
          <w:p w14:paraId="14BF58F5">
            <w:pPr>
              <w:pStyle w:val="41"/>
              <w:rPr>
                <w:rFonts w:hint="eastAsia"/>
              </w:rPr>
            </w:pPr>
            <w:r>
              <w:rPr>
                <w:rFonts w:hint="eastAsia"/>
              </w:rPr>
              <w:t>城镇既有管道燃气用户安全装置加装率（%）</w:t>
            </w:r>
          </w:p>
        </w:tc>
        <w:tc>
          <w:tcPr>
            <w:tcW w:w="1261" w:type="pct"/>
            <w:shd w:val="clear" w:color="auto" w:fill="auto"/>
            <w:vAlign w:val="center"/>
          </w:tcPr>
          <w:p w14:paraId="0BC471FE">
            <w:pPr>
              <w:pStyle w:val="41"/>
              <w:rPr>
                <w:rFonts w:hint="eastAsia"/>
              </w:rPr>
            </w:pPr>
            <w:r>
              <w:rPr>
                <w:rFonts w:hint="eastAsia"/>
              </w:rPr>
              <w:t>市辖区建成区内已加装安全装置的城镇既有管道燃气用户数（包括城镇既有住宅、单位燃气用户）</w:t>
            </w:r>
          </w:p>
        </w:tc>
        <w:tc>
          <w:tcPr>
            <w:tcW w:w="1490" w:type="pct"/>
            <w:vMerge w:val="restart"/>
            <w:shd w:val="clear" w:color="auto" w:fill="auto"/>
            <w:vAlign w:val="center"/>
          </w:tcPr>
          <w:p w14:paraId="0A55DF97">
            <w:pPr>
              <w:pStyle w:val="41"/>
              <w:rPr>
                <w:rFonts w:hint="eastAsia"/>
              </w:rPr>
            </w:pPr>
            <w:r>
              <w:rPr>
                <w:rFonts w:hint="eastAsia"/>
              </w:rPr>
              <w:t>市辖区建成区内已加装安全装置的城镇既有管道燃气用户数（包括城镇既有住宅、单位燃气用户）占城镇既有管道燃气用户总数（包括城镇既有住宅、单位燃气用户）的百分比。</w:t>
            </w:r>
          </w:p>
        </w:tc>
        <w:tc>
          <w:tcPr>
            <w:tcW w:w="1101" w:type="pct"/>
            <w:vMerge w:val="restart"/>
            <w:shd w:val="clear" w:color="auto" w:fill="auto"/>
            <w:vAlign w:val="center"/>
          </w:tcPr>
          <w:p w14:paraId="1B6F4DD1">
            <w:pPr>
              <w:pStyle w:val="41"/>
              <w:rPr>
                <w:rFonts w:hint="eastAsia"/>
              </w:rPr>
            </w:pPr>
            <w:r>
              <w:rPr>
                <w:rFonts w:hint="eastAsia"/>
              </w:rPr>
              <w:t>市住建局、官方统计数据、行业部门调查统计数据、相关燃气经营企业</w:t>
            </w:r>
          </w:p>
          <w:p w14:paraId="180919FA">
            <w:pPr>
              <w:pStyle w:val="41"/>
              <w:rPr>
                <w:rFonts w:hint="eastAsia"/>
              </w:rPr>
            </w:pPr>
          </w:p>
        </w:tc>
      </w:tr>
      <w:tr w14:paraId="12B30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95" w:type="pct"/>
            <w:vMerge w:val="continue"/>
            <w:shd w:val="clear" w:color="auto" w:fill="auto"/>
            <w:vAlign w:val="center"/>
          </w:tcPr>
          <w:p w14:paraId="2FC78E83">
            <w:pPr>
              <w:pStyle w:val="41"/>
              <w:rPr>
                <w:rFonts w:hint="eastAsia"/>
              </w:rPr>
            </w:pPr>
          </w:p>
        </w:tc>
        <w:tc>
          <w:tcPr>
            <w:tcW w:w="340" w:type="pct"/>
            <w:vMerge w:val="continue"/>
            <w:shd w:val="clear" w:color="auto" w:fill="auto"/>
            <w:vAlign w:val="center"/>
          </w:tcPr>
          <w:p w14:paraId="15B2F63C">
            <w:pPr>
              <w:pStyle w:val="41"/>
              <w:rPr>
                <w:rFonts w:hint="eastAsia"/>
              </w:rPr>
            </w:pPr>
          </w:p>
        </w:tc>
        <w:tc>
          <w:tcPr>
            <w:tcW w:w="511" w:type="pct"/>
            <w:vMerge w:val="continue"/>
            <w:shd w:val="clear" w:color="auto" w:fill="auto"/>
            <w:vAlign w:val="center"/>
          </w:tcPr>
          <w:p w14:paraId="0D9D0995">
            <w:pPr>
              <w:pStyle w:val="41"/>
              <w:rPr>
                <w:rFonts w:hint="eastAsia"/>
              </w:rPr>
            </w:pPr>
          </w:p>
        </w:tc>
        <w:tc>
          <w:tcPr>
            <w:tcW w:w="1261" w:type="pct"/>
            <w:shd w:val="clear" w:color="auto" w:fill="auto"/>
            <w:vAlign w:val="center"/>
          </w:tcPr>
          <w:p w14:paraId="5C854BEE">
            <w:pPr>
              <w:pStyle w:val="41"/>
              <w:rPr>
                <w:rFonts w:hint="eastAsia"/>
              </w:rPr>
            </w:pPr>
            <w:r>
              <w:rPr>
                <w:rFonts w:hint="eastAsia"/>
              </w:rPr>
              <w:t>市辖区建成区内城镇既有管道燃气用户总数（包括城镇既有住宅、单位燃气用户）</w:t>
            </w:r>
          </w:p>
        </w:tc>
        <w:tc>
          <w:tcPr>
            <w:tcW w:w="1490" w:type="pct"/>
            <w:vMerge w:val="continue"/>
            <w:shd w:val="clear" w:color="auto" w:fill="auto"/>
            <w:vAlign w:val="center"/>
          </w:tcPr>
          <w:p w14:paraId="00BEC926">
            <w:pPr>
              <w:pStyle w:val="41"/>
              <w:rPr>
                <w:rFonts w:hint="eastAsia"/>
              </w:rPr>
            </w:pPr>
          </w:p>
        </w:tc>
        <w:tc>
          <w:tcPr>
            <w:tcW w:w="1101" w:type="pct"/>
            <w:vMerge w:val="continue"/>
            <w:shd w:val="clear" w:color="auto" w:fill="auto"/>
            <w:vAlign w:val="center"/>
          </w:tcPr>
          <w:p w14:paraId="3237688F">
            <w:pPr>
              <w:pStyle w:val="41"/>
              <w:rPr>
                <w:rFonts w:hint="eastAsia"/>
              </w:rPr>
            </w:pPr>
          </w:p>
        </w:tc>
      </w:tr>
      <w:tr w14:paraId="5F202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7832AF6B">
            <w:pPr>
              <w:pStyle w:val="41"/>
              <w:rPr>
                <w:rFonts w:hint="eastAsia"/>
              </w:rPr>
            </w:pPr>
          </w:p>
        </w:tc>
        <w:tc>
          <w:tcPr>
            <w:tcW w:w="340" w:type="pct"/>
            <w:vMerge w:val="restart"/>
            <w:shd w:val="clear" w:color="auto" w:fill="auto"/>
            <w:vAlign w:val="center"/>
          </w:tcPr>
          <w:p w14:paraId="4B80967E">
            <w:pPr>
              <w:pStyle w:val="41"/>
              <w:rPr>
                <w:rFonts w:hint="eastAsia"/>
              </w:rPr>
            </w:pPr>
            <w:r>
              <w:rPr>
                <w:rFonts w:hint="eastAsia"/>
              </w:rPr>
              <w:t>2</w:t>
            </w:r>
          </w:p>
        </w:tc>
        <w:tc>
          <w:tcPr>
            <w:tcW w:w="511" w:type="pct"/>
            <w:vMerge w:val="restart"/>
            <w:shd w:val="clear" w:color="auto" w:fill="auto"/>
            <w:vAlign w:val="center"/>
          </w:tcPr>
          <w:p w14:paraId="1F1A3053">
            <w:pPr>
              <w:pStyle w:val="41"/>
              <w:rPr>
                <w:rFonts w:hint="eastAsia"/>
              </w:rPr>
            </w:pPr>
            <w:r>
              <w:rPr>
                <w:rFonts w:hint="eastAsia"/>
              </w:rPr>
              <w:t>燃气管道地面标志标识缺失率（%）</w:t>
            </w:r>
          </w:p>
        </w:tc>
        <w:tc>
          <w:tcPr>
            <w:tcW w:w="1261" w:type="pct"/>
            <w:shd w:val="clear" w:color="auto" w:fill="auto"/>
            <w:vAlign w:val="center"/>
          </w:tcPr>
          <w:p w14:paraId="4ABC9DBE">
            <w:pPr>
              <w:pStyle w:val="41"/>
              <w:rPr>
                <w:rFonts w:hint="eastAsia"/>
              </w:rPr>
            </w:pPr>
            <w:r>
              <w:rPr>
                <w:rFonts w:hint="eastAsia"/>
              </w:rPr>
              <w:t>市辖区建成区内燃气管道地面标志在内容、位置、颜色、尺寸以及维护方面存在问题的数量</w:t>
            </w:r>
          </w:p>
        </w:tc>
        <w:tc>
          <w:tcPr>
            <w:tcW w:w="1490" w:type="pct"/>
            <w:vMerge w:val="restart"/>
            <w:shd w:val="clear" w:color="auto" w:fill="auto"/>
            <w:vAlign w:val="center"/>
          </w:tcPr>
          <w:p w14:paraId="40FC67B4">
            <w:pPr>
              <w:pStyle w:val="41"/>
              <w:rPr>
                <w:rFonts w:hint="eastAsia"/>
              </w:rPr>
            </w:pPr>
            <w:r>
              <w:rPr>
                <w:rFonts w:hint="eastAsia"/>
              </w:rPr>
              <w:t>调查市辖区建成区内燃气管道地面标志在内容、位置、颜色、尺寸以及维护方面存在问题的数量占建成区既有标识的百分比。</w:t>
            </w:r>
          </w:p>
        </w:tc>
        <w:tc>
          <w:tcPr>
            <w:tcW w:w="1101" w:type="pct"/>
            <w:vMerge w:val="restart"/>
            <w:shd w:val="clear" w:color="auto" w:fill="auto"/>
            <w:vAlign w:val="center"/>
          </w:tcPr>
          <w:p w14:paraId="2E232A86">
            <w:pPr>
              <w:pStyle w:val="41"/>
              <w:rPr>
                <w:rFonts w:hint="eastAsia"/>
              </w:rPr>
            </w:pPr>
            <w:r>
              <w:rPr>
                <w:rFonts w:hint="eastAsia"/>
              </w:rPr>
              <w:t>市住建局、官方统计数据、行业部门调查统计数据、相关燃气经营企业</w:t>
            </w:r>
          </w:p>
          <w:p w14:paraId="1623311F">
            <w:pPr>
              <w:pStyle w:val="41"/>
              <w:rPr>
                <w:rFonts w:hint="eastAsia"/>
              </w:rPr>
            </w:pPr>
          </w:p>
        </w:tc>
      </w:tr>
      <w:tr w14:paraId="4740A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70B6256C">
            <w:pPr>
              <w:pStyle w:val="41"/>
              <w:rPr>
                <w:rFonts w:hint="eastAsia"/>
              </w:rPr>
            </w:pPr>
          </w:p>
        </w:tc>
        <w:tc>
          <w:tcPr>
            <w:tcW w:w="340" w:type="pct"/>
            <w:vMerge w:val="continue"/>
            <w:shd w:val="clear" w:color="auto" w:fill="auto"/>
            <w:vAlign w:val="center"/>
          </w:tcPr>
          <w:p w14:paraId="16C697D3">
            <w:pPr>
              <w:pStyle w:val="41"/>
              <w:rPr>
                <w:rFonts w:hint="eastAsia"/>
              </w:rPr>
            </w:pPr>
          </w:p>
        </w:tc>
        <w:tc>
          <w:tcPr>
            <w:tcW w:w="511" w:type="pct"/>
            <w:vMerge w:val="continue"/>
            <w:shd w:val="clear" w:color="auto" w:fill="auto"/>
            <w:vAlign w:val="center"/>
          </w:tcPr>
          <w:p w14:paraId="5BBB293B">
            <w:pPr>
              <w:pStyle w:val="41"/>
              <w:rPr>
                <w:rFonts w:hint="eastAsia"/>
              </w:rPr>
            </w:pPr>
          </w:p>
        </w:tc>
        <w:tc>
          <w:tcPr>
            <w:tcW w:w="1261" w:type="pct"/>
            <w:shd w:val="clear" w:color="auto" w:fill="auto"/>
            <w:vAlign w:val="center"/>
          </w:tcPr>
          <w:p w14:paraId="3629A363">
            <w:pPr>
              <w:pStyle w:val="41"/>
              <w:rPr>
                <w:rFonts w:hint="eastAsia"/>
              </w:rPr>
            </w:pPr>
            <w:r>
              <w:rPr>
                <w:rFonts w:hint="eastAsia"/>
              </w:rPr>
              <w:t>市辖区建成区内燃气管道地面标识总数量</w:t>
            </w:r>
          </w:p>
        </w:tc>
        <w:tc>
          <w:tcPr>
            <w:tcW w:w="1490" w:type="pct"/>
            <w:vMerge w:val="continue"/>
            <w:shd w:val="clear" w:color="auto" w:fill="auto"/>
            <w:vAlign w:val="center"/>
          </w:tcPr>
          <w:p w14:paraId="766DD677">
            <w:pPr>
              <w:pStyle w:val="41"/>
              <w:rPr>
                <w:rFonts w:hint="eastAsia"/>
              </w:rPr>
            </w:pPr>
          </w:p>
        </w:tc>
        <w:tc>
          <w:tcPr>
            <w:tcW w:w="1101" w:type="pct"/>
            <w:vMerge w:val="continue"/>
            <w:shd w:val="clear" w:color="auto" w:fill="auto"/>
            <w:vAlign w:val="center"/>
          </w:tcPr>
          <w:p w14:paraId="6EC99AB3">
            <w:pPr>
              <w:pStyle w:val="41"/>
              <w:rPr>
                <w:rFonts w:hint="eastAsia"/>
              </w:rPr>
            </w:pPr>
          </w:p>
        </w:tc>
      </w:tr>
      <w:tr w14:paraId="7E161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17716180">
            <w:pPr>
              <w:pStyle w:val="41"/>
              <w:rPr>
                <w:rFonts w:hint="eastAsia"/>
              </w:rPr>
            </w:pPr>
          </w:p>
        </w:tc>
        <w:tc>
          <w:tcPr>
            <w:tcW w:w="340" w:type="pct"/>
            <w:vMerge w:val="restart"/>
            <w:shd w:val="clear" w:color="auto" w:fill="auto"/>
            <w:vAlign w:val="center"/>
          </w:tcPr>
          <w:p w14:paraId="73B6184E">
            <w:pPr>
              <w:pStyle w:val="41"/>
              <w:rPr>
                <w:rFonts w:hint="eastAsia"/>
              </w:rPr>
            </w:pPr>
            <w:r>
              <w:rPr>
                <w:rFonts w:hint="eastAsia"/>
              </w:rPr>
              <w:t>3</w:t>
            </w:r>
          </w:p>
        </w:tc>
        <w:tc>
          <w:tcPr>
            <w:tcW w:w="511" w:type="pct"/>
            <w:vMerge w:val="restart"/>
            <w:shd w:val="clear" w:color="auto" w:fill="auto"/>
            <w:vAlign w:val="center"/>
          </w:tcPr>
          <w:p w14:paraId="2BCF5A01">
            <w:pPr>
              <w:pStyle w:val="41"/>
              <w:rPr>
                <w:rFonts w:hint="eastAsia"/>
              </w:rPr>
            </w:pPr>
            <w:r>
              <w:rPr>
                <w:rFonts w:hint="eastAsia"/>
              </w:rPr>
              <w:t>管道燃气覆盖率（%）</w:t>
            </w:r>
          </w:p>
        </w:tc>
        <w:tc>
          <w:tcPr>
            <w:tcW w:w="1261" w:type="pct"/>
            <w:shd w:val="clear" w:color="auto" w:fill="auto"/>
            <w:vAlign w:val="center"/>
          </w:tcPr>
          <w:p w14:paraId="4CBCA0F8">
            <w:pPr>
              <w:pStyle w:val="41"/>
              <w:rPr>
                <w:rFonts w:hint="eastAsia"/>
              </w:rPr>
            </w:pPr>
            <w:r>
              <w:rPr>
                <w:rFonts w:hint="eastAsia"/>
              </w:rPr>
              <w:t>市辖区建成区内实际铺设的燃气管道网络覆盖区域面积</w:t>
            </w:r>
          </w:p>
        </w:tc>
        <w:tc>
          <w:tcPr>
            <w:tcW w:w="1490" w:type="pct"/>
            <w:vMerge w:val="restart"/>
            <w:shd w:val="clear" w:color="auto" w:fill="auto"/>
            <w:vAlign w:val="center"/>
          </w:tcPr>
          <w:p w14:paraId="7B78244E">
            <w:pPr>
              <w:pStyle w:val="41"/>
              <w:rPr>
                <w:rFonts w:hint="eastAsia"/>
              </w:rPr>
            </w:pPr>
            <w:r>
              <w:rPr>
                <w:rFonts w:hint="eastAsia"/>
              </w:rPr>
              <w:t>调查分析市辖区内实际铺设的燃气管道网络覆盖区域面积与建成区总面积的百分比。</w:t>
            </w:r>
          </w:p>
        </w:tc>
        <w:tc>
          <w:tcPr>
            <w:tcW w:w="1101" w:type="pct"/>
            <w:vMerge w:val="restart"/>
            <w:shd w:val="clear" w:color="auto" w:fill="auto"/>
            <w:vAlign w:val="center"/>
          </w:tcPr>
          <w:p w14:paraId="4B15B8D9">
            <w:pPr>
              <w:pStyle w:val="41"/>
              <w:rPr>
                <w:rFonts w:hint="eastAsia"/>
              </w:rPr>
            </w:pPr>
            <w:r>
              <w:rPr>
                <w:rFonts w:hint="eastAsia"/>
              </w:rPr>
              <w:t>市住建局、官方统计数据、行业部门调查统计数据、相关燃气经营企业</w:t>
            </w:r>
          </w:p>
          <w:p w14:paraId="1B61480F">
            <w:pPr>
              <w:pStyle w:val="41"/>
              <w:rPr>
                <w:rFonts w:hint="eastAsia"/>
              </w:rPr>
            </w:pPr>
          </w:p>
        </w:tc>
      </w:tr>
      <w:tr w14:paraId="5EB7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30A96C8E">
            <w:pPr>
              <w:pStyle w:val="41"/>
              <w:rPr>
                <w:rFonts w:hint="eastAsia"/>
              </w:rPr>
            </w:pPr>
          </w:p>
        </w:tc>
        <w:tc>
          <w:tcPr>
            <w:tcW w:w="340" w:type="pct"/>
            <w:vMerge w:val="continue"/>
            <w:shd w:val="clear" w:color="auto" w:fill="auto"/>
            <w:vAlign w:val="center"/>
          </w:tcPr>
          <w:p w14:paraId="6EB65C13">
            <w:pPr>
              <w:pStyle w:val="41"/>
              <w:rPr>
                <w:rFonts w:hint="eastAsia"/>
              </w:rPr>
            </w:pPr>
          </w:p>
        </w:tc>
        <w:tc>
          <w:tcPr>
            <w:tcW w:w="511" w:type="pct"/>
            <w:vMerge w:val="continue"/>
            <w:shd w:val="clear" w:color="auto" w:fill="auto"/>
            <w:vAlign w:val="center"/>
          </w:tcPr>
          <w:p w14:paraId="64F73298">
            <w:pPr>
              <w:pStyle w:val="41"/>
              <w:rPr>
                <w:rFonts w:hint="eastAsia"/>
              </w:rPr>
            </w:pPr>
          </w:p>
        </w:tc>
        <w:tc>
          <w:tcPr>
            <w:tcW w:w="1261" w:type="pct"/>
            <w:shd w:val="clear" w:color="auto" w:fill="auto"/>
            <w:vAlign w:val="center"/>
          </w:tcPr>
          <w:p w14:paraId="7A5CEE6C">
            <w:pPr>
              <w:pStyle w:val="41"/>
              <w:rPr>
                <w:rFonts w:hint="eastAsia"/>
              </w:rPr>
            </w:pPr>
            <w:r>
              <w:rPr>
                <w:rFonts w:hint="eastAsia"/>
              </w:rPr>
              <w:t>市辖区建成区面积</w:t>
            </w:r>
          </w:p>
        </w:tc>
        <w:tc>
          <w:tcPr>
            <w:tcW w:w="1490" w:type="pct"/>
            <w:vMerge w:val="continue"/>
            <w:shd w:val="clear" w:color="auto" w:fill="auto"/>
            <w:vAlign w:val="center"/>
          </w:tcPr>
          <w:p w14:paraId="5A339314">
            <w:pPr>
              <w:pStyle w:val="41"/>
              <w:rPr>
                <w:rFonts w:hint="eastAsia"/>
              </w:rPr>
            </w:pPr>
          </w:p>
        </w:tc>
        <w:tc>
          <w:tcPr>
            <w:tcW w:w="1101" w:type="pct"/>
            <w:vMerge w:val="continue"/>
            <w:shd w:val="clear" w:color="auto" w:fill="auto"/>
            <w:vAlign w:val="center"/>
          </w:tcPr>
          <w:p w14:paraId="079E4B33">
            <w:pPr>
              <w:pStyle w:val="41"/>
              <w:rPr>
                <w:rFonts w:hint="eastAsia"/>
              </w:rPr>
            </w:pPr>
          </w:p>
        </w:tc>
      </w:tr>
      <w:tr w14:paraId="768D4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424308E4">
            <w:pPr>
              <w:pStyle w:val="41"/>
              <w:rPr>
                <w:rFonts w:hint="eastAsia"/>
              </w:rPr>
            </w:pPr>
          </w:p>
        </w:tc>
        <w:tc>
          <w:tcPr>
            <w:tcW w:w="340" w:type="pct"/>
            <w:vMerge w:val="restart"/>
            <w:shd w:val="clear" w:color="auto" w:fill="auto"/>
            <w:vAlign w:val="center"/>
          </w:tcPr>
          <w:p w14:paraId="20B8F224">
            <w:pPr>
              <w:pStyle w:val="41"/>
              <w:rPr>
                <w:rFonts w:hint="eastAsia"/>
              </w:rPr>
            </w:pPr>
            <w:r>
              <w:rPr>
                <w:rFonts w:hint="eastAsia"/>
              </w:rPr>
              <w:t>4</w:t>
            </w:r>
          </w:p>
        </w:tc>
        <w:tc>
          <w:tcPr>
            <w:tcW w:w="511" w:type="pct"/>
            <w:vMerge w:val="restart"/>
            <w:shd w:val="clear" w:color="auto" w:fill="auto"/>
            <w:vAlign w:val="center"/>
          </w:tcPr>
          <w:p w14:paraId="722E0459">
            <w:pPr>
              <w:pStyle w:val="41"/>
              <w:rPr>
                <w:rFonts w:hint="eastAsia"/>
              </w:rPr>
            </w:pPr>
            <w:r>
              <w:rPr>
                <w:rFonts w:hint="eastAsia"/>
              </w:rPr>
              <w:t>非法占压燃气管道数量（%）</w:t>
            </w:r>
          </w:p>
        </w:tc>
        <w:tc>
          <w:tcPr>
            <w:tcW w:w="1261" w:type="pct"/>
            <w:shd w:val="clear" w:color="auto" w:fill="auto"/>
            <w:vAlign w:val="center"/>
          </w:tcPr>
          <w:p w14:paraId="6A69D027">
            <w:pPr>
              <w:pStyle w:val="41"/>
              <w:rPr>
                <w:rFonts w:hint="eastAsia"/>
              </w:rPr>
            </w:pPr>
            <w:r>
              <w:rPr>
                <w:rFonts w:hint="eastAsia"/>
              </w:rPr>
              <w:t>市辖区建成区内非法占压燃气管道数量</w:t>
            </w:r>
          </w:p>
        </w:tc>
        <w:tc>
          <w:tcPr>
            <w:tcW w:w="1490" w:type="pct"/>
            <w:vMerge w:val="restart"/>
            <w:shd w:val="clear" w:color="auto" w:fill="auto"/>
            <w:vAlign w:val="center"/>
          </w:tcPr>
          <w:p w14:paraId="786351E3">
            <w:pPr>
              <w:pStyle w:val="41"/>
              <w:rPr>
                <w:rFonts w:hint="eastAsia"/>
              </w:rPr>
            </w:pPr>
            <w:r>
              <w:rPr>
                <w:rFonts w:hint="eastAsia"/>
              </w:rPr>
              <w:t>调查分析市辖区内非法占压燃气管道数量与建成区管道总数量的百分比。</w:t>
            </w:r>
          </w:p>
        </w:tc>
        <w:tc>
          <w:tcPr>
            <w:tcW w:w="1101" w:type="pct"/>
            <w:vMerge w:val="restart"/>
            <w:shd w:val="clear" w:color="auto" w:fill="auto"/>
            <w:vAlign w:val="center"/>
          </w:tcPr>
          <w:p w14:paraId="15497CFC">
            <w:pPr>
              <w:pStyle w:val="41"/>
              <w:rPr>
                <w:rFonts w:hint="eastAsia"/>
              </w:rPr>
            </w:pPr>
            <w:r>
              <w:rPr>
                <w:rFonts w:hint="eastAsia"/>
              </w:rPr>
              <w:t>市住建局、官方统计数据、行业部门调查统计数据、相关燃气经营企业</w:t>
            </w:r>
          </w:p>
          <w:p w14:paraId="3F4C8B6A">
            <w:pPr>
              <w:pStyle w:val="41"/>
              <w:rPr>
                <w:rFonts w:hint="eastAsia"/>
              </w:rPr>
            </w:pPr>
          </w:p>
        </w:tc>
      </w:tr>
      <w:tr w14:paraId="721D7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23EB2E57">
            <w:pPr>
              <w:pStyle w:val="41"/>
              <w:rPr>
                <w:rFonts w:hint="eastAsia"/>
              </w:rPr>
            </w:pPr>
          </w:p>
        </w:tc>
        <w:tc>
          <w:tcPr>
            <w:tcW w:w="340" w:type="pct"/>
            <w:vMerge w:val="continue"/>
            <w:shd w:val="clear" w:color="auto" w:fill="auto"/>
            <w:vAlign w:val="center"/>
          </w:tcPr>
          <w:p w14:paraId="105D9181">
            <w:pPr>
              <w:pStyle w:val="41"/>
              <w:rPr>
                <w:rFonts w:hint="eastAsia"/>
              </w:rPr>
            </w:pPr>
          </w:p>
        </w:tc>
        <w:tc>
          <w:tcPr>
            <w:tcW w:w="511" w:type="pct"/>
            <w:vMerge w:val="continue"/>
            <w:shd w:val="clear" w:color="auto" w:fill="auto"/>
            <w:vAlign w:val="center"/>
          </w:tcPr>
          <w:p w14:paraId="70A3C9CB">
            <w:pPr>
              <w:pStyle w:val="41"/>
              <w:rPr>
                <w:rFonts w:hint="eastAsia"/>
              </w:rPr>
            </w:pPr>
          </w:p>
        </w:tc>
        <w:tc>
          <w:tcPr>
            <w:tcW w:w="1261" w:type="pct"/>
            <w:shd w:val="clear" w:color="auto" w:fill="auto"/>
            <w:vAlign w:val="center"/>
          </w:tcPr>
          <w:p w14:paraId="568158F8">
            <w:pPr>
              <w:pStyle w:val="41"/>
              <w:rPr>
                <w:rFonts w:hint="eastAsia"/>
              </w:rPr>
            </w:pPr>
            <w:r>
              <w:rPr>
                <w:rFonts w:hint="eastAsia"/>
              </w:rPr>
              <w:t>市辖区建成区内的管道总数量</w:t>
            </w:r>
          </w:p>
        </w:tc>
        <w:tc>
          <w:tcPr>
            <w:tcW w:w="1490" w:type="pct"/>
            <w:vMerge w:val="continue"/>
            <w:shd w:val="clear" w:color="auto" w:fill="auto"/>
            <w:vAlign w:val="center"/>
          </w:tcPr>
          <w:p w14:paraId="3B3F1569">
            <w:pPr>
              <w:pStyle w:val="41"/>
              <w:rPr>
                <w:rFonts w:hint="eastAsia"/>
              </w:rPr>
            </w:pPr>
          </w:p>
        </w:tc>
        <w:tc>
          <w:tcPr>
            <w:tcW w:w="1101" w:type="pct"/>
            <w:vMerge w:val="continue"/>
            <w:shd w:val="clear" w:color="auto" w:fill="auto"/>
            <w:vAlign w:val="center"/>
          </w:tcPr>
          <w:p w14:paraId="7E252586">
            <w:pPr>
              <w:pStyle w:val="41"/>
              <w:rPr>
                <w:rFonts w:hint="eastAsia"/>
              </w:rPr>
            </w:pPr>
          </w:p>
        </w:tc>
      </w:tr>
      <w:tr w14:paraId="7C29A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95" w:type="pct"/>
            <w:vMerge w:val="continue"/>
            <w:shd w:val="clear" w:color="auto" w:fill="auto"/>
            <w:vAlign w:val="center"/>
          </w:tcPr>
          <w:p w14:paraId="6E926448">
            <w:pPr>
              <w:pStyle w:val="41"/>
              <w:rPr>
                <w:rFonts w:hint="eastAsia"/>
              </w:rPr>
            </w:pPr>
          </w:p>
        </w:tc>
        <w:tc>
          <w:tcPr>
            <w:tcW w:w="340" w:type="pct"/>
            <w:vMerge w:val="restart"/>
            <w:shd w:val="clear" w:color="auto" w:fill="auto"/>
            <w:vAlign w:val="center"/>
          </w:tcPr>
          <w:p w14:paraId="011E0F3A">
            <w:pPr>
              <w:pStyle w:val="41"/>
              <w:rPr>
                <w:rFonts w:hint="eastAsia"/>
              </w:rPr>
            </w:pPr>
            <w:r>
              <w:rPr>
                <w:rFonts w:hint="eastAsia"/>
              </w:rPr>
              <w:t>5</w:t>
            </w:r>
          </w:p>
        </w:tc>
        <w:tc>
          <w:tcPr>
            <w:tcW w:w="511" w:type="pct"/>
            <w:vMerge w:val="restart"/>
            <w:shd w:val="clear" w:color="auto" w:fill="auto"/>
            <w:vAlign w:val="center"/>
          </w:tcPr>
          <w:p w14:paraId="793ADB4A">
            <w:pPr>
              <w:pStyle w:val="41"/>
              <w:rPr>
                <w:rFonts w:hint="eastAsia"/>
              </w:rPr>
            </w:pPr>
            <w:r>
              <w:rPr>
                <w:rFonts w:hint="eastAsia"/>
              </w:rPr>
              <w:t>餐饮等行业可燃气体报警装置安装率（%）</w:t>
            </w:r>
          </w:p>
        </w:tc>
        <w:tc>
          <w:tcPr>
            <w:tcW w:w="1261" w:type="pct"/>
            <w:shd w:val="clear" w:color="auto" w:fill="auto"/>
            <w:vAlign w:val="center"/>
          </w:tcPr>
          <w:p w14:paraId="61FBA110">
            <w:pPr>
              <w:pStyle w:val="41"/>
              <w:rPr>
                <w:rFonts w:hint="eastAsia"/>
              </w:rPr>
            </w:pPr>
            <w:r>
              <w:rPr>
                <w:rFonts w:hint="eastAsia"/>
              </w:rPr>
              <w:t>市辖区内餐饮等行业安装可燃气体报警装置的商户数量</w:t>
            </w:r>
          </w:p>
        </w:tc>
        <w:tc>
          <w:tcPr>
            <w:tcW w:w="1490" w:type="pct"/>
            <w:vMerge w:val="restart"/>
            <w:shd w:val="clear" w:color="auto" w:fill="auto"/>
            <w:vAlign w:val="center"/>
          </w:tcPr>
          <w:p w14:paraId="0D5EDFDF">
            <w:pPr>
              <w:pStyle w:val="41"/>
              <w:rPr>
                <w:rFonts w:hint="eastAsia"/>
              </w:rPr>
            </w:pPr>
            <w:r>
              <w:rPr>
                <w:rFonts w:hint="eastAsia"/>
              </w:rPr>
              <w:t>调查市辖区内餐饮等行业可燃气体报警装置安装的商户与餐饮行业内所有商户的百分比。</w:t>
            </w:r>
          </w:p>
        </w:tc>
        <w:tc>
          <w:tcPr>
            <w:tcW w:w="1101" w:type="pct"/>
            <w:vMerge w:val="restart"/>
            <w:shd w:val="clear" w:color="auto" w:fill="auto"/>
            <w:vAlign w:val="center"/>
          </w:tcPr>
          <w:p w14:paraId="0BBF278F">
            <w:pPr>
              <w:pStyle w:val="41"/>
              <w:rPr>
                <w:rFonts w:hint="eastAsia"/>
              </w:rPr>
            </w:pPr>
            <w:r>
              <w:rPr>
                <w:rFonts w:hint="eastAsia"/>
              </w:rPr>
              <w:t>市住建局、官方统计数据、行业部门调查统计数据、相关燃气经营企业</w:t>
            </w:r>
          </w:p>
          <w:p w14:paraId="3F5D5F9B">
            <w:pPr>
              <w:pStyle w:val="41"/>
              <w:rPr>
                <w:rFonts w:hint="eastAsia"/>
              </w:rPr>
            </w:pPr>
          </w:p>
        </w:tc>
      </w:tr>
      <w:tr w14:paraId="6DDA3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95" w:type="pct"/>
            <w:vMerge w:val="continue"/>
            <w:shd w:val="clear" w:color="auto" w:fill="auto"/>
            <w:vAlign w:val="center"/>
          </w:tcPr>
          <w:p w14:paraId="643EEB77">
            <w:pPr>
              <w:pStyle w:val="41"/>
              <w:rPr>
                <w:rFonts w:hint="eastAsia"/>
              </w:rPr>
            </w:pPr>
          </w:p>
        </w:tc>
        <w:tc>
          <w:tcPr>
            <w:tcW w:w="340" w:type="pct"/>
            <w:vMerge w:val="continue"/>
            <w:shd w:val="clear" w:color="auto" w:fill="auto"/>
            <w:vAlign w:val="center"/>
          </w:tcPr>
          <w:p w14:paraId="5CDC15B6">
            <w:pPr>
              <w:pStyle w:val="41"/>
              <w:rPr>
                <w:rFonts w:hint="eastAsia"/>
              </w:rPr>
            </w:pPr>
          </w:p>
        </w:tc>
        <w:tc>
          <w:tcPr>
            <w:tcW w:w="511" w:type="pct"/>
            <w:vMerge w:val="continue"/>
            <w:shd w:val="clear" w:color="auto" w:fill="auto"/>
            <w:vAlign w:val="center"/>
          </w:tcPr>
          <w:p w14:paraId="0239CD06">
            <w:pPr>
              <w:pStyle w:val="41"/>
              <w:rPr>
                <w:rFonts w:hint="eastAsia"/>
              </w:rPr>
            </w:pPr>
          </w:p>
        </w:tc>
        <w:tc>
          <w:tcPr>
            <w:tcW w:w="1261" w:type="pct"/>
            <w:shd w:val="clear" w:color="auto" w:fill="auto"/>
            <w:vAlign w:val="center"/>
          </w:tcPr>
          <w:p w14:paraId="7E7B13DA">
            <w:pPr>
              <w:pStyle w:val="41"/>
              <w:rPr>
                <w:rFonts w:hint="eastAsia"/>
              </w:rPr>
            </w:pPr>
            <w:r>
              <w:rPr>
                <w:rFonts w:hint="eastAsia"/>
              </w:rPr>
              <w:t>市辖区建成区内餐饮等行业所有商户的数量</w:t>
            </w:r>
          </w:p>
        </w:tc>
        <w:tc>
          <w:tcPr>
            <w:tcW w:w="1490" w:type="pct"/>
            <w:vMerge w:val="continue"/>
            <w:shd w:val="clear" w:color="auto" w:fill="auto"/>
            <w:vAlign w:val="center"/>
          </w:tcPr>
          <w:p w14:paraId="52B586A3">
            <w:pPr>
              <w:pStyle w:val="41"/>
              <w:rPr>
                <w:rFonts w:hint="eastAsia"/>
              </w:rPr>
            </w:pPr>
          </w:p>
        </w:tc>
        <w:tc>
          <w:tcPr>
            <w:tcW w:w="1101" w:type="pct"/>
            <w:vMerge w:val="continue"/>
            <w:shd w:val="clear" w:color="auto" w:fill="auto"/>
            <w:vAlign w:val="center"/>
          </w:tcPr>
          <w:p w14:paraId="18FAF01C">
            <w:pPr>
              <w:pStyle w:val="41"/>
              <w:rPr>
                <w:rFonts w:hint="eastAsia"/>
              </w:rPr>
            </w:pPr>
          </w:p>
        </w:tc>
      </w:tr>
      <w:tr w14:paraId="0EAC5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6714FE15">
            <w:pPr>
              <w:pStyle w:val="41"/>
              <w:rPr>
                <w:rFonts w:hint="eastAsia"/>
              </w:rPr>
            </w:pPr>
          </w:p>
        </w:tc>
        <w:tc>
          <w:tcPr>
            <w:tcW w:w="340" w:type="pct"/>
            <w:vMerge w:val="restart"/>
            <w:shd w:val="clear" w:color="auto" w:fill="auto"/>
            <w:vAlign w:val="center"/>
          </w:tcPr>
          <w:p w14:paraId="2B644791">
            <w:pPr>
              <w:pStyle w:val="41"/>
              <w:rPr>
                <w:rFonts w:hint="eastAsia"/>
              </w:rPr>
            </w:pPr>
            <w:r>
              <w:rPr>
                <w:rFonts w:hint="eastAsia"/>
              </w:rPr>
              <w:t>6</w:t>
            </w:r>
          </w:p>
        </w:tc>
        <w:tc>
          <w:tcPr>
            <w:tcW w:w="511" w:type="pct"/>
            <w:vMerge w:val="restart"/>
            <w:shd w:val="clear" w:color="auto" w:fill="auto"/>
            <w:vAlign w:val="center"/>
          </w:tcPr>
          <w:p w14:paraId="411A5AA5">
            <w:pPr>
              <w:pStyle w:val="41"/>
              <w:rPr>
                <w:rFonts w:hint="eastAsia"/>
              </w:rPr>
            </w:pPr>
            <w:r>
              <w:rPr>
                <w:rFonts w:hint="eastAsia"/>
              </w:rPr>
              <w:t>地下燃气管线普查建档完成率（%）</w:t>
            </w:r>
          </w:p>
        </w:tc>
        <w:tc>
          <w:tcPr>
            <w:tcW w:w="1261" w:type="pct"/>
            <w:shd w:val="clear" w:color="auto" w:fill="auto"/>
            <w:vAlign w:val="center"/>
          </w:tcPr>
          <w:p w14:paraId="2B144508">
            <w:pPr>
              <w:pStyle w:val="41"/>
              <w:rPr>
                <w:rFonts w:hint="eastAsia"/>
              </w:rPr>
            </w:pPr>
            <w:r>
              <w:rPr>
                <w:rFonts w:hint="eastAsia"/>
              </w:rPr>
              <w:t>市辖区建成区内已建档地下燃气管道总长度（或数量）</w:t>
            </w:r>
          </w:p>
        </w:tc>
        <w:tc>
          <w:tcPr>
            <w:tcW w:w="1490" w:type="pct"/>
            <w:vMerge w:val="restart"/>
            <w:shd w:val="clear" w:color="auto" w:fill="auto"/>
            <w:vAlign w:val="center"/>
          </w:tcPr>
          <w:p w14:paraId="43A91C9F">
            <w:pPr>
              <w:pStyle w:val="41"/>
              <w:rPr>
                <w:rFonts w:hint="eastAsia"/>
              </w:rPr>
            </w:pPr>
            <w:r>
              <w:rPr>
                <w:rFonts w:hint="eastAsia"/>
              </w:rPr>
              <w:t>调查市辖区内已建档地下燃气管网总长度（或数量）占建成区内全部地下燃气管网总长度（总数量）的百分比。</w:t>
            </w:r>
          </w:p>
        </w:tc>
        <w:tc>
          <w:tcPr>
            <w:tcW w:w="1101" w:type="pct"/>
            <w:vMerge w:val="restart"/>
            <w:shd w:val="clear" w:color="auto" w:fill="auto"/>
            <w:vAlign w:val="center"/>
          </w:tcPr>
          <w:p w14:paraId="49BBDC00">
            <w:pPr>
              <w:pStyle w:val="41"/>
              <w:rPr>
                <w:rFonts w:hint="eastAsia"/>
              </w:rPr>
            </w:pPr>
            <w:r>
              <w:rPr>
                <w:rFonts w:hint="eastAsia"/>
              </w:rPr>
              <w:t>市住建局、官方统计数据、行业部门调查统计数据、相关燃气经营企业</w:t>
            </w:r>
          </w:p>
          <w:p w14:paraId="46F3B67B">
            <w:pPr>
              <w:pStyle w:val="41"/>
              <w:rPr>
                <w:rFonts w:hint="eastAsia"/>
              </w:rPr>
            </w:pPr>
          </w:p>
        </w:tc>
      </w:tr>
      <w:tr w14:paraId="0AA29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0450D21A">
            <w:pPr>
              <w:pStyle w:val="41"/>
              <w:rPr>
                <w:rFonts w:hint="eastAsia"/>
              </w:rPr>
            </w:pPr>
          </w:p>
        </w:tc>
        <w:tc>
          <w:tcPr>
            <w:tcW w:w="340" w:type="pct"/>
            <w:vMerge w:val="continue"/>
            <w:shd w:val="clear" w:color="auto" w:fill="auto"/>
            <w:vAlign w:val="center"/>
          </w:tcPr>
          <w:p w14:paraId="2B98D73C">
            <w:pPr>
              <w:pStyle w:val="41"/>
              <w:rPr>
                <w:rFonts w:hint="eastAsia"/>
              </w:rPr>
            </w:pPr>
          </w:p>
        </w:tc>
        <w:tc>
          <w:tcPr>
            <w:tcW w:w="511" w:type="pct"/>
            <w:vMerge w:val="continue"/>
            <w:shd w:val="clear" w:color="auto" w:fill="auto"/>
            <w:vAlign w:val="center"/>
          </w:tcPr>
          <w:p w14:paraId="2185DD95">
            <w:pPr>
              <w:pStyle w:val="41"/>
              <w:rPr>
                <w:rFonts w:hint="eastAsia"/>
              </w:rPr>
            </w:pPr>
          </w:p>
        </w:tc>
        <w:tc>
          <w:tcPr>
            <w:tcW w:w="1261" w:type="pct"/>
            <w:shd w:val="clear" w:color="auto" w:fill="auto"/>
            <w:vAlign w:val="center"/>
          </w:tcPr>
          <w:p w14:paraId="27926D3B">
            <w:pPr>
              <w:pStyle w:val="41"/>
              <w:rPr>
                <w:rFonts w:hint="eastAsia"/>
              </w:rPr>
            </w:pPr>
            <w:r>
              <w:rPr>
                <w:rFonts w:hint="eastAsia"/>
              </w:rPr>
              <w:t>市辖区建成区内地下燃气管道总长度（或数量）</w:t>
            </w:r>
          </w:p>
        </w:tc>
        <w:tc>
          <w:tcPr>
            <w:tcW w:w="1490" w:type="pct"/>
            <w:vMerge w:val="continue"/>
            <w:shd w:val="clear" w:color="auto" w:fill="auto"/>
            <w:vAlign w:val="center"/>
          </w:tcPr>
          <w:p w14:paraId="37752A94">
            <w:pPr>
              <w:pStyle w:val="41"/>
              <w:rPr>
                <w:rFonts w:hint="eastAsia"/>
              </w:rPr>
            </w:pPr>
          </w:p>
        </w:tc>
        <w:tc>
          <w:tcPr>
            <w:tcW w:w="1101" w:type="pct"/>
            <w:vMerge w:val="continue"/>
            <w:shd w:val="clear" w:color="auto" w:fill="auto"/>
            <w:vAlign w:val="center"/>
          </w:tcPr>
          <w:p w14:paraId="24EF47CF">
            <w:pPr>
              <w:pStyle w:val="41"/>
              <w:rPr>
                <w:rFonts w:hint="eastAsia"/>
              </w:rPr>
            </w:pPr>
          </w:p>
        </w:tc>
      </w:tr>
      <w:tr w14:paraId="558FC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1A17D933">
            <w:pPr>
              <w:pStyle w:val="41"/>
              <w:rPr>
                <w:rFonts w:hint="eastAsia"/>
              </w:rPr>
            </w:pPr>
          </w:p>
        </w:tc>
        <w:tc>
          <w:tcPr>
            <w:tcW w:w="340" w:type="pct"/>
            <w:vMerge w:val="restart"/>
            <w:shd w:val="clear" w:color="auto" w:fill="auto"/>
            <w:vAlign w:val="center"/>
          </w:tcPr>
          <w:p w14:paraId="1FF43EC3">
            <w:pPr>
              <w:pStyle w:val="41"/>
              <w:rPr>
                <w:rFonts w:hint="eastAsia"/>
              </w:rPr>
            </w:pPr>
            <w:r>
              <w:rPr>
                <w:rFonts w:hint="eastAsia"/>
              </w:rPr>
              <w:t>7</w:t>
            </w:r>
          </w:p>
        </w:tc>
        <w:tc>
          <w:tcPr>
            <w:tcW w:w="511" w:type="pct"/>
            <w:vMerge w:val="restart"/>
            <w:shd w:val="clear" w:color="auto" w:fill="auto"/>
            <w:vAlign w:val="center"/>
          </w:tcPr>
          <w:p w14:paraId="78189262">
            <w:pPr>
              <w:pStyle w:val="41"/>
              <w:rPr>
                <w:rFonts w:hint="eastAsia"/>
              </w:rPr>
            </w:pPr>
            <w:r>
              <w:rPr>
                <w:rFonts w:hint="eastAsia"/>
              </w:rPr>
              <w:t>燃气管线信息化监测覆盖率（%）</w:t>
            </w:r>
          </w:p>
        </w:tc>
        <w:tc>
          <w:tcPr>
            <w:tcW w:w="1261" w:type="pct"/>
            <w:shd w:val="clear" w:color="auto" w:fill="auto"/>
            <w:vAlign w:val="center"/>
          </w:tcPr>
          <w:p w14:paraId="61B4A7BF">
            <w:pPr>
              <w:pStyle w:val="41"/>
              <w:rPr>
                <w:rFonts w:hint="eastAsia"/>
              </w:rPr>
            </w:pPr>
            <w:r>
              <w:rPr>
                <w:rFonts w:hint="eastAsia"/>
              </w:rPr>
              <w:t>市辖区内已安装了信息化监测设备的燃气管道监测点数量</w:t>
            </w:r>
          </w:p>
        </w:tc>
        <w:tc>
          <w:tcPr>
            <w:tcW w:w="1490" w:type="pct"/>
            <w:vMerge w:val="restart"/>
            <w:shd w:val="clear" w:color="auto" w:fill="auto"/>
            <w:vAlign w:val="center"/>
          </w:tcPr>
          <w:p w14:paraId="6A9424D3">
            <w:pPr>
              <w:pStyle w:val="41"/>
              <w:rPr>
                <w:rFonts w:hint="eastAsia"/>
              </w:rPr>
            </w:pPr>
            <w:r>
              <w:rPr>
                <w:rFonts w:hint="eastAsia"/>
              </w:rPr>
              <w:t>调查市辖区内已安装了信息化监测设备的燃气管道监测点数量和已安装了信息化监测设备的燃气管道网络总长度与燃气管道网络总长度的百分比。</w:t>
            </w:r>
          </w:p>
        </w:tc>
        <w:tc>
          <w:tcPr>
            <w:tcW w:w="1101" w:type="pct"/>
            <w:vMerge w:val="restart"/>
            <w:shd w:val="clear" w:color="auto" w:fill="auto"/>
            <w:vAlign w:val="center"/>
          </w:tcPr>
          <w:p w14:paraId="505595B5">
            <w:pPr>
              <w:pStyle w:val="41"/>
              <w:rPr>
                <w:rFonts w:hint="eastAsia"/>
              </w:rPr>
            </w:pPr>
            <w:r>
              <w:rPr>
                <w:rFonts w:hint="eastAsia"/>
              </w:rPr>
              <w:t>市住建局、官方统计数据、行业部门调查统计数据、相关燃气经营企业</w:t>
            </w:r>
          </w:p>
          <w:p w14:paraId="7E5D1F89">
            <w:pPr>
              <w:pStyle w:val="41"/>
              <w:rPr>
                <w:rFonts w:hint="eastAsia"/>
              </w:rPr>
            </w:pPr>
          </w:p>
        </w:tc>
      </w:tr>
      <w:tr w14:paraId="67204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95" w:type="pct"/>
            <w:vMerge w:val="continue"/>
            <w:shd w:val="clear" w:color="auto" w:fill="auto"/>
            <w:vAlign w:val="center"/>
          </w:tcPr>
          <w:p w14:paraId="071FF301">
            <w:pPr>
              <w:pStyle w:val="41"/>
              <w:rPr>
                <w:rFonts w:hint="eastAsia"/>
              </w:rPr>
            </w:pPr>
          </w:p>
        </w:tc>
        <w:tc>
          <w:tcPr>
            <w:tcW w:w="340" w:type="pct"/>
            <w:vMerge w:val="continue"/>
            <w:shd w:val="clear" w:color="auto" w:fill="auto"/>
            <w:vAlign w:val="center"/>
          </w:tcPr>
          <w:p w14:paraId="6FBA2DF3">
            <w:pPr>
              <w:pStyle w:val="41"/>
              <w:rPr>
                <w:rFonts w:hint="eastAsia"/>
              </w:rPr>
            </w:pPr>
          </w:p>
        </w:tc>
        <w:tc>
          <w:tcPr>
            <w:tcW w:w="511" w:type="pct"/>
            <w:vMerge w:val="continue"/>
            <w:shd w:val="clear" w:color="auto" w:fill="auto"/>
            <w:vAlign w:val="center"/>
          </w:tcPr>
          <w:p w14:paraId="5481B325">
            <w:pPr>
              <w:pStyle w:val="41"/>
              <w:rPr>
                <w:rFonts w:hint="eastAsia"/>
              </w:rPr>
            </w:pPr>
          </w:p>
        </w:tc>
        <w:tc>
          <w:tcPr>
            <w:tcW w:w="1261" w:type="pct"/>
            <w:shd w:val="clear" w:color="auto" w:fill="auto"/>
            <w:vAlign w:val="center"/>
          </w:tcPr>
          <w:p w14:paraId="0EC273A0">
            <w:pPr>
              <w:pStyle w:val="41"/>
              <w:rPr>
                <w:rFonts w:hint="eastAsia"/>
              </w:rPr>
            </w:pPr>
            <w:r>
              <w:rPr>
                <w:rFonts w:hint="eastAsia"/>
              </w:rPr>
              <w:t>市辖区建成区内已安装了信息化监测设备的燃气管道网络总长度</w:t>
            </w:r>
          </w:p>
        </w:tc>
        <w:tc>
          <w:tcPr>
            <w:tcW w:w="1490" w:type="pct"/>
            <w:vMerge w:val="continue"/>
            <w:shd w:val="clear" w:color="auto" w:fill="auto"/>
            <w:vAlign w:val="center"/>
          </w:tcPr>
          <w:p w14:paraId="54DA8B27">
            <w:pPr>
              <w:pStyle w:val="41"/>
              <w:rPr>
                <w:rFonts w:hint="eastAsia"/>
              </w:rPr>
            </w:pPr>
          </w:p>
        </w:tc>
        <w:tc>
          <w:tcPr>
            <w:tcW w:w="1101" w:type="pct"/>
            <w:vMerge w:val="continue"/>
            <w:shd w:val="clear" w:color="auto" w:fill="auto"/>
            <w:vAlign w:val="center"/>
          </w:tcPr>
          <w:p w14:paraId="5F1942B0">
            <w:pPr>
              <w:pStyle w:val="41"/>
              <w:rPr>
                <w:rFonts w:hint="eastAsia"/>
              </w:rPr>
            </w:pPr>
          </w:p>
        </w:tc>
      </w:tr>
      <w:tr w14:paraId="5E043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295" w:type="pct"/>
            <w:vMerge w:val="continue"/>
            <w:shd w:val="clear" w:color="auto" w:fill="auto"/>
            <w:vAlign w:val="center"/>
          </w:tcPr>
          <w:p w14:paraId="5D321FA4">
            <w:pPr>
              <w:pStyle w:val="41"/>
              <w:rPr>
                <w:rFonts w:hint="eastAsia"/>
              </w:rPr>
            </w:pPr>
          </w:p>
        </w:tc>
        <w:tc>
          <w:tcPr>
            <w:tcW w:w="340" w:type="pct"/>
            <w:vMerge w:val="restart"/>
            <w:shd w:val="clear" w:color="auto" w:fill="auto"/>
            <w:vAlign w:val="center"/>
          </w:tcPr>
          <w:p w14:paraId="66F4B07D">
            <w:pPr>
              <w:pStyle w:val="41"/>
              <w:rPr>
                <w:rFonts w:hint="eastAsia"/>
              </w:rPr>
            </w:pPr>
            <w:r>
              <w:rPr>
                <w:rFonts w:hint="eastAsia"/>
              </w:rPr>
              <w:t>8</w:t>
            </w:r>
          </w:p>
        </w:tc>
        <w:tc>
          <w:tcPr>
            <w:tcW w:w="511" w:type="pct"/>
            <w:vMerge w:val="restart"/>
            <w:shd w:val="clear" w:color="auto" w:fill="auto"/>
            <w:vAlign w:val="center"/>
          </w:tcPr>
          <w:p w14:paraId="5423AA6A">
            <w:pPr>
              <w:pStyle w:val="41"/>
              <w:rPr>
                <w:rFonts w:hint="eastAsia"/>
              </w:rPr>
            </w:pPr>
            <w:r>
              <w:rPr>
                <w:rFonts w:hint="eastAsia"/>
              </w:rPr>
              <w:t>燃气老旧管网数量占比（%）</w:t>
            </w:r>
          </w:p>
        </w:tc>
        <w:tc>
          <w:tcPr>
            <w:tcW w:w="1261" w:type="pct"/>
            <w:shd w:val="clear" w:color="auto" w:fill="auto"/>
            <w:vAlign w:val="center"/>
          </w:tcPr>
          <w:p w14:paraId="774D79C6">
            <w:pPr>
              <w:pStyle w:val="41"/>
              <w:rPr>
                <w:rFonts w:hint="eastAsia"/>
              </w:rPr>
            </w:pPr>
            <w:r>
              <w:rPr>
                <w:rFonts w:hint="eastAsia"/>
              </w:rPr>
              <w:t>市辖区建成区内燃气管道网络总长度</w:t>
            </w:r>
          </w:p>
        </w:tc>
        <w:tc>
          <w:tcPr>
            <w:tcW w:w="1490" w:type="pct"/>
            <w:vMerge w:val="restart"/>
            <w:shd w:val="clear" w:color="auto" w:fill="auto"/>
            <w:vAlign w:val="center"/>
          </w:tcPr>
          <w:p w14:paraId="724595E4">
            <w:pPr>
              <w:pStyle w:val="41"/>
              <w:rPr>
                <w:rFonts w:hint="eastAsia"/>
              </w:rPr>
            </w:pPr>
            <w:r>
              <w:rPr>
                <w:rFonts w:hint="eastAsia"/>
              </w:rPr>
              <w:t>全部灰口铸铁管道；不满足安全运行要求的球墨铸铁管道；运行年限满20年，经评估存在安全隐患的钢质管道、聚乙烯（PE）管道；运行年限不足20年，存在安全隐患，经评估无法通过落实管控措施保障安全的钢质管道、聚乙烯（PE）管道；存在被建构筑物占压等风险的管道。</w:t>
            </w:r>
          </w:p>
        </w:tc>
        <w:tc>
          <w:tcPr>
            <w:tcW w:w="1101" w:type="pct"/>
            <w:vMerge w:val="restart"/>
            <w:shd w:val="clear" w:color="auto" w:fill="auto"/>
            <w:vAlign w:val="center"/>
          </w:tcPr>
          <w:p w14:paraId="72943A7F">
            <w:pPr>
              <w:pStyle w:val="41"/>
              <w:rPr>
                <w:rFonts w:hint="eastAsia"/>
              </w:rPr>
            </w:pPr>
            <w:r>
              <w:rPr>
                <w:rFonts w:hint="eastAsia"/>
              </w:rPr>
              <w:t>市住建局、官方统计数据、行业部门调查统计数据、相关燃气经营企业</w:t>
            </w:r>
          </w:p>
          <w:p w14:paraId="3B94FEEA">
            <w:pPr>
              <w:pStyle w:val="41"/>
              <w:rPr>
                <w:rFonts w:hint="eastAsia"/>
              </w:rPr>
            </w:pPr>
          </w:p>
        </w:tc>
      </w:tr>
      <w:tr w14:paraId="63208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295" w:type="pct"/>
            <w:vMerge w:val="continue"/>
            <w:shd w:val="clear" w:color="auto" w:fill="auto"/>
            <w:vAlign w:val="center"/>
          </w:tcPr>
          <w:p w14:paraId="6398F212">
            <w:pPr>
              <w:pStyle w:val="41"/>
              <w:rPr>
                <w:rFonts w:hint="eastAsia"/>
              </w:rPr>
            </w:pPr>
          </w:p>
        </w:tc>
        <w:tc>
          <w:tcPr>
            <w:tcW w:w="340" w:type="pct"/>
            <w:vMerge w:val="continue"/>
            <w:shd w:val="clear" w:color="auto" w:fill="auto"/>
            <w:vAlign w:val="center"/>
          </w:tcPr>
          <w:p w14:paraId="7D8B76F9">
            <w:pPr>
              <w:pStyle w:val="41"/>
              <w:rPr>
                <w:rFonts w:hint="eastAsia"/>
              </w:rPr>
            </w:pPr>
          </w:p>
        </w:tc>
        <w:tc>
          <w:tcPr>
            <w:tcW w:w="511" w:type="pct"/>
            <w:vMerge w:val="continue"/>
            <w:shd w:val="clear" w:color="auto" w:fill="auto"/>
            <w:vAlign w:val="center"/>
          </w:tcPr>
          <w:p w14:paraId="6A6037E0">
            <w:pPr>
              <w:pStyle w:val="41"/>
              <w:rPr>
                <w:rFonts w:hint="eastAsia"/>
              </w:rPr>
            </w:pPr>
          </w:p>
        </w:tc>
        <w:tc>
          <w:tcPr>
            <w:tcW w:w="1261" w:type="pct"/>
            <w:shd w:val="clear" w:color="auto" w:fill="auto"/>
            <w:vAlign w:val="center"/>
          </w:tcPr>
          <w:p w14:paraId="084C6B50">
            <w:pPr>
              <w:pStyle w:val="41"/>
              <w:rPr>
                <w:rFonts w:hint="eastAsia"/>
              </w:rPr>
            </w:pPr>
            <w:r>
              <w:rPr>
                <w:rFonts w:hint="eastAsia"/>
              </w:rPr>
              <w:t>市辖区建成区内存在安全隐患，使用超过20年限，被建筑物压占等燃气管道长度</w:t>
            </w:r>
          </w:p>
        </w:tc>
        <w:tc>
          <w:tcPr>
            <w:tcW w:w="1490" w:type="pct"/>
            <w:vMerge w:val="continue"/>
            <w:shd w:val="clear" w:color="auto" w:fill="auto"/>
            <w:vAlign w:val="center"/>
          </w:tcPr>
          <w:p w14:paraId="76BD94DB">
            <w:pPr>
              <w:pStyle w:val="41"/>
              <w:rPr>
                <w:rFonts w:hint="eastAsia"/>
              </w:rPr>
            </w:pPr>
          </w:p>
        </w:tc>
        <w:tc>
          <w:tcPr>
            <w:tcW w:w="1101" w:type="pct"/>
            <w:vMerge w:val="continue"/>
            <w:shd w:val="clear" w:color="auto" w:fill="auto"/>
            <w:vAlign w:val="center"/>
          </w:tcPr>
          <w:p w14:paraId="6204899F">
            <w:pPr>
              <w:pStyle w:val="41"/>
              <w:rPr>
                <w:rFonts w:hint="eastAsia"/>
              </w:rPr>
            </w:pPr>
          </w:p>
        </w:tc>
      </w:tr>
      <w:tr w14:paraId="0DDD4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5" w:type="pct"/>
            <w:vMerge w:val="continue"/>
            <w:shd w:val="clear" w:color="auto" w:fill="auto"/>
            <w:vAlign w:val="center"/>
          </w:tcPr>
          <w:p w14:paraId="70EFF78F">
            <w:pPr>
              <w:pStyle w:val="41"/>
              <w:rPr>
                <w:rFonts w:hint="eastAsia"/>
              </w:rPr>
            </w:pPr>
          </w:p>
        </w:tc>
        <w:tc>
          <w:tcPr>
            <w:tcW w:w="340" w:type="pct"/>
            <w:vMerge w:val="restart"/>
            <w:shd w:val="clear" w:color="auto" w:fill="auto"/>
            <w:vAlign w:val="center"/>
          </w:tcPr>
          <w:p w14:paraId="40F92974">
            <w:pPr>
              <w:pStyle w:val="41"/>
              <w:rPr>
                <w:rFonts w:hint="eastAsia"/>
              </w:rPr>
            </w:pPr>
            <w:r>
              <w:rPr>
                <w:rFonts w:hint="eastAsia"/>
              </w:rPr>
              <w:t>9</w:t>
            </w:r>
          </w:p>
        </w:tc>
        <w:tc>
          <w:tcPr>
            <w:tcW w:w="511" w:type="pct"/>
            <w:vMerge w:val="restart"/>
            <w:shd w:val="clear" w:color="auto" w:fill="auto"/>
            <w:vAlign w:val="center"/>
          </w:tcPr>
          <w:p w14:paraId="31B80E66">
            <w:pPr>
              <w:pStyle w:val="41"/>
              <w:rPr>
                <w:rFonts w:hint="eastAsia"/>
              </w:rPr>
            </w:pPr>
            <w:r>
              <w:rPr>
                <w:rFonts w:hint="eastAsia"/>
              </w:rPr>
              <w:t>管道防腐层破损率（%）</w:t>
            </w:r>
          </w:p>
        </w:tc>
        <w:tc>
          <w:tcPr>
            <w:tcW w:w="1261" w:type="pct"/>
            <w:shd w:val="clear" w:color="auto" w:fill="auto"/>
            <w:vAlign w:val="center"/>
          </w:tcPr>
          <w:p w14:paraId="7D0D2EED">
            <w:pPr>
              <w:pStyle w:val="41"/>
              <w:rPr>
                <w:rFonts w:hint="eastAsia"/>
              </w:rPr>
            </w:pPr>
            <w:r>
              <w:rPr>
                <w:rFonts w:hint="eastAsia"/>
              </w:rPr>
              <w:t>市辖区建成区内燃气管道网络总长度</w:t>
            </w:r>
          </w:p>
        </w:tc>
        <w:tc>
          <w:tcPr>
            <w:tcW w:w="1490" w:type="pct"/>
            <w:vMerge w:val="restart"/>
            <w:shd w:val="clear" w:color="auto" w:fill="auto"/>
            <w:vAlign w:val="center"/>
          </w:tcPr>
          <w:p w14:paraId="7DCE2C0F">
            <w:pPr>
              <w:pStyle w:val="41"/>
              <w:rPr>
                <w:rFonts w:hint="eastAsia"/>
              </w:rPr>
            </w:pPr>
            <w:r>
              <w:rPr>
                <w:rFonts w:hint="eastAsia"/>
              </w:rPr>
              <w:t>对市辖区内的管道利用RD-PCM等专业设备检测防腐层的破损情况并分析（如防腐层破损点检测结果开挖验证准确率、缺陷分类准确率）管道防腐层的破损率。</w:t>
            </w:r>
          </w:p>
        </w:tc>
        <w:tc>
          <w:tcPr>
            <w:tcW w:w="1101" w:type="pct"/>
            <w:vMerge w:val="restart"/>
            <w:shd w:val="clear" w:color="auto" w:fill="auto"/>
            <w:vAlign w:val="center"/>
          </w:tcPr>
          <w:p w14:paraId="697D464A">
            <w:pPr>
              <w:pStyle w:val="41"/>
              <w:rPr>
                <w:rFonts w:hint="eastAsia"/>
              </w:rPr>
            </w:pPr>
            <w:r>
              <w:rPr>
                <w:rFonts w:hint="eastAsia"/>
              </w:rPr>
              <w:t>市住建局、官方统计数据、行业部门调查统计数据、相关燃气经营企业</w:t>
            </w:r>
          </w:p>
          <w:p w14:paraId="05FE750E">
            <w:pPr>
              <w:pStyle w:val="41"/>
              <w:rPr>
                <w:rFonts w:hint="eastAsia"/>
              </w:rPr>
            </w:pPr>
          </w:p>
        </w:tc>
      </w:tr>
      <w:tr w14:paraId="11A6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jc w:val="center"/>
        </w:trPr>
        <w:tc>
          <w:tcPr>
            <w:tcW w:w="295" w:type="pct"/>
            <w:vMerge w:val="continue"/>
            <w:shd w:val="clear" w:color="auto" w:fill="auto"/>
            <w:vAlign w:val="center"/>
          </w:tcPr>
          <w:p w14:paraId="7D79C48B">
            <w:pPr>
              <w:pStyle w:val="41"/>
              <w:rPr>
                <w:rFonts w:hint="eastAsia"/>
              </w:rPr>
            </w:pPr>
          </w:p>
        </w:tc>
        <w:tc>
          <w:tcPr>
            <w:tcW w:w="340" w:type="pct"/>
            <w:vMerge w:val="continue"/>
            <w:shd w:val="clear" w:color="auto" w:fill="auto"/>
            <w:vAlign w:val="center"/>
          </w:tcPr>
          <w:p w14:paraId="4375F9A3">
            <w:pPr>
              <w:pStyle w:val="41"/>
              <w:rPr>
                <w:rFonts w:hint="eastAsia"/>
              </w:rPr>
            </w:pPr>
          </w:p>
        </w:tc>
        <w:tc>
          <w:tcPr>
            <w:tcW w:w="511" w:type="pct"/>
            <w:vMerge w:val="continue"/>
            <w:shd w:val="clear" w:color="auto" w:fill="auto"/>
            <w:vAlign w:val="center"/>
          </w:tcPr>
          <w:p w14:paraId="1FF6C6D9">
            <w:pPr>
              <w:pStyle w:val="41"/>
              <w:rPr>
                <w:rFonts w:hint="eastAsia"/>
              </w:rPr>
            </w:pPr>
          </w:p>
        </w:tc>
        <w:tc>
          <w:tcPr>
            <w:tcW w:w="1261" w:type="pct"/>
            <w:shd w:val="clear" w:color="auto" w:fill="auto"/>
            <w:vAlign w:val="center"/>
          </w:tcPr>
          <w:p w14:paraId="59372422">
            <w:pPr>
              <w:pStyle w:val="41"/>
              <w:rPr>
                <w:rFonts w:hint="eastAsia"/>
              </w:rPr>
            </w:pPr>
            <w:r>
              <w:rPr>
                <w:rFonts w:hint="eastAsia"/>
              </w:rPr>
              <w:t>市辖区建成区内管道防腐层破损的燃气管道数量</w:t>
            </w:r>
          </w:p>
        </w:tc>
        <w:tc>
          <w:tcPr>
            <w:tcW w:w="1490" w:type="pct"/>
            <w:vMerge w:val="continue"/>
            <w:shd w:val="clear" w:color="auto" w:fill="auto"/>
            <w:vAlign w:val="center"/>
          </w:tcPr>
          <w:p w14:paraId="33721A1F">
            <w:pPr>
              <w:pStyle w:val="41"/>
              <w:rPr>
                <w:rFonts w:hint="eastAsia"/>
              </w:rPr>
            </w:pPr>
          </w:p>
        </w:tc>
        <w:tc>
          <w:tcPr>
            <w:tcW w:w="1101" w:type="pct"/>
            <w:vMerge w:val="continue"/>
            <w:shd w:val="clear" w:color="auto" w:fill="auto"/>
            <w:vAlign w:val="center"/>
          </w:tcPr>
          <w:p w14:paraId="3B60F513">
            <w:pPr>
              <w:pStyle w:val="41"/>
              <w:rPr>
                <w:rFonts w:hint="eastAsia"/>
              </w:rPr>
            </w:pPr>
          </w:p>
        </w:tc>
      </w:tr>
      <w:tr w14:paraId="7E47A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3FEBF87E">
            <w:pPr>
              <w:pStyle w:val="41"/>
              <w:rPr>
                <w:rFonts w:hint="eastAsia"/>
              </w:rPr>
            </w:pPr>
          </w:p>
        </w:tc>
        <w:tc>
          <w:tcPr>
            <w:tcW w:w="340" w:type="pct"/>
            <w:vMerge w:val="restart"/>
            <w:shd w:val="clear" w:color="auto" w:fill="auto"/>
            <w:vAlign w:val="center"/>
          </w:tcPr>
          <w:p w14:paraId="5AA8DBDA">
            <w:pPr>
              <w:pStyle w:val="41"/>
              <w:rPr>
                <w:rFonts w:hint="eastAsia"/>
              </w:rPr>
            </w:pPr>
            <w:r>
              <w:rPr>
                <w:rFonts w:hint="eastAsia"/>
              </w:rPr>
              <w:t>10</w:t>
            </w:r>
          </w:p>
        </w:tc>
        <w:tc>
          <w:tcPr>
            <w:tcW w:w="511" w:type="pct"/>
            <w:vMerge w:val="restart"/>
            <w:shd w:val="clear" w:color="auto" w:fill="auto"/>
            <w:vAlign w:val="center"/>
          </w:tcPr>
          <w:p w14:paraId="1B07317C">
            <w:pPr>
              <w:pStyle w:val="41"/>
              <w:rPr>
                <w:rFonts w:hint="eastAsia"/>
              </w:rPr>
            </w:pPr>
            <w:r>
              <w:rPr>
                <w:rFonts w:hint="eastAsia"/>
              </w:rPr>
              <w:t>老旧管网改造率（%）</w:t>
            </w:r>
          </w:p>
        </w:tc>
        <w:tc>
          <w:tcPr>
            <w:tcW w:w="1261" w:type="pct"/>
            <w:shd w:val="clear" w:color="auto" w:fill="auto"/>
            <w:vAlign w:val="center"/>
          </w:tcPr>
          <w:p w14:paraId="7E021C1D">
            <w:pPr>
              <w:pStyle w:val="41"/>
              <w:rPr>
                <w:rFonts w:hint="eastAsia"/>
              </w:rPr>
            </w:pPr>
            <w:r>
              <w:rPr>
                <w:rFonts w:hint="eastAsia"/>
              </w:rPr>
              <w:t>市辖区建成区内已更新、改造的管网总长度</w:t>
            </w:r>
          </w:p>
        </w:tc>
        <w:tc>
          <w:tcPr>
            <w:tcW w:w="1490" w:type="pct"/>
            <w:vMerge w:val="restart"/>
            <w:shd w:val="clear" w:color="auto" w:fill="auto"/>
            <w:vAlign w:val="center"/>
          </w:tcPr>
          <w:p w14:paraId="31FD7BF9">
            <w:pPr>
              <w:pStyle w:val="41"/>
              <w:rPr>
                <w:rFonts w:hint="eastAsia"/>
              </w:rPr>
            </w:pPr>
            <w:r>
              <w:rPr>
                <w:rFonts w:hint="eastAsia"/>
              </w:rPr>
              <w:t>本年度建成区对老化、老旧管道网络进行更新、改造的程度或进度。</w:t>
            </w:r>
          </w:p>
        </w:tc>
        <w:tc>
          <w:tcPr>
            <w:tcW w:w="1101" w:type="pct"/>
            <w:vMerge w:val="restart"/>
            <w:shd w:val="clear" w:color="auto" w:fill="auto"/>
            <w:vAlign w:val="center"/>
          </w:tcPr>
          <w:p w14:paraId="6489C79C">
            <w:pPr>
              <w:pStyle w:val="41"/>
              <w:rPr>
                <w:rFonts w:hint="eastAsia"/>
              </w:rPr>
            </w:pPr>
            <w:r>
              <w:rPr>
                <w:rFonts w:hint="eastAsia"/>
              </w:rPr>
              <w:t>市住建局、官方统计数据、行业部门调查统计数据、相关燃气经营企业</w:t>
            </w:r>
          </w:p>
          <w:p w14:paraId="14BBA8CE">
            <w:pPr>
              <w:pStyle w:val="41"/>
              <w:rPr>
                <w:rFonts w:hint="eastAsia"/>
              </w:rPr>
            </w:pPr>
          </w:p>
        </w:tc>
      </w:tr>
      <w:tr w14:paraId="3FF7F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1DEBEA3C">
            <w:pPr>
              <w:pStyle w:val="41"/>
              <w:rPr>
                <w:rFonts w:hint="eastAsia"/>
              </w:rPr>
            </w:pPr>
          </w:p>
        </w:tc>
        <w:tc>
          <w:tcPr>
            <w:tcW w:w="340" w:type="pct"/>
            <w:vMerge w:val="continue"/>
            <w:shd w:val="clear" w:color="auto" w:fill="auto"/>
            <w:vAlign w:val="center"/>
          </w:tcPr>
          <w:p w14:paraId="7E85BEA9">
            <w:pPr>
              <w:pStyle w:val="41"/>
              <w:rPr>
                <w:rFonts w:hint="eastAsia"/>
              </w:rPr>
            </w:pPr>
          </w:p>
        </w:tc>
        <w:tc>
          <w:tcPr>
            <w:tcW w:w="511" w:type="pct"/>
            <w:vMerge w:val="continue"/>
            <w:shd w:val="clear" w:color="auto" w:fill="auto"/>
            <w:vAlign w:val="center"/>
          </w:tcPr>
          <w:p w14:paraId="6BF04271">
            <w:pPr>
              <w:pStyle w:val="41"/>
              <w:rPr>
                <w:rFonts w:hint="eastAsia"/>
              </w:rPr>
            </w:pPr>
          </w:p>
        </w:tc>
        <w:tc>
          <w:tcPr>
            <w:tcW w:w="1261" w:type="pct"/>
            <w:shd w:val="clear" w:color="auto" w:fill="auto"/>
            <w:vAlign w:val="center"/>
          </w:tcPr>
          <w:p w14:paraId="7B31DC5D">
            <w:pPr>
              <w:pStyle w:val="41"/>
              <w:rPr>
                <w:rFonts w:hint="eastAsia"/>
              </w:rPr>
            </w:pPr>
            <w:r>
              <w:rPr>
                <w:rFonts w:hint="eastAsia"/>
              </w:rPr>
              <w:t>市辖区建成区内老旧管网总长度</w:t>
            </w:r>
          </w:p>
        </w:tc>
        <w:tc>
          <w:tcPr>
            <w:tcW w:w="1490" w:type="pct"/>
            <w:vMerge w:val="continue"/>
            <w:shd w:val="clear" w:color="auto" w:fill="auto"/>
            <w:vAlign w:val="center"/>
          </w:tcPr>
          <w:p w14:paraId="42DFCA9B">
            <w:pPr>
              <w:pStyle w:val="41"/>
              <w:rPr>
                <w:rFonts w:hint="eastAsia"/>
              </w:rPr>
            </w:pPr>
          </w:p>
        </w:tc>
        <w:tc>
          <w:tcPr>
            <w:tcW w:w="1101" w:type="pct"/>
            <w:vMerge w:val="continue"/>
            <w:shd w:val="clear" w:color="auto" w:fill="auto"/>
            <w:vAlign w:val="center"/>
          </w:tcPr>
          <w:p w14:paraId="1E6C68AA">
            <w:pPr>
              <w:pStyle w:val="41"/>
              <w:rPr>
                <w:rFonts w:hint="eastAsia"/>
              </w:rPr>
            </w:pPr>
          </w:p>
        </w:tc>
      </w:tr>
      <w:tr w14:paraId="5354F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270EEA64">
            <w:pPr>
              <w:pStyle w:val="41"/>
              <w:rPr>
                <w:rFonts w:hint="eastAsia"/>
              </w:rPr>
            </w:pPr>
          </w:p>
        </w:tc>
        <w:tc>
          <w:tcPr>
            <w:tcW w:w="340" w:type="pct"/>
            <w:vMerge w:val="restart"/>
            <w:shd w:val="clear" w:color="auto" w:fill="auto"/>
            <w:vAlign w:val="center"/>
          </w:tcPr>
          <w:p w14:paraId="0242D5D9">
            <w:pPr>
              <w:pStyle w:val="41"/>
              <w:rPr>
                <w:rFonts w:hint="eastAsia"/>
              </w:rPr>
            </w:pPr>
            <w:r>
              <w:rPr>
                <w:rFonts w:hint="eastAsia"/>
              </w:rPr>
              <w:t>11</w:t>
            </w:r>
          </w:p>
        </w:tc>
        <w:tc>
          <w:tcPr>
            <w:tcW w:w="511" w:type="pct"/>
            <w:vMerge w:val="restart"/>
            <w:shd w:val="clear" w:color="auto" w:fill="auto"/>
            <w:vAlign w:val="center"/>
          </w:tcPr>
          <w:p w14:paraId="59129F4D">
            <w:pPr>
              <w:pStyle w:val="41"/>
              <w:rPr>
                <w:rFonts w:hint="eastAsia"/>
              </w:rPr>
            </w:pPr>
            <w:r>
              <w:rPr>
                <w:rFonts w:hint="eastAsia"/>
              </w:rPr>
              <w:t>隐患治理率（%）</w:t>
            </w:r>
          </w:p>
        </w:tc>
        <w:tc>
          <w:tcPr>
            <w:tcW w:w="1261" w:type="pct"/>
            <w:shd w:val="clear" w:color="auto" w:fill="auto"/>
            <w:vAlign w:val="center"/>
          </w:tcPr>
          <w:p w14:paraId="3A763307">
            <w:pPr>
              <w:pStyle w:val="41"/>
              <w:rPr>
                <w:rFonts w:hint="eastAsia"/>
              </w:rPr>
            </w:pPr>
            <w:r>
              <w:rPr>
                <w:rFonts w:hint="eastAsia"/>
              </w:rPr>
              <w:t>本年度市辖区建成区内整改、治理或消除的隐患数量</w:t>
            </w:r>
          </w:p>
        </w:tc>
        <w:tc>
          <w:tcPr>
            <w:tcW w:w="1490" w:type="pct"/>
            <w:vMerge w:val="restart"/>
            <w:shd w:val="clear" w:color="auto" w:fill="auto"/>
            <w:vAlign w:val="center"/>
          </w:tcPr>
          <w:p w14:paraId="63906D28">
            <w:pPr>
              <w:pStyle w:val="41"/>
              <w:rPr>
                <w:rFonts w:hint="eastAsia"/>
              </w:rPr>
            </w:pPr>
            <w:r>
              <w:rPr>
                <w:rFonts w:hint="eastAsia"/>
              </w:rPr>
              <w:t>本年度建成区已经发现的各类隐患中，经过整改、治理或消除的隐患数量占总隐患数量的比例。</w:t>
            </w:r>
          </w:p>
        </w:tc>
        <w:tc>
          <w:tcPr>
            <w:tcW w:w="1101" w:type="pct"/>
            <w:vMerge w:val="restart"/>
            <w:shd w:val="clear" w:color="auto" w:fill="auto"/>
            <w:vAlign w:val="center"/>
          </w:tcPr>
          <w:p w14:paraId="36B87AAA">
            <w:pPr>
              <w:pStyle w:val="41"/>
              <w:rPr>
                <w:rFonts w:hint="eastAsia"/>
              </w:rPr>
            </w:pPr>
            <w:r>
              <w:rPr>
                <w:rFonts w:hint="eastAsia"/>
              </w:rPr>
              <w:t>市住建局、官方统计数据、行业部门调查统计数据、相关燃气经营企业</w:t>
            </w:r>
          </w:p>
          <w:p w14:paraId="5E468B25">
            <w:pPr>
              <w:pStyle w:val="41"/>
              <w:rPr>
                <w:rFonts w:hint="eastAsia"/>
              </w:rPr>
            </w:pPr>
          </w:p>
        </w:tc>
      </w:tr>
      <w:tr w14:paraId="5F374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95" w:type="pct"/>
            <w:vMerge w:val="continue"/>
            <w:shd w:val="clear" w:color="auto" w:fill="auto"/>
            <w:vAlign w:val="center"/>
          </w:tcPr>
          <w:p w14:paraId="7E9D8398">
            <w:pPr>
              <w:pStyle w:val="41"/>
              <w:rPr>
                <w:rFonts w:hint="eastAsia"/>
              </w:rPr>
            </w:pPr>
          </w:p>
        </w:tc>
        <w:tc>
          <w:tcPr>
            <w:tcW w:w="340" w:type="pct"/>
            <w:vMerge w:val="continue"/>
            <w:shd w:val="clear" w:color="auto" w:fill="auto"/>
            <w:vAlign w:val="center"/>
          </w:tcPr>
          <w:p w14:paraId="7BCE6802">
            <w:pPr>
              <w:pStyle w:val="41"/>
              <w:rPr>
                <w:rFonts w:hint="eastAsia"/>
              </w:rPr>
            </w:pPr>
          </w:p>
        </w:tc>
        <w:tc>
          <w:tcPr>
            <w:tcW w:w="511" w:type="pct"/>
            <w:vMerge w:val="continue"/>
            <w:shd w:val="clear" w:color="auto" w:fill="auto"/>
            <w:vAlign w:val="center"/>
          </w:tcPr>
          <w:p w14:paraId="3879166E">
            <w:pPr>
              <w:pStyle w:val="41"/>
              <w:rPr>
                <w:rFonts w:hint="eastAsia"/>
              </w:rPr>
            </w:pPr>
          </w:p>
        </w:tc>
        <w:tc>
          <w:tcPr>
            <w:tcW w:w="1261" w:type="pct"/>
            <w:shd w:val="clear" w:color="auto" w:fill="auto"/>
            <w:vAlign w:val="center"/>
          </w:tcPr>
          <w:p w14:paraId="185E3DA0">
            <w:pPr>
              <w:pStyle w:val="41"/>
              <w:rPr>
                <w:rFonts w:hint="eastAsia"/>
              </w:rPr>
            </w:pPr>
            <w:r>
              <w:rPr>
                <w:rFonts w:hint="eastAsia"/>
              </w:rPr>
              <w:t>本年度市辖区建成区内已发现的隐患总数</w:t>
            </w:r>
          </w:p>
        </w:tc>
        <w:tc>
          <w:tcPr>
            <w:tcW w:w="1490" w:type="pct"/>
            <w:vMerge w:val="continue"/>
            <w:shd w:val="clear" w:color="auto" w:fill="auto"/>
            <w:vAlign w:val="center"/>
          </w:tcPr>
          <w:p w14:paraId="726ED76C">
            <w:pPr>
              <w:pStyle w:val="41"/>
              <w:rPr>
                <w:rFonts w:hint="eastAsia"/>
              </w:rPr>
            </w:pPr>
          </w:p>
        </w:tc>
        <w:tc>
          <w:tcPr>
            <w:tcW w:w="1101" w:type="pct"/>
            <w:vMerge w:val="continue"/>
            <w:shd w:val="clear" w:color="auto" w:fill="auto"/>
            <w:vAlign w:val="center"/>
          </w:tcPr>
          <w:p w14:paraId="214B4232">
            <w:pPr>
              <w:pStyle w:val="41"/>
              <w:rPr>
                <w:rFonts w:hint="eastAsia"/>
              </w:rPr>
            </w:pPr>
          </w:p>
        </w:tc>
      </w:tr>
      <w:tr w14:paraId="349DB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95" w:type="pct"/>
            <w:vMerge w:val="continue"/>
            <w:shd w:val="clear" w:color="auto" w:fill="auto"/>
            <w:vAlign w:val="center"/>
          </w:tcPr>
          <w:p w14:paraId="67380EB5">
            <w:pPr>
              <w:pStyle w:val="41"/>
              <w:rPr>
                <w:rFonts w:hint="eastAsia"/>
              </w:rPr>
            </w:pPr>
          </w:p>
        </w:tc>
        <w:tc>
          <w:tcPr>
            <w:tcW w:w="340" w:type="pct"/>
            <w:vMerge w:val="restart"/>
            <w:shd w:val="clear" w:color="auto" w:fill="auto"/>
            <w:vAlign w:val="center"/>
          </w:tcPr>
          <w:p w14:paraId="6C99235F">
            <w:pPr>
              <w:pStyle w:val="41"/>
              <w:rPr>
                <w:rFonts w:hint="eastAsia"/>
              </w:rPr>
            </w:pPr>
            <w:r>
              <w:rPr>
                <w:rFonts w:hint="eastAsia"/>
              </w:rPr>
              <w:t>12</w:t>
            </w:r>
          </w:p>
        </w:tc>
        <w:tc>
          <w:tcPr>
            <w:tcW w:w="511" w:type="pct"/>
            <w:vMerge w:val="restart"/>
            <w:shd w:val="clear" w:color="auto" w:fill="auto"/>
            <w:vAlign w:val="center"/>
          </w:tcPr>
          <w:p w14:paraId="49EEE9C0">
            <w:pPr>
              <w:pStyle w:val="41"/>
              <w:rPr>
                <w:rFonts w:hint="eastAsia"/>
              </w:rPr>
            </w:pPr>
            <w:r>
              <w:rPr>
                <w:rFonts w:hint="eastAsia"/>
              </w:rPr>
              <w:t>超期表更换率（%）</w:t>
            </w:r>
          </w:p>
        </w:tc>
        <w:tc>
          <w:tcPr>
            <w:tcW w:w="1261" w:type="pct"/>
            <w:shd w:val="clear" w:color="auto" w:fill="auto"/>
            <w:vAlign w:val="center"/>
          </w:tcPr>
          <w:p w14:paraId="6D8A3680">
            <w:pPr>
              <w:pStyle w:val="41"/>
              <w:rPr>
                <w:rFonts w:hint="eastAsia"/>
              </w:rPr>
            </w:pPr>
            <w:r>
              <w:rPr>
                <w:rFonts w:hint="eastAsia"/>
              </w:rPr>
              <w:t>市辖区建成区内在计划维护周期之外（即超期）需要更换但仍然使用的设备的比例。</w:t>
            </w:r>
          </w:p>
        </w:tc>
        <w:tc>
          <w:tcPr>
            <w:tcW w:w="1490" w:type="pct"/>
            <w:vMerge w:val="restart"/>
            <w:shd w:val="clear" w:color="auto" w:fill="auto"/>
            <w:vAlign w:val="center"/>
          </w:tcPr>
          <w:p w14:paraId="6A59BED7">
            <w:pPr>
              <w:pStyle w:val="41"/>
              <w:rPr>
                <w:rFonts w:hint="eastAsia"/>
              </w:rPr>
            </w:pPr>
            <w:r>
              <w:rPr>
                <w:rFonts w:hint="eastAsia"/>
              </w:rPr>
              <w:t>市辖区建成区内在计划维护周期之外（即超期）需要更换但仍然使用的设备的比例。</w:t>
            </w:r>
          </w:p>
        </w:tc>
        <w:tc>
          <w:tcPr>
            <w:tcW w:w="1101" w:type="pct"/>
            <w:vMerge w:val="restart"/>
            <w:shd w:val="clear" w:color="auto" w:fill="auto"/>
            <w:vAlign w:val="center"/>
          </w:tcPr>
          <w:p w14:paraId="0FFB1F24">
            <w:pPr>
              <w:pStyle w:val="41"/>
              <w:rPr>
                <w:rFonts w:hint="eastAsia"/>
              </w:rPr>
            </w:pPr>
            <w:r>
              <w:rPr>
                <w:rFonts w:hint="eastAsia"/>
              </w:rPr>
              <w:t>市住建局、官方统计数据、行业部门调查统计数据、相关燃气经营企业</w:t>
            </w:r>
          </w:p>
          <w:p w14:paraId="2FE6642C">
            <w:pPr>
              <w:pStyle w:val="41"/>
              <w:rPr>
                <w:rFonts w:hint="eastAsia"/>
              </w:rPr>
            </w:pPr>
          </w:p>
        </w:tc>
      </w:tr>
      <w:tr w14:paraId="5189C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95" w:type="pct"/>
            <w:vMerge w:val="continue"/>
            <w:shd w:val="clear" w:color="auto" w:fill="auto"/>
            <w:vAlign w:val="center"/>
          </w:tcPr>
          <w:p w14:paraId="21DDD6CB">
            <w:pPr>
              <w:pStyle w:val="41"/>
              <w:rPr>
                <w:rFonts w:hint="eastAsia"/>
              </w:rPr>
            </w:pPr>
          </w:p>
        </w:tc>
        <w:tc>
          <w:tcPr>
            <w:tcW w:w="340" w:type="pct"/>
            <w:vMerge w:val="continue"/>
            <w:shd w:val="clear" w:color="auto" w:fill="auto"/>
            <w:vAlign w:val="center"/>
          </w:tcPr>
          <w:p w14:paraId="5685FCB1">
            <w:pPr>
              <w:pStyle w:val="41"/>
              <w:rPr>
                <w:rFonts w:hint="eastAsia"/>
              </w:rPr>
            </w:pPr>
          </w:p>
        </w:tc>
        <w:tc>
          <w:tcPr>
            <w:tcW w:w="511" w:type="pct"/>
            <w:vMerge w:val="continue"/>
            <w:shd w:val="clear" w:color="auto" w:fill="auto"/>
            <w:vAlign w:val="center"/>
          </w:tcPr>
          <w:p w14:paraId="6D3BEF0F">
            <w:pPr>
              <w:pStyle w:val="41"/>
              <w:rPr>
                <w:rFonts w:hint="eastAsia"/>
              </w:rPr>
            </w:pPr>
          </w:p>
        </w:tc>
        <w:tc>
          <w:tcPr>
            <w:tcW w:w="1261" w:type="pct"/>
            <w:shd w:val="clear" w:color="auto" w:fill="auto"/>
            <w:vAlign w:val="center"/>
          </w:tcPr>
          <w:p w14:paraId="2F4F0DB5">
            <w:pPr>
              <w:pStyle w:val="41"/>
              <w:rPr>
                <w:rFonts w:hint="eastAsia"/>
              </w:rPr>
            </w:pPr>
            <w:r>
              <w:rPr>
                <w:rFonts w:hint="eastAsia"/>
              </w:rPr>
              <w:t>市辖区建成区内在计划维护周期之外（即超期）的设备总数</w:t>
            </w:r>
          </w:p>
        </w:tc>
        <w:tc>
          <w:tcPr>
            <w:tcW w:w="1490" w:type="pct"/>
            <w:vMerge w:val="continue"/>
            <w:shd w:val="clear" w:color="auto" w:fill="auto"/>
            <w:vAlign w:val="center"/>
          </w:tcPr>
          <w:p w14:paraId="06CDAAF4">
            <w:pPr>
              <w:pStyle w:val="41"/>
              <w:rPr>
                <w:rFonts w:hint="eastAsia"/>
              </w:rPr>
            </w:pPr>
          </w:p>
        </w:tc>
        <w:tc>
          <w:tcPr>
            <w:tcW w:w="1101" w:type="pct"/>
            <w:vMerge w:val="continue"/>
            <w:shd w:val="clear" w:color="auto" w:fill="auto"/>
            <w:vAlign w:val="center"/>
          </w:tcPr>
          <w:p w14:paraId="1B241016">
            <w:pPr>
              <w:pStyle w:val="41"/>
              <w:rPr>
                <w:rFonts w:hint="eastAsia"/>
              </w:rPr>
            </w:pPr>
          </w:p>
        </w:tc>
      </w:tr>
    </w:tbl>
    <w:p w14:paraId="2E9883E3">
      <w:pPr>
        <w:ind w:firstLine="640"/>
        <w:jc w:val="left"/>
        <w:rPr>
          <w:rFonts w:hint="eastAsia"/>
        </w:rPr>
      </w:pPr>
      <w:r>
        <w:rPr>
          <w:rFonts w:hint="eastAsia"/>
        </w:rPr>
        <w:t>1.指标库构成</w:t>
      </w:r>
    </w:p>
    <w:p w14:paraId="2C087528">
      <w:pPr>
        <w:ind w:firstLine="640"/>
        <w:jc w:val="left"/>
        <w:rPr>
          <w:rFonts w:hint="eastAsia"/>
        </w:rPr>
      </w:pPr>
      <w:r>
        <w:rPr>
          <w:rFonts w:hint="eastAsia"/>
        </w:rPr>
        <w:t>《2024年河北省城市体检指标库（市级）》，包括必选指标、可选指标、专项体检指标三部分，由4个一级维度和14个二级维度构成。其中，“住房维度”包括“安全耐久、功能完善、绿色智能”3个二级维度，“小区（社区）维度”包括“设施完善、环境宜居、管理健全”3个二级维度，“街区维度”包括“功能完善、特色活力”2个二级维度，“城区（城市）维度”包括“生态宜居、历史文化保护、产城融合职住平衡、安全韧性、智慧高效、创新活力”6个二级维度。</w:t>
      </w:r>
    </w:p>
    <w:p w14:paraId="5B834344">
      <w:pPr>
        <w:ind w:firstLine="640"/>
        <w:jc w:val="left"/>
        <w:rPr>
          <w:rFonts w:hint="eastAsia"/>
        </w:rPr>
      </w:pPr>
      <w:r>
        <w:rPr>
          <w:rFonts w:hint="eastAsia"/>
        </w:rPr>
        <w:t>2.指标选取方法</w:t>
      </w:r>
    </w:p>
    <w:p w14:paraId="55B86955">
      <w:pPr>
        <w:ind w:firstLine="640"/>
        <w:jc w:val="left"/>
        <w:rPr>
          <w:rFonts w:hint="eastAsia"/>
        </w:rPr>
      </w:pPr>
      <w:r>
        <w:rPr>
          <w:rFonts w:hint="eastAsia"/>
        </w:rPr>
        <w:t>河北省城市体检指标采用“学分制”使用方法，总分=基础学分+附加学分，需满足以下要求：基础学分≥95分，并且附加学分≥10分，其中基础学分由“必选指标”和“可选指标”两部分学分构成，附加学分由“专项体检”学分构成。</w:t>
      </w:r>
    </w:p>
    <w:p w14:paraId="1EADD5B8">
      <w:pPr>
        <w:pStyle w:val="3"/>
        <w:rPr>
          <w:rFonts w:hint="eastAsia"/>
        </w:rPr>
      </w:pPr>
      <w:bookmarkStart w:id="22" w:name="_Toc29691"/>
      <w:bookmarkStart w:id="23" w:name="_Toc6403"/>
      <w:bookmarkStart w:id="24" w:name="_Toc28302"/>
      <w:r>
        <w:rPr>
          <w:rFonts w:hint="eastAsia"/>
        </w:rPr>
        <w:t>五、上一年体检工作回顾</w:t>
      </w:r>
      <w:bookmarkEnd w:id="22"/>
      <w:bookmarkEnd w:id="23"/>
      <w:bookmarkEnd w:id="24"/>
    </w:p>
    <w:p w14:paraId="0DECC6A5">
      <w:pPr>
        <w:ind w:firstLine="640"/>
        <w:rPr>
          <w:rFonts w:hint="eastAsia"/>
        </w:rPr>
      </w:pPr>
      <w:r>
        <w:rPr>
          <w:rFonts w:hint="eastAsia"/>
        </w:rPr>
        <w:t>2023年廊坊市扎实开展城市体检工作，具体情况如下：</w:t>
      </w:r>
    </w:p>
    <w:p w14:paraId="4F8D5067">
      <w:pPr>
        <w:pStyle w:val="4"/>
        <w:rPr>
          <w:rFonts w:hint="eastAsia"/>
        </w:rPr>
      </w:pPr>
      <w:r>
        <w:rPr>
          <w:rFonts w:hint="eastAsia"/>
        </w:rPr>
        <w:t>（一）建设成效</w:t>
      </w:r>
    </w:p>
    <w:p w14:paraId="7B525C8D">
      <w:pPr>
        <w:jc w:val="left"/>
        <w:outlineLvl w:val="4"/>
        <w:rPr>
          <w:rFonts w:hint="eastAsia"/>
          <w:b/>
          <w:bCs/>
        </w:rPr>
      </w:pPr>
      <w:r>
        <w:rPr>
          <w:rFonts w:hint="eastAsia"/>
          <w:b/>
          <w:bCs/>
        </w:rPr>
        <w:t>1.强化组织领导，全面推进工作</w:t>
      </w:r>
      <w:bookmarkStart w:id="25" w:name="_Toc574"/>
      <w:bookmarkStart w:id="26" w:name="_Toc1677856753"/>
    </w:p>
    <w:p w14:paraId="21B584F6">
      <w:pPr>
        <w:ind w:firstLine="640"/>
        <w:rPr>
          <w:rFonts w:hint="eastAsia"/>
        </w:rPr>
      </w:pPr>
      <w:r>
        <w:rPr>
          <w:rFonts w:hint="eastAsia"/>
        </w:rPr>
        <w:t>一是高位统筹，完善机制</w:t>
      </w:r>
      <w:bookmarkEnd w:id="25"/>
      <w:bookmarkEnd w:id="26"/>
      <w:r>
        <w:rPr>
          <w:rFonts w:hint="eastAsia"/>
        </w:rPr>
        <w:t>。为确保城市体检工作全面推进，进一步完善廊坊市城市体检工作领导小组。市住建局为城市体检牵头单位，形成1个牵头部门抓总，市级、广阳区、安次区、开发区4个工作专班统筹推进。按照政府组织、部门合作、专家指导、社会参与的工作方式，建立多部门协同，市、区、街道、社区多级联动，居民、物业、社会公众广泛参与的工作机制，组建多专业专家技术团队，有序推动城市体检工作。市领导小组由市政府主要领导同志任组长，市政府常务副市长和分管副市长任副组长的领导小组。领导小组办公室设在市住建局，市住建局主要领导兼任办公室主任，市住建局分管负责同志任常务副主任，相关局、相关区政府主管领导任副主任。</w:t>
      </w:r>
      <w:bookmarkStart w:id="27" w:name="_Toc3877"/>
      <w:bookmarkStart w:id="28" w:name="_Toc2029998561"/>
      <w:r>
        <w:rPr>
          <w:rFonts w:hint="eastAsia"/>
        </w:rPr>
        <w:t>二是深化认识、对标找差、深入结合既有工作</w:t>
      </w:r>
      <w:bookmarkEnd w:id="27"/>
      <w:bookmarkEnd w:id="28"/>
      <w:r>
        <w:rPr>
          <w:rFonts w:hint="eastAsia"/>
        </w:rPr>
        <w:t>。统一思想认识，增强责任感和使命感，把城市体检工作与创建国家卫生城市、国家节水型城市、城市更新工作等工作相结合。将城市体检作为改善城市人居环境、增强城市魅力，推动高质量发展的重要举措。分析廊坊特色，总结廊坊经验，查找城市发展短板和优势，共同研究选取可选指标。同时在城市体检工作中利用城区、街区、社区、小区分层次推进，实施网格化管理，实现基层社会化治理下沉。</w:t>
      </w:r>
      <w:bookmarkStart w:id="29" w:name="_Toc1904427311"/>
      <w:bookmarkStart w:id="30" w:name="_Toc9485"/>
      <w:r>
        <w:rPr>
          <w:rFonts w:hint="eastAsia"/>
        </w:rPr>
        <w:t>三是优化指标、落实部门、确保体检数据质量</w:t>
      </w:r>
      <w:bookmarkEnd w:id="29"/>
      <w:bookmarkEnd w:id="30"/>
      <w:r>
        <w:rPr>
          <w:rFonts w:hint="eastAsia"/>
        </w:rPr>
        <w:t>。积极会同廊坊市相关责任单位开展数据情况调研，召开多次数据研讨和交流会，将街区维度、城区维度指标分解到各个职能部门，按本单位职责逐项细化分解，每一项工作都落实到人头，确保事事有人管，项项有人抓，做到指标可获取、可计算、可追溯、可反馈的要求。住房维度、社区维度指标由技术人员利用调研小程序实地调研，利用20天时间全面完成所选21个社区1689栋楼房的调研及数据分析工作，为城市体检工作提供可靠保障。</w:t>
      </w:r>
    </w:p>
    <w:p w14:paraId="4BBA8F08">
      <w:pPr>
        <w:jc w:val="left"/>
        <w:outlineLvl w:val="4"/>
        <w:rPr>
          <w:rFonts w:hint="eastAsia"/>
          <w:b/>
          <w:bCs/>
        </w:rPr>
      </w:pPr>
      <w:r>
        <w:rPr>
          <w:rFonts w:hint="eastAsia"/>
          <w:b/>
          <w:bCs/>
        </w:rPr>
        <w:t>2.注重规范管理，落实落地各项任务</w:t>
      </w:r>
    </w:p>
    <w:p w14:paraId="4F0E128D">
      <w:pPr>
        <w:ind w:firstLine="640"/>
        <w:rPr>
          <w:rFonts w:hint="eastAsia"/>
        </w:rPr>
      </w:pPr>
      <w:r>
        <w:rPr>
          <w:rFonts w:hint="eastAsia"/>
        </w:rPr>
        <w:t>一是建立健全工作方法。将城市体检工作与城市更新，城市精细化管理工作相结合，按照“制定体检方案、确定指标体系、查已病防未病、完善体制机制、强化规划引领、项目落地实施、改进评估反馈”的工作闭环工作机制，实现城市体检全生命周期管理。二是确定城市体检指标。根据《河北省城市自体检工作技术指南（试行）》，本次廊坊市城市体检通过指标分析、筛选、评价，共确定指标80项，计90分，其中必选指标50项、特色指标10项、专项体检指标20项，形成了“50+10+20”的廊坊市城市体检指标体系。三是扎实开展社会调查。累计回收有效问卷8724份，保证受访者总体的空间分布、性别、年龄、学历、职业、收入水平等覆盖全面且结构合理，并完成社会调查分析报告。四是全面开展实地调研。2023年9月19日至10月10日，自体检团队利用信息采集调研小程序，15名专业技术人员，采取街道、社区、物业、居民共同参与的工作方式，对建成区范围内的其中21个社区、137个小区的1689栋楼房开展实地调研和自体检工作，并到相关部门收集数据，切实掌握每个社区基本数据，完善各类城市体检信息。四是重视意见反馈。2023年12月，城市体检领导小组采用成果推送，网站公示等形式，多次征求成员单位各部门和社会各界意见，确保结果符合廊坊实际，整改措施切实可行。</w:t>
      </w:r>
    </w:p>
    <w:p w14:paraId="69EA9398">
      <w:pPr>
        <w:jc w:val="left"/>
        <w:outlineLvl w:val="4"/>
        <w:rPr>
          <w:rFonts w:hint="eastAsia"/>
          <w:b/>
          <w:bCs/>
        </w:rPr>
      </w:pPr>
      <w:r>
        <w:rPr>
          <w:rFonts w:hint="eastAsia"/>
          <w:b/>
          <w:bCs/>
        </w:rPr>
        <w:t>3.科学分析指标，识别优势亮点</w:t>
      </w:r>
    </w:p>
    <w:p w14:paraId="672D2F65">
      <w:pPr>
        <w:ind w:firstLine="640"/>
        <w:rPr>
          <w:rFonts w:hint="eastAsia"/>
        </w:rPr>
      </w:pPr>
      <w:r>
        <w:rPr>
          <w:rFonts w:hint="eastAsia"/>
        </w:rPr>
        <w:t>一是住房维度中燃气安全、围护安全、住宅性能、节能改造等底线、功能具有全面的保障。廊坊市在安全耐久维度表现较好的基础指标最多，其中屋面排水不畅、漏水的住宅数量为0。住房维度共有8项指标。其中，评定为“优”的指标有4项，评定为“良”的指标有1项，评定为“差”的指标3项。指标优良率62.5%。</w:t>
      </w:r>
    </w:p>
    <w:p w14:paraId="4B801539">
      <w:pPr>
        <w:ind w:firstLine="640"/>
        <w:rPr>
          <w:rFonts w:hint="eastAsia"/>
        </w:rPr>
      </w:pPr>
      <w:r>
        <w:rPr>
          <w:rFonts w:hint="eastAsia"/>
        </w:rPr>
        <w:t>二是社区维度中优秀指标主要聚焦在卫生服务中心、小学学位缺口两个方面。21个试点社区小学学位缺口数为0，均能满足社区内适龄儿童的上学需求。小学服务半径覆盖率为81.79%。其中亿和社区、逸锦家苑社区和域泰社区小学500米服务半径覆盖达到100%，符合相关规范标准。社区维度共有13项指标。其中，评定为“优”的指标有3项，评定为“良”的指标有5项，评定为“差”的指标5项。指标优良率61.5%。</w:t>
      </w:r>
    </w:p>
    <w:p w14:paraId="0BBB1C41">
      <w:pPr>
        <w:ind w:firstLine="640"/>
        <w:rPr>
          <w:rFonts w:hint="eastAsia"/>
        </w:rPr>
      </w:pPr>
      <w:r>
        <w:rPr>
          <w:rFonts w:hint="eastAsia"/>
        </w:rPr>
        <w:t>三是街区维度中城市特色活力彰显，体育设施不断完善，街区环境风貌得到明显提升。第一廊坊市加强运动场地及体育设施建设，重点建设中心场馆。为完善全民健身公共服务体系，丰富县、乡、村三级公共健身设施和“15分钟健身圈”内容，廊坊市体育局出台了《体育惠民工程实施方案》，对目标任务进行分解，对进度安排、责任分工、工作步骤和完成时限提出了明确要求。第二银河北路街道办现有多功能活动场地2处，银河南路街道现有多功能活动场地有1处，以上场地面积与设施配备均达标。除此之外，街区内中学也配备有运动场地。街区维度共有11项指标。其中，评定为“优”的指标有5项，评定为“良”的指标有4项，评定为“差”的指标2项。指标优良率81.8%。</w:t>
      </w:r>
    </w:p>
    <w:p w14:paraId="24379659">
      <w:pPr>
        <w:ind w:firstLine="640"/>
        <w:rPr>
          <w:rFonts w:hint="eastAsia"/>
        </w:rPr>
      </w:pPr>
      <w:r>
        <w:rPr>
          <w:rFonts w:hint="eastAsia"/>
        </w:rPr>
        <w:t>四是城区维度中城市建设，城市包容性、安全保障水平、城市道路运行水平不断加强。第一应急保障系统日益健全。2022年廊坊市建成区燃气管道使用户数共302251户，达到100%，目前廊坊市燃气管道燃气普及率较好，下一步应重点注重燃气安全工作；近年来，廊坊市结合内涝积水区域的分级与分布，通过排水设施建设改造，共消除了13个易涝积水点，所有易涝积水点均已消除；廊坊市辖区建成区所有加油加气加氢站安全距离均达标。第二区域联系便捷度不断提升。廊坊市辖区建成区内高峰期平均机动车速度为38.15公里/小时，车速高于全国主要城市平均水平，也高于省内主要城市水平，表明城市道路运行情况良好。第三文化体育事业稳步增强。人均公共文化设施面积0.28平方米/人（去年0.17），高于住建部≥0.15平方米/人的标准，在全省处于较高水平。文旅固投入统项目排名全省前三。廊坊市人均体育场地面积9.58平方米/人，高于住建部≥2.6平方米/人的标准。第四廊坊市2023年社会调查分值为74.78分，较上一年度71.92分略有提升。安全韧性、智慧高效分值均在80分以上，成效显著。城区维度共有28项指标。其中，历史文化保护利用、产城融合职住平衡、多元包容、创新活力四个方面优良率为100%，评价为优；生态宜居方面优良率为75%，评价为良；智慧高效方面优良率为50%，存在一项不足项，评价为中。指标优良率85.7%。</w:t>
      </w:r>
    </w:p>
    <w:p w14:paraId="038F98AC">
      <w:pPr>
        <w:jc w:val="left"/>
        <w:outlineLvl w:val="4"/>
        <w:rPr>
          <w:rFonts w:hint="eastAsia"/>
          <w:b/>
          <w:bCs/>
        </w:rPr>
      </w:pPr>
      <w:r>
        <w:rPr>
          <w:rFonts w:hint="eastAsia"/>
          <w:b/>
          <w:bCs/>
        </w:rPr>
        <w:t>4.深化成果运用，推动项目实施</w:t>
      </w:r>
    </w:p>
    <w:p w14:paraId="36E0A4C6">
      <w:pPr>
        <w:ind w:firstLine="640"/>
        <w:rPr>
          <w:rFonts w:hint="eastAsia"/>
        </w:rPr>
      </w:pPr>
      <w:r>
        <w:rPr>
          <w:rFonts w:hint="eastAsia"/>
        </w:rPr>
        <w:t>一是纳入政府工作报告、制定工作方案和编制专项规划。立足城市体检的主要成果和结论，廊坊市将城市体检中检出的交通路网、老旧小区改造、城市功能等问题纳入2023年政府工作报告和年度目标任务中。二是在创建全国文明城市工作中，城市体检成果在口袋公园建设、公园道路环卫养护、公厕建设等方面起到有力支撑。</w:t>
      </w:r>
    </w:p>
    <w:p w14:paraId="631E12CC">
      <w:pPr>
        <w:jc w:val="left"/>
        <w:outlineLvl w:val="4"/>
        <w:rPr>
          <w:rFonts w:hint="eastAsia"/>
          <w:b/>
          <w:bCs/>
        </w:rPr>
      </w:pPr>
      <w:r>
        <w:rPr>
          <w:rFonts w:hint="eastAsia"/>
          <w:b/>
          <w:bCs/>
        </w:rPr>
        <w:t>5.结合城市体检工作，做好城市更新工作</w:t>
      </w:r>
    </w:p>
    <w:p w14:paraId="13C41845">
      <w:pPr>
        <w:ind w:firstLine="640"/>
        <w:rPr>
          <w:rFonts w:hint="eastAsia"/>
        </w:rPr>
      </w:pPr>
      <w:r>
        <w:rPr>
          <w:rFonts w:hint="eastAsia"/>
        </w:rPr>
        <w:t>2023年，广阳区、安次区、开发区、临空经济区在建项目共31个，2023年完成总投资额共71.22亿元。广阳区：共完成9个项目，完成投资8.27亿元。包括北部新区雨水泵站及配套管网工程、新源道下游至大皮营隐去雨水泵站等公共服务设施补短板类项目4个，完成投资2.38亿元；三角地非遗市集文化广场项目打造活力街区，完成投资0.05亿元；裕华小区、德安里小区、农行宿舍小区完成老旧小区改造，完成投资0.29亿元；安次区：共完成5个项目，完成投资2.76亿元。其中，第三十小学新建项目及二十九中学新建项目，完成投资1.7亿元；开发区：共完成10个项目，总投资10.51亿元。其中，由新奥集团筹建的水云间文化商街已完成一期工程，完成投资约8亿元；百合道、祥云道、花园道改造工程、花园道供热站等基础设施更新改造工程，完成投资1.12亿元；开发区停车场充电设施及保航停车小镇项目等项目，完成投资1.38亿元。</w:t>
      </w:r>
    </w:p>
    <w:p w14:paraId="64E3C1B7">
      <w:pPr>
        <w:ind w:firstLine="640"/>
        <w:rPr>
          <w:rFonts w:hint="eastAsia"/>
        </w:rPr>
      </w:pPr>
      <w:r>
        <w:rPr>
          <w:rFonts w:hint="eastAsia"/>
        </w:rPr>
        <w:t>2024年我市共有谋划类城市更新项目10个，估算总投资271.01亿元。其中广阳区项目8个，估算总投资123.37亿元；安次区项目2个，估算总投资131.31亿元。</w:t>
      </w:r>
    </w:p>
    <w:p w14:paraId="108B8198">
      <w:pPr>
        <w:spacing w:line="570" w:lineRule="exact"/>
        <w:ind w:firstLine="640"/>
        <w:outlineLvl w:val="3"/>
        <w:rPr>
          <w:rFonts w:hint="eastAsia" w:ascii="方正楷体_GBK" w:hAnsi="方正楷体_GBK" w:eastAsia="方正楷体_GBK" w:cs="方正楷体_GBK"/>
        </w:rPr>
      </w:pPr>
      <w:r>
        <w:rPr>
          <w:rFonts w:hint="eastAsia" w:ascii="方正楷体_GBK" w:hAnsi="方正楷体_GBK" w:eastAsia="方正楷体_GBK" w:cs="方正楷体_GBK"/>
        </w:rPr>
        <w:t>（二）存在问题</w:t>
      </w:r>
    </w:p>
    <w:p w14:paraId="52F75E36">
      <w:pPr>
        <w:jc w:val="left"/>
        <w:outlineLvl w:val="4"/>
        <w:rPr>
          <w:rFonts w:hint="eastAsia"/>
          <w:b/>
          <w:bCs/>
        </w:rPr>
      </w:pPr>
      <w:r>
        <w:rPr>
          <w:rFonts w:hint="eastAsia"/>
          <w:b/>
          <w:bCs/>
        </w:rPr>
        <w:t>1.住房维度</w:t>
      </w:r>
    </w:p>
    <w:p w14:paraId="76E62E15">
      <w:pPr>
        <w:ind w:firstLine="640"/>
        <w:jc w:val="left"/>
        <w:rPr>
          <w:rFonts w:hint="eastAsia"/>
        </w:rPr>
      </w:pPr>
      <w:r>
        <w:rPr>
          <w:rFonts w:hint="eastAsia"/>
        </w:rPr>
        <w:t>存在管线管道破损的住宅问题主要分布在安次区，问题体现在排水管线跑冒滴漏，主要分布在吉祥社区，其中钢厂宿舍平房小区有80栋（100%），永安西里小区有40栋（100%）。社会调查中居民对“水管老化破损、跑冒滴漏”问题提出较多，占比约11.6%。</w:t>
      </w:r>
    </w:p>
    <w:p w14:paraId="7782CE1E">
      <w:pPr>
        <w:ind w:firstLine="640"/>
        <w:jc w:val="left"/>
        <w:rPr>
          <w:rFonts w:hint="eastAsia"/>
        </w:rPr>
      </w:pPr>
      <w:r>
        <w:rPr>
          <w:rFonts w:hint="eastAsia"/>
        </w:rPr>
        <w:t>进展情况：针对有水管损漏问题的小区，2024年开始实施“开发区居民小区计量及管网改造项目”。计划完成包括帼华邮、蓝多廊、塞纳河谷、憩园新区、香榭丽舍五个小区的给水管道铺设（总长约7500米），水表更新（总数约2400块），更换相应阀门及阀门井，拆除便道及绿化并恢复原貌。进一步减少跑冒滴漏，解决漏损隐患，防止出现大面积停水和突发性停水。</w:t>
      </w:r>
    </w:p>
    <w:p w14:paraId="702A43B7">
      <w:pPr>
        <w:ind w:firstLine="640"/>
        <w:jc w:val="left"/>
        <w:rPr>
          <w:rFonts w:hint="eastAsia"/>
        </w:rPr>
      </w:pPr>
      <w:r>
        <w:rPr>
          <w:rFonts w:hint="eastAsia"/>
        </w:rPr>
        <w:t>《2023年廊坊市城市体检问题清单》指出</w:t>
      </w:r>
      <w:r>
        <w:t>需要进行适老化改造的住宅数量</w:t>
      </w:r>
      <w:r>
        <w:rPr>
          <w:rFonts w:hint="eastAsia"/>
        </w:rPr>
        <w:t>为627栋，其中建成时未安装电梯，具备加装电梯条件但尚未进行加装改造为127栋。</w:t>
      </w:r>
    </w:p>
    <w:p w14:paraId="2074B633">
      <w:pPr>
        <w:ind w:firstLine="640"/>
        <w:jc w:val="left"/>
        <w:rPr>
          <w:rFonts w:hint="eastAsia"/>
        </w:rPr>
      </w:pPr>
      <w:r>
        <w:rPr>
          <w:rFonts w:hint="eastAsia"/>
        </w:rPr>
        <w:t>进展情况：针对既有住宅楼电梯加装率低问题，市政府办印发《关于加快推进主城区既有住宅加装电梯工作的通知》，要求各区政府要督导各街道（乡镇）充分发挥基层组织作用，积极做好既有住宅加装电梯的沟通、协调和宣传工作，及时调处小区内既有住宅加装电梯过程中出现的矛盾纠纷，为我市既有住宅加装电梯工作奠定群众基础；同步优化加装电梯审批流程，提高审批效率。2023年市主城区完成加装电梯3部（广阳区阿尔卡迪亚小区3部）。</w:t>
      </w:r>
    </w:p>
    <w:p w14:paraId="387E799A">
      <w:pPr>
        <w:jc w:val="left"/>
        <w:outlineLvl w:val="4"/>
        <w:rPr>
          <w:rFonts w:hint="eastAsia"/>
          <w:b/>
          <w:bCs/>
        </w:rPr>
      </w:pPr>
      <w:r>
        <w:rPr>
          <w:rFonts w:hint="eastAsia"/>
          <w:b/>
          <w:bCs/>
        </w:rPr>
        <w:t>2.社区维度</w:t>
      </w:r>
    </w:p>
    <w:p w14:paraId="670BCFD3">
      <w:pPr>
        <w:ind w:firstLine="640"/>
        <w:jc w:val="left"/>
        <w:rPr>
          <w:rFonts w:hint="eastAsia"/>
        </w:rPr>
      </w:pPr>
      <w:r>
        <w:rPr>
          <w:rFonts w:hint="eastAsia"/>
        </w:rPr>
        <w:t>公共环境存在短板。廊坊市共21个体检社区，未达标配建公共活动场地的社区数量为9个，生活垃圾分类实施不完善的小区数量较多共有16个。小区管理不足。廊坊市共137个体检社区，未实施好物业管理的小区数量为44个，集中分布在安次区和广阳区。</w:t>
      </w:r>
    </w:p>
    <w:p w14:paraId="4B30CB69">
      <w:pPr>
        <w:ind w:firstLine="640"/>
        <w:jc w:val="left"/>
        <w:rPr>
          <w:rFonts w:hint="eastAsia"/>
        </w:rPr>
      </w:pPr>
      <w:r>
        <w:rPr>
          <w:rFonts w:hint="eastAsia"/>
        </w:rPr>
        <w:t>进展情况：廊坊市2024年5月1日实施《廊坊市餐厨废弃物管理条例》，《条例》对餐厨废弃物产生者以及收运、处置企业提出具体要求，强调属地和行业的双向管理，从不同层面、不同环节明确对餐厨废弃物的管理要求，力求建立横向相连、纵向相通的餐厨废弃物管理体系。结合餐厨废弃物收集、运输、处置现状及问题，细化对违规收售、倾倒餐厨废弃物等相关监管和执法条款，通过织密监察网络，助推《条例》各项规定落地落实，树立法规的权威性和实效性。</w:t>
      </w:r>
    </w:p>
    <w:p w14:paraId="29F85B5B">
      <w:pPr>
        <w:jc w:val="left"/>
        <w:outlineLvl w:val="4"/>
        <w:rPr>
          <w:rFonts w:hint="eastAsia"/>
          <w:b/>
          <w:bCs/>
        </w:rPr>
      </w:pPr>
      <w:r>
        <w:rPr>
          <w:rFonts w:hint="eastAsia"/>
          <w:b/>
          <w:bCs/>
        </w:rPr>
        <w:t>3.街区维度</w:t>
      </w:r>
    </w:p>
    <w:p w14:paraId="37D56E3A">
      <w:pPr>
        <w:ind w:firstLine="640"/>
        <w:jc w:val="left"/>
        <w:rPr>
          <w:rFonts w:hint="eastAsia"/>
        </w:rPr>
      </w:pPr>
      <w:r>
        <w:rPr>
          <w:rFonts w:hint="eastAsia"/>
        </w:rPr>
        <w:t>公园绿化场地建设、新建口袋公园数量存在短板。银河北路街道中部、北部的两个公园面积较小，南部广场绿地率约20%，按照国家园林城市要求，需进一步提升至35%；银河南路街道公园绿化活动场地面积达标，但布局合理性需进一步提升，北部和东南部缺乏绿化活动场地。</w:t>
      </w:r>
    </w:p>
    <w:p w14:paraId="11F27B71">
      <w:pPr>
        <w:ind w:firstLine="640"/>
        <w:jc w:val="left"/>
        <w:rPr>
          <w:rFonts w:hint="eastAsia"/>
        </w:rPr>
      </w:pPr>
      <w:r>
        <w:rPr>
          <w:rFonts w:hint="eastAsia"/>
        </w:rPr>
        <w:t>进展情况：一是根据省体育局体育场地设施惠民工作要求，制定《2023年廊坊市体育场地设施惠民工程实施方案》。目前已超额完成今年任务目标。更新健身设施563处、主题公园11个、足球场13个、篮球、乒乓球、羽毛球场地22个、健身步道13条。二是2024年广阳经开区谋划产业园项目。该项目城市更新实施范围主要集中在西区，用地面积约2136.18亩，总投资269亿元，项目内容主要是征地、拆迁、安置、补偿和道路及市政基础设施、公共服务设施、湖心公园建设。</w:t>
      </w:r>
    </w:p>
    <w:p w14:paraId="1E7665C2">
      <w:pPr>
        <w:ind w:firstLine="640"/>
        <w:jc w:val="left"/>
        <w:rPr>
          <w:rFonts w:hint="eastAsia"/>
        </w:rPr>
      </w:pPr>
      <w:r>
        <w:rPr>
          <w:rFonts w:hint="eastAsia"/>
        </w:rPr>
        <w:t>街道有序性存在短板，路边车辆违停现象严重。银河北路街道有四条道路存在乱停放车辆问题，包括银河北路、迎春北路、文明路和永丰道。其中，迎春北路因老旧小区多且停车位不足，居民常在人行道上停车。银河南路街道也有3条道路面临同样问题，即银河南路、常甫路和辛庄道，这些道路周边商务办公楼、商场和店铺密集，人车流量大，但停车位规划不足。</w:t>
      </w:r>
    </w:p>
    <w:p w14:paraId="3F2A96CC">
      <w:pPr>
        <w:ind w:firstLine="640"/>
        <w:jc w:val="left"/>
        <w:rPr>
          <w:rFonts w:hint="eastAsia"/>
        </w:rPr>
      </w:pPr>
      <w:r>
        <w:rPr>
          <w:rFonts w:hint="eastAsia"/>
        </w:rPr>
        <w:t>进展情况：2022—2023年按照《2022年廊坊市停车设施建设工作实施方案》的通知要求，共计新增3个临时停车场，分别是：汇源道临时停车场、官东路临时停车场、友谊路临时停车场；备案开放8个专用停车场，分别是：廊坊开发区鸬鹚佩罗停车场服务部专用停车场、廊坊保航智能停车管理有限公司专用停车场、廊坊开发区宇拓房地产开发有限公司专用停车场、映山红酒店管理有限公司专用停车场、廊坊万达学苑投资有限公司开发区分公司专用停车场、廊坊艾力枫社物业服务有限公司专用停车场、廊坊新绎水云间商业管理有限公司开发区第一分公司专用停车场、廊坊汇佳物业有限公司专用停车场。共计新增或开放停车泊位2874个。2024年有关单位将分别督导前进广场、开新广场将内部停车场备案开放，共计开放停车位875个。结合《廊坊市中心城区公共停车场建设三年行动计划》目标任务，持续推进保航停车小镇公共停车设施建设项目，此项目可增加停车泊位467个，供周边社区使用。同时积极推进“廊坊开发区停车场充电设施及社区充电设施统筹统建项目”，计划在开发区建设充电桩端口1106个，目前该项目正在积极推进建设中，建成后可有效解决新能源汽车充电桩不足问题。</w:t>
      </w:r>
    </w:p>
    <w:p w14:paraId="5FE7E959">
      <w:pPr>
        <w:jc w:val="left"/>
        <w:outlineLvl w:val="4"/>
        <w:rPr>
          <w:rFonts w:hint="eastAsia"/>
          <w:b/>
          <w:bCs/>
        </w:rPr>
      </w:pPr>
      <w:r>
        <w:rPr>
          <w:rFonts w:hint="eastAsia"/>
          <w:b/>
          <w:bCs/>
        </w:rPr>
        <w:t>4.城区维度</w:t>
      </w:r>
    </w:p>
    <w:p w14:paraId="5EEFE1FB">
      <w:pPr>
        <w:widowControl/>
        <w:ind w:firstLine="640"/>
        <w:jc w:val="left"/>
        <w:rPr>
          <w:rFonts w:hint="eastAsia"/>
        </w:rPr>
      </w:pPr>
      <w:r>
        <w:rPr>
          <w:rFonts w:hint="eastAsia"/>
        </w:rPr>
        <w:t>城市安全韧性仍需不断提升，城市消防站覆盖率38.91%，距2025年≥75%的评价标准还有一定的差距。智慧化管理有待提升。高层建筑智能化火灾监测预警覆盖率为2.44%，廊坊市主城区仅在重点风险防控点安装了智能化火灾监测预警装置仅59处。</w:t>
      </w:r>
    </w:p>
    <w:p w14:paraId="33BD548B">
      <w:pPr>
        <w:widowControl/>
        <w:ind w:firstLine="640"/>
        <w:jc w:val="left"/>
        <w:rPr>
          <w:rFonts w:hint="eastAsia"/>
        </w:rPr>
      </w:pPr>
      <w:r>
        <w:rPr>
          <w:rFonts w:hint="eastAsia"/>
        </w:rPr>
        <w:t>进展情况：廊坊市消防救援支队加快消防设施补短板，修编消防专项规划，解决布局不合理问题，《廊坊市中心城区消防专项规划（2024-2035年）》已经市长专题会审议通过；结合廊坊市消防事业发展“十四五”规划，优化站点布局，积极推进消防救援站建设工作，提升消防救援覆盖能力。</w:t>
      </w:r>
    </w:p>
    <w:p w14:paraId="016123BA">
      <w:pPr>
        <w:widowControl/>
        <w:ind w:firstLine="640"/>
        <w:jc w:val="left"/>
        <w:rPr>
          <w:rFonts w:hint="eastAsia"/>
        </w:rPr>
      </w:pPr>
      <w:r>
        <w:rPr>
          <w:rFonts w:hint="eastAsia"/>
        </w:rPr>
        <w:t>产业发展仍需加强。万人高新技术企业数为5.82，虽超过全国万人高新技术企业1.94，但仍低于北京万人高新技术企业13.25和天津8.07，离京津冀协同发展目标还有一定差距。建筑业绿色发展方面仍需提高。新建绿色建筑中星级绿色建筑占比25.74%，距2025年≥50%仍有一定差距。</w:t>
      </w:r>
    </w:p>
    <w:p w14:paraId="06A45823">
      <w:pPr>
        <w:ind w:firstLine="640"/>
        <w:jc w:val="left"/>
        <w:rPr>
          <w:rFonts w:hint="eastAsia"/>
        </w:rPr>
      </w:pPr>
      <w:r>
        <w:rPr>
          <w:rFonts w:hint="eastAsia"/>
        </w:rPr>
        <w:t>进展情况：截至2023年12月绿色建筑占新建建筑比例为100%，竣工星级绿色建筑占比57.43%，超额完成省定星级绿色建筑占比30%任务指标。2024年</w:t>
      </w:r>
      <w:r>
        <w:t>继续严格执行《廊坊市人民政府印发加快推进绿色建筑产业发展的若干意见的通知》</w:t>
      </w:r>
      <w:r>
        <w:rPr>
          <w:rFonts w:hint="eastAsia"/>
        </w:rPr>
        <w:t>（</w:t>
      </w:r>
      <w:r>
        <w:t>廊政办字</w:t>
      </w:r>
      <w:r>
        <w:rPr>
          <w:rFonts w:hint="eastAsia"/>
        </w:rPr>
        <w:t>〔</w:t>
      </w:r>
      <w:r>
        <w:t>2021</w:t>
      </w:r>
      <w:r>
        <w:rPr>
          <w:rFonts w:hint="eastAsia"/>
        </w:rPr>
        <w:t>〕</w:t>
      </w:r>
      <w:r>
        <w:t>4号</w:t>
      </w:r>
      <w:r>
        <w:rPr>
          <w:rFonts w:hint="eastAsia"/>
        </w:rPr>
        <w:t>）</w:t>
      </w:r>
      <w:r>
        <w:t>文件要求，采用试点示范先行、以点带面的方式推动绿色建筑；加大宣传力度，构建多渠道、全方位的宣传格局；进一步完善管理机制，加快推进绿色建筑等相关产业发展。</w:t>
      </w:r>
    </w:p>
    <w:p w14:paraId="69D5E7B8">
      <w:pPr>
        <w:keepNext/>
        <w:keepLines/>
        <w:ind w:firstLine="640"/>
        <w:jc w:val="left"/>
        <w:outlineLvl w:val="1"/>
        <w:rPr>
          <w:rFonts w:hint="eastAsia" w:ascii="方正黑体_GBK" w:hAnsi="方正黑体_GBK" w:eastAsia="方正黑体_GBK" w:cs="方正黑体_GBK"/>
          <w:bCs/>
        </w:rPr>
      </w:pPr>
      <w:bookmarkStart w:id="31" w:name="_Toc3857"/>
      <w:bookmarkStart w:id="32" w:name="_Toc18744"/>
      <w:bookmarkStart w:id="33" w:name="_Toc15572"/>
      <w:r>
        <w:rPr>
          <w:rFonts w:hint="eastAsia" w:ascii="方正黑体_GBK" w:hAnsi="方正黑体_GBK" w:eastAsia="方正黑体_GBK" w:cs="方正黑体_GBK"/>
          <w:bCs/>
        </w:rPr>
        <w:t>六、2023年体检转化应用情况及2024年工作谋划</w:t>
      </w:r>
      <w:bookmarkEnd w:id="31"/>
      <w:bookmarkEnd w:id="32"/>
      <w:bookmarkEnd w:id="33"/>
    </w:p>
    <w:p w14:paraId="4E275B3D">
      <w:pPr>
        <w:pStyle w:val="24"/>
        <w:adjustRightInd w:val="0"/>
        <w:snapToGrid w:val="0"/>
        <w:spacing w:beforeAutospacing="0" w:afterAutospacing="0"/>
        <w:ind w:firstLine="640"/>
        <w:rPr>
          <w:rFonts w:hint="eastAsia" w:ascii="方正仿宋_GBK" w:hAnsi="方正仿宋_GBK" w:eastAsia="方正仿宋_GBK" w:cs="方正仿宋_GBK"/>
          <w:kern w:val="2"/>
          <w:sz w:val="32"/>
          <w:szCs w:val="32"/>
        </w:rPr>
      </w:pPr>
      <w:r>
        <w:rPr>
          <w:rFonts w:ascii="方正仿宋_GBK" w:hAnsi="方正仿宋_GBK" w:eastAsia="方正仿宋_GBK" w:cs="方正仿宋_GBK"/>
          <w:kern w:val="2"/>
          <w:sz w:val="32"/>
          <w:szCs w:val="32"/>
        </w:rPr>
        <w:t>针对2022-2023年度城市体检中识别出的23项关键指标问题</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相关责任单位包括市住建局</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开发区</w:t>
      </w:r>
      <w:r>
        <w:rPr>
          <w:rFonts w:hint="eastAsia" w:ascii="方正仿宋_GBK" w:hAnsi="方正仿宋_GBK" w:eastAsia="方正仿宋_GBK" w:cs="方正仿宋_GBK"/>
          <w:kern w:val="2"/>
          <w:sz w:val="32"/>
          <w:szCs w:val="32"/>
        </w:rPr>
        <w:t>管委会、</w:t>
      </w:r>
      <w:r>
        <w:rPr>
          <w:rFonts w:ascii="方正仿宋_GBK" w:hAnsi="方正仿宋_GBK" w:eastAsia="方正仿宋_GBK" w:cs="方正仿宋_GBK"/>
          <w:kern w:val="2"/>
          <w:sz w:val="32"/>
          <w:szCs w:val="32"/>
        </w:rPr>
        <w:t>广阳区城市更新办、市教育局、市旧改办、市体育局、市卫健委、市</w:t>
      </w:r>
      <w:r>
        <w:rPr>
          <w:rFonts w:hint="eastAsia" w:ascii="方正仿宋_GBK" w:hAnsi="方正仿宋_GBK" w:eastAsia="方正仿宋_GBK" w:cs="方正仿宋_GBK"/>
          <w:kern w:val="2"/>
          <w:sz w:val="32"/>
          <w:szCs w:val="32"/>
        </w:rPr>
        <w:t>社工部</w:t>
      </w:r>
      <w:r>
        <w:rPr>
          <w:rFonts w:ascii="方正仿宋_GBK" w:hAnsi="方正仿宋_GBK" w:eastAsia="方正仿宋_GBK" w:cs="方正仿宋_GBK"/>
          <w:kern w:val="2"/>
          <w:sz w:val="32"/>
          <w:szCs w:val="32"/>
        </w:rPr>
        <w:t>、市消防支队、市供水公司、市生态环境局、市城市管理综合行政执法局、市燃热中心以及市园林绿化事务中心等共计1</w:t>
      </w:r>
      <w:r>
        <w:rPr>
          <w:rFonts w:hint="eastAsia" w:ascii="方正仿宋_GBK" w:hAnsi="方正仿宋_GBK" w:eastAsia="方正仿宋_GBK" w:cs="方正仿宋_GBK"/>
          <w:kern w:val="2"/>
          <w:sz w:val="32"/>
          <w:szCs w:val="32"/>
        </w:rPr>
        <w:t>3</w:t>
      </w:r>
      <w:r>
        <w:rPr>
          <w:rFonts w:ascii="方正仿宋_GBK" w:hAnsi="方正仿宋_GBK" w:eastAsia="方正仿宋_GBK" w:cs="方正仿宋_GBK"/>
          <w:kern w:val="2"/>
          <w:sz w:val="32"/>
          <w:szCs w:val="32"/>
        </w:rPr>
        <w:t>个部门</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均已针对各自负责的问题领域</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提出了详细的2023年体检成果转化应用情况及2024年的工作规划。</w:t>
      </w:r>
    </w:p>
    <w:p w14:paraId="56E40222">
      <w:pPr>
        <w:pStyle w:val="24"/>
        <w:adjustRightInd w:val="0"/>
        <w:snapToGrid w:val="0"/>
        <w:spacing w:beforeAutospacing="0" w:afterAutospacing="0"/>
        <w:ind w:firstLine="640"/>
        <w:rPr>
          <w:rFonts w:hint="eastAsia" w:ascii="方正仿宋_GBK" w:hAnsi="方正仿宋_GBK" w:eastAsia="方正仿宋_GBK" w:cs="方正仿宋_GBK"/>
          <w:kern w:val="2"/>
          <w:sz w:val="32"/>
          <w:szCs w:val="32"/>
        </w:rPr>
      </w:pPr>
      <w:r>
        <w:rPr>
          <w:rFonts w:ascii="方正仿宋_GBK" w:hAnsi="方正仿宋_GBK" w:eastAsia="方正仿宋_GBK" w:cs="方正仿宋_GBK"/>
          <w:kern w:val="2"/>
          <w:sz w:val="32"/>
          <w:szCs w:val="32"/>
        </w:rPr>
        <w:t>针对2023年体检成果转化应用情况：</w:t>
      </w:r>
      <w:r>
        <w:rPr>
          <w:rFonts w:hint="eastAsia" w:ascii="方正仿宋_GBK" w:hAnsi="方正仿宋_GBK" w:eastAsia="方正仿宋_GBK" w:cs="方正仿宋_GBK"/>
          <w:kern w:val="2"/>
          <w:sz w:val="32"/>
          <w:szCs w:val="32"/>
        </w:rPr>
        <w:t>廊坊市城市体检相关责任单位</w:t>
      </w:r>
      <w:r>
        <w:rPr>
          <w:rFonts w:ascii="方正仿宋_GBK" w:hAnsi="方正仿宋_GBK" w:eastAsia="方正仿宋_GBK" w:cs="方正仿宋_GBK"/>
          <w:kern w:val="2"/>
          <w:sz w:val="32"/>
          <w:szCs w:val="32"/>
        </w:rPr>
        <w:t>深入分析体检结果</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明确问题根源</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制定切实可行的整改措施。加强部门间的协调配合</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确保整改工作有序推进。定期跟踪整改进展</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及时调整优化工作方案。加大宣传力度</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提高市民对城市体检工作的认知度和参与度。</w:t>
      </w:r>
    </w:p>
    <w:p w14:paraId="0432BD6E">
      <w:pPr>
        <w:pStyle w:val="24"/>
        <w:adjustRightInd w:val="0"/>
        <w:snapToGrid w:val="0"/>
        <w:spacing w:beforeAutospacing="0" w:afterAutospacing="0"/>
        <w:ind w:firstLine="640"/>
        <w:rPr>
          <w:rFonts w:hint="eastAsia" w:ascii="方正仿宋_GBK" w:hAnsi="方正仿宋_GBK" w:eastAsia="方正仿宋_GBK" w:cs="方正仿宋_GBK"/>
          <w:kern w:val="2"/>
          <w:sz w:val="32"/>
          <w:szCs w:val="32"/>
        </w:rPr>
      </w:pPr>
      <w:r>
        <w:rPr>
          <w:rFonts w:ascii="方正仿宋_GBK" w:hAnsi="方正仿宋_GBK" w:eastAsia="方正仿宋_GBK" w:cs="方正仿宋_GBK"/>
          <w:kern w:val="2"/>
          <w:sz w:val="32"/>
          <w:szCs w:val="32"/>
        </w:rPr>
        <w:t>关于2024年工作谋划</w:t>
      </w:r>
      <w:r>
        <w:rPr>
          <w:rFonts w:hint="eastAsia" w:ascii="方正仿宋_GBK" w:hAnsi="方正仿宋_GBK" w:eastAsia="方正仿宋_GBK" w:cs="方正仿宋_GBK"/>
          <w:kern w:val="2"/>
          <w:sz w:val="32"/>
          <w:szCs w:val="32"/>
        </w:rPr>
        <w:t>：廊坊市城市体检相关责任单位</w:t>
      </w:r>
      <w:r>
        <w:rPr>
          <w:rFonts w:ascii="方正仿宋_GBK" w:hAnsi="方正仿宋_GBK" w:eastAsia="方正仿宋_GBK" w:cs="方正仿宋_GBK"/>
          <w:kern w:val="2"/>
          <w:sz w:val="32"/>
          <w:szCs w:val="32"/>
        </w:rPr>
        <w:t>结合城市发展规划和市民需求</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制定科学合理的年度工作计划。突出工作重点</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明确责任分工</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确保各项任务得到有效落实。加强监管和考核</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确保工作质量和效率。积极探索创新</w:t>
      </w:r>
      <w:r>
        <w:rPr>
          <w:rFonts w:hint="eastAsia" w:ascii="方正仿宋_GBK" w:hAnsi="方正仿宋_GBK" w:eastAsia="方正仿宋_GBK" w:cs="方正仿宋_GBK"/>
          <w:kern w:val="2"/>
          <w:sz w:val="32"/>
          <w:szCs w:val="32"/>
        </w:rPr>
        <w:t>，</w:t>
      </w:r>
      <w:r>
        <w:rPr>
          <w:rFonts w:ascii="方正仿宋_GBK" w:hAnsi="方正仿宋_GBK" w:eastAsia="方正仿宋_GBK" w:cs="方正仿宋_GBK"/>
          <w:kern w:val="2"/>
          <w:sz w:val="32"/>
          <w:szCs w:val="32"/>
        </w:rPr>
        <w:t>推动城市体检工作向更高水平发展。</w:t>
      </w:r>
    </w:p>
    <w:p w14:paraId="2999C7BB">
      <w:pPr>
        <w:spacing w:line="570" w:lineRule="exact"/>
        <w:ind w:firstLine="640"/>
        <w:outlineLvl w:val="3"/>
        <w:rPr>
          <w:rFonts w:hint="eastAsia" w:ascii="方正楷体_GBK" w:hAnsi="方正楷体_GBK" w:eastAsia="方正楷体_GBK" w:cs="方正楷体_GBK"/>
        </w:rPr>
      </w:pPr>
      <w:r>
        <w:rPr>
          <w:rFonts w:hint="eastAsia" w:ascii="方正楷体_GBK" w:hAnsi="方正楷体_GBK" w:eastAsia="方正楷体_GBK" w:cs="方正楷体_GBK"/>
        </w:rPr>
        <w:t>（一）各局问题指标整改情况</w:t>
      </w:r>
    </w:p>
    <w:p w14:paraId="0B900F34">
      <w:pPr>
        <w:jc w:val="left"/>
        <w:outlineLvl w:val="4"/>
        <w:rPr>
          <w:rFonts w:hint="eastAsia"/>
          <w:b/>
          <w:bCs/>
        </w:rPr>
      </w:pPr>
      <w:r>
        <w:rPr>
          <w:rFonts w:hint="eastAsia"/>
          <w:b/>
          <w:bCs/>
        </w:rPr>
        <w:t>1.住建局（市园林中心）</w:t>
      </w:r>
    </w:p>
    <w:p w14:paraId="30A3EF32">
      <w:pPr>
        <w:ind w:firstLine="640"/>
        <w:jc w:val="left"/>
        <w:rPr>
          <w:rFonts w:hint="eastAsia"/>
        </w:rPr>
      </w:pPr>
      <w:r>
        <w:rPr>
          <w:rFonts w:hint="eastAsia"/>
        </w:rPr>
        <w:t>体检指标：城市绿道服务半径覆盖率为60.93%，要求大于70%。</w:t>
      </w:r>
    </w:p>
    <w:p w14:paraId="1C1C1893">
      <w:pPr>
        <w:ind w:firstLine="640"/>
        <w:jc w:val="left"/>
        <w:rPr>
          <w:rFonts w:hint="eastAsia"/>
        </w:rPr>
      </w:pPr>
      <w:r>
        <w:rPr>
          <w:rFonts w:hint="eastAsia"/>
        </w:rPr>
        <w:t>1）落实情况</w:t>
      </w:r>
    </w:p>
    <w:p w14:paraId="7CE776D9">
      <w:pPr>
        <w:ind w:firstLine="640"/>
        <w:jc w:val="left"/>
        <w:rPr>
          <w:rFonts w:hint="eastAsia"/>
        </w:rPr>
      </w:pPr>
      <w:r>
        <w:rPr>
          <w:rFonts w:hint="eastAsia"/>
        </w:rPr>
        <w:t>一是实施广阳道（西昌路－东安路）及银河南路（光明西道－廊霸路）道路提升配套绿化工程。其中广阳道（西昌路－东安路）绿化范围包括机非隔离带和便道绿地，全长约5.4公里，面积约29300平方米，包括绿化工程、小品工程、亮化工程、铺装工程及树木修剪，提升原有城市绿化景观效果。银河南路（光明西道－廊霸路）绿化范围包括机非隔离带、便道绿地和便道外绿化带及游园，全长约3.5公里，面积约22200平方米，包括绿化工程、绿化浇灌给水工程、小品工程、亮化工程、铺装工程及广场硬化拆除、花架拆除等。</w:t>
      </w:r>
    </w:p>
    <w:p w14:paraId="56C74C8E">
      <w:pPr>
        <w:ind w:firstLine="640"/>
        <w:jc w:val="left"/>
        <w:rPr>
          <w:rFonts w:hint="eastAsia"/>
        </w:rPr>
      </w:pPr>
      <w:r>
        <w:rPr>
          <w:rFonts w:hint="eastAsia"/>
        </w:rPr>
        <w:t>二是实施新建道路绿化建设。包括规划三路（瑞丰道－南龙道、永华道-辛庄道）、瑞丰道（常青路－西昌路、规划二路－银河路）、辛庄道（常青路－永兴路、规划二路－银河路）、祥云北道等市政新建道路，建设绿地面积约2.1万平方米。</w:t>
      </w:r>
    </w:p>
    <w:p w14:paraId="36D0C8D1">
      <w:pPr>
        <w:ind w:firstLine="640"/>
        <w:jc w:val="left"/>
        <w:rPr>
          <w:rFonts w:hint="eastAsia"/>
        </w:rPr>
      </w:pPr>
      <w:r>
        <w:rPr>
          <w:rFonts w:hint="eastAsia"/>
        </w:rPr>
        <w:t>2）2024年谋划</w:t>
      </w:r>
    </w:p>
    <w:p w14:paraId="02B4BC9E">
      <w:pPr>
        <w:ind w:firstLine="640"/>
        <w:jc w:val="left"/>
        <w:rPr>
          <w:rFonts w:hint="eastAsia"/>
        </w:rPr>
      </w:pPr>
      <w:r>
        <w:rPr>
          <w:rFonts w:hint="eastAsia"/>
        </w:rPr>
        <w:t>市园林中心继续加大城市绿化力度，拟实施市区新源道（裕华路－银河路）、金光道（西昌路至海德公园车行主入口）、丰盛路（广阳道－汇源道）、北凤道（西昌路以西）、汇源道（经六路－永兴路）、永兴路（汇源道－纬一路）等新建道路的配套绿化工程，包括苗木种植、给水管网的铺设等，提升城市绿化面积，增加城市可渗透地面面积，计划投资1096万元。</w:t>
      </w:r>
    </w:p>
    <w:p w14:paraId="6AB49FD6">
      <w:pPr>
        <w:jc w:val="left"/>
        <w:outlineLvl w:val="4"/>
        <w:rPr>
          <w:rFonts w:hint="eastAsia"/>
          <w:b/>
          <w:bCs/>
        </w:rPr>
      </w:pPr>
      <w:r>
        <w:rPr>
          <w:rFonts w:hint="eastAsia"/>
          <w:b/>
          <w:bCs/>
        </w:rPr>
        <w:t>2.住建局（园林绿化指导科）</w:t>
      </w:r>
    </w:p>
    <w:p w14:paraId="2E64B58E">
      <w:pPr>
        <w:ind w:firstLine="640"/>
        <w:jc w:val="left"/>
        <w:rPr>
          <w:rFonts w:hint="eastAsia"/>
        </w:rPr>
      </w:pPr>
      <w:r>
        <w:rPr>
          <w:rFonts w:hint="eastAsia"/>
        </w:rPr>
        <w:t>体检指标：公园绿化活动场地服务半径覆盖率银河北街道为86.39%；银河南街道为53.9%，银河南街道不满足国家园林城市≥85%的要求。</w:t>
      </w:r>
    </w:p>
    <w:p w14:paraId="6895C6C6">
      <w:pPr>
        <w:ind w:firstLine="640"/>
        <w:jc w:val="left"/>
        <w:rPr>
          <w:rFonts w:hint="eastAsia"/>
        </w:rPr>
      </w:pPr>
      <w:r>
        <w:rPr>
          <w:rFonts w:hint="eastAsia"/>
        </w:rPr>
        <w:t>2024年谋划。2024年我市将进一步提高公园绿地活动场地服务半径覆盖率，全市新建成高品质口袋公园6座，三河市、大厂县、香河县、固安县、大城县、广阳区各建成1个。</w:t>
      </w:r>
    </w:p>
    <w:p w14:paraId="54F790FD">
      <w:pPr>
        <w:jc w:val="left"/>
        <w:outlineLvl w:val="4"/>
        <w:rPr>
          <w:rFonts w:hint="eastAsia"/>
          <w:b/>
          <w:bCs/>
        </w:rPr>
      </w:pPr>
      <w:r>
        <w:rPr>
          <w:rFonts w:hint="eastAsia"/>
          <w:b/>
          <w:bCs/>
        </w:rPr>
        <w:t>3.住建局（旧改办）</w:t>
      </w:r>
    </w:p>
    <w:p w14:paraId="38822BCD">
      <w:pPr>
        <w:ind w:firstLine="640"/>
        <w:jc w:val="left"/>
        <w:rPr>
          <w:rFonts w:hint="eastAsia"/>
        </w:rPr>
      </w:pPr>
      <w:r>
        <w:rPr>
          <w:rFonts w:hint="eastAsia"/>
        </w:rPr>
        <w:t>体检指标：《2023年廊坊市城市体检问题清单》指出我市需要进行适老化改造的住宅数量为627栋，其中建成时未安装电梯，具备加装电梯条件但尚未进行加装改造为127栋。</w:t>
      </w:r>
    </w:p>
    <w:p w14:paraId="74D734E8">
      <w:pPr>
        <w:ind w:firstLine="640"/>
        <w:jc w:val="left"/>
        <w:rPr>
          <w:rFonts w:hint="eastAsia"/>
        </w:rPr>
      </w:pPr>
      <w:r>
        <w:rPr>
          <w:rFonts w:hint="eastAsia"/>
        </w:rPr>
        <w:t>1）落实情况</w:t>
      </w:r>
    </w:p>
    <w:p w14:paraId="7F159586">
      <w:pPr>
        <w:ind w:firstLine="640"/>
        <w:jc w:val="left"/>
        <w:rPr>
          <w:rFonts w:hint="eastAsia"/>
        </w:rPr>
      </w:pPr>
      <w:r>
        <w:rPr>
          <w:rFonts w:hint="eastAsia"/>
        </w:rPr>
        <w:t>针对既有住宅楼电梯加装率低问题，市政府办印发《关于加快推进主城区既有住宅加装电梯工作的通知》，要求各区政府要督导各街道（乡镇）充分发挥基层组织作用，积极做好既有住宅加装电梯的沟通、协调和宣传工作，及时调处小区内既有住宅加装电梯过程中出现的矛盾纠纷，为我市既有住宅加装电梯工作奠定群众基础；同步优化加装电梯审批流程，提高审批效率。2023年市主城区完成加装电梯3部（广阳区阿尔卡迪亚小区3部）。</w:t>
      </w:r>
    </w:p>
    <w:p w14:paraId="7A162F96">
      <w:pPr>
        <w:ind w:firstLine="640"/>
        <w:jc w:val="left"/>
        <w:rPr>
          <w:rFonts w:hint="eastAsia"/>
        </w:rPr>
      </w:pPr>
      <w:r>
        <w:rPr>
          <w:rFonts w:hint="eastAsia"/>
        </w:rPr>
        <w:t>2）2024年谋划</w:t>
      </w:r>
    </w:p>
    <w:p w14:paraId="402C7BB6">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一是指导各区加强既有住宅加装电梯政策宣传，引导小区居民积极开展加装电梯，街道办事处、居民委员会着力做好加装电梯中邻里纠纷化解工作；二是进一步优化加装电梯政策，研究争取政府财政补贴，提高居民加装电梯积极性。</w:t>
      </w:r>
    </w:p>
    <w:p w14:paraId="0592D674">
      <w:pPr>
        <w:jc w:val="left"/>
        <w:outlineLvl w:val="4"/>
        <w:rPr>
          <w:rFonts w:hint="eastAsia"/>
          <w:b/>
          <w:bCs/>
        </w:rPr>
      </w:pPr>
      <w:r>
        <w:rPr>
          <w:rFonts w:hint="eastAsia"/>
          <w:b/>
          <w:bCs/>
        </w:rPr>
        <w:t>4.开发区管委会</w:t>
      </w:r>
    </w:p>
    <w:p w14:paraId="6D39D1BE">
      <w:pPr>
        <w:ind w:firstLine="640"/>
        <w:jc w:val="left"/>
        <w:rPr>
          <w:rFonts w:hint="eastAsia"/>
        </w:rPr>
      </w:pPr>
      <w:r>
        <w:rPr>
          <w:rFonts w:hint="eastAsia"/>
        </w:rPr>
        <w:t>体检指标：《2023年廊坊市城市体检问题清单》指出我市停车泊位缺口为13508个，其中开发区祥泰社区存在停车位缺口。我市存在管线管道破损的住宅数量（栋）为582，其中开发区憩园社区有44栋。我市存在楼道安全隐患的住宅数量为387栋。</w:t>
      </w:r>
    </w:p>
    <w:p w14:paraId="5E30494D">
      <w:pPr>
        <w:ind w:firstLine="640"/>
        <w:jc w:val="left"/>
        <w:rPr>
          <w:rFonts w:hint="eastAsia"/>
        </w:rPr>
      </w:pPr>
      <w:r>
        <w:rPr>
          <w:rFonts w:hint="eastAsia"/>
        </w:rPr>
        <w:t>1）落实情况：</w:t>
      </w:r>
    </w:p>
    <w:p w14:paraId="7D7902BC">
      <w:pPr>
        <w:ind w:firstLine="640"/>
        <w:jc w:val="left"/>
        <w:rPr>
          <w:rFonts w:hint="eastAsia"/>
        </w:rPr>
      </w:pPr>
      <w:r>
        <w:rPr>
          <w:rFonts w:hint="eastAsia"/>
        </w:rPr>
        <w:t>一是推进停车泊位建设情况。2022—2023年，我区按照《2022年廊坊市停车设施建设工作实施方案》的通知要求，共计新增3个临时停车场，分别是：汇源道临时停车场、官东路临时停车场、友谊路临时停车场；备案开放8个专用停车场，分别是：廊坊开发区鸬鹚佩罗停车场服务部专用停车场、廊坊保航智能停车管理有限公司专用停车场、廊坊开发区宇拓房地产开发有限公司专用停车场、映山红酒店管理有限公司专用停车场、廊坊万达学苑投资有限公司开发区分公司专用停车场、廊坊艾力枫社物业服务有限公司专用停车场、廊坊新绎水云间商业管理有限公司开发区第一分公司专用停车场、廊坊汇佳物业有限公司专用停车场。共计新增或开放停车泊位2874个。</w:t>
      </w:r>
    </w:p>
    <w:p w14:paraId="266AD87D">
      <w:pPr>
        <w:ind w:firstLine="640"/>
        <w:jc w:val="left"/>
        <w:rPr>
          <w:rFonts w:hint="eastAsia"/>
        </w:rPr>
      </w:pPr>
      <w:r>
        <w:rPr>
          <w:rFonts w:hint="eastAsia"/>
        </w:rPr>
        <w:t>结合廊坊市人民政府办公室《关于进一步推进停车设施建设的实施方案》要求，清退路内停车泊位980个，分别是：四海路（金源道-花园道）、华祥路（汇源道－金源道）、华祥路（祥云道-北凤道（祥云道-北凤道）、北凤道（华祥路－荣府南门）、芙蓉道（创业路－官东路）、官东路、友谊路与广阳道交口南侧、友谊路与广阳道交口东侧、友谊路与北凤道交口东侧、友谊路与祥云道交口南侧的东西侧车位。</w:t>
      </w:r>
    </w:p>
    <w:p w14:paraId="6C00065A">
      <w:pPr>
        <w:ind w:firstLine="640"/>
        <w:jc w:val="left"/>
        <w:rPr>
          <w:rFonts w:hint="eastAsia"/>
        </w:rPr>
      </w:pPr>
      <w:r>
        <w:rPr>
          <w:rFonts w:hint="eastAsia"/>
        </w:rPr>
        <w:t>二是对漏损隐患的老旧居民小区勘查情况。2023年度对开发区范围内的居民小区进行现场勘查摸底，对漏损隐患的老旧居民小区进行统计，主要涉及帼华邮、蓝多廊等小区的给水管道铺设、水表更新。编制“开发区居民小区计量及管网改造项目”列入廊坊开发区2023年度基建计划。2023年度已完成项目招标工作。</w:t>
      </w:r>
    </w:p>
    <w:p w14:paraId="5800ADD2">
      <w:pPr>
        <w:ind w:firstLine="640"/>
        <w:jc w:val="left"/>
        <w:rPr>
          <w:rFonts w:hint="eastAsia"/>
        </w:rPr>
      </w:pPr>
      <w:r>
        <w:rPr>
          <w:rFonts w:hint="eastAsia"/>
        </w:rPr>
        <w:t>三是推进解决采暖季温度不达标问题。2023年廊坊市城市自体检问题清单中开发区憩园社区44个采暖季温度不达标问题，主要集中在塞纳荣府和塞纳河谷小区。由于这两个小区建成时，供热设施存在质量问题，供热管网已经锈蚀、损坏严重。今冬供暖前期，小区内供热管道多次多地发生泄漏，导致用户室温不达标。经过对小区供热管道多日连续抢修后，小区供热已经稳定。目前这两个小区的室温不达标投诉几乎为零。</w:t>
      </w:r>
    </w:p>
    <w:p w14:paraId="2D192656">
      <w:pPr>
        <w:ind w:firstLine="640"/>
        <w:jc w:val="left"/>
        <w:rPr>
          <w:rFonts w:hint="eastAsia"/>
        </w:rPr>
      </w:pPr>
      <w:r>
        <w:rPr>
          <w:rFonts w:hint="eastAsia"/>
        </w:rPr>
        <w:t>2）2024年工作谋划</w:t>
      </w:r>
    </w:p>
    <w:p w14:paraId="38E06AF0">
      <w:pPr>
        <w:ind w:firstLine="640"/>
        <w:jc w:val="left"/>
        <w:rPr>
          <w:rFonts w:hint="eastAsia"/>
        </w:rPr>
      </w:pPr>
      <w:r>
        <w:rPr>
          <w:rFonts w:hint="eastAsia"/>
        </w:rPr>
        <w:t>一是针对问题清单中“祥泰社区附近存在停车泊位缺口”，“开发区祥泰社区附近存在新能源汽车充电桩缺口”等问题，2024年有关单位将分别督导前进广场、开新广场将内部停车场备案开放，共计开放停车位875个。结合《廊坊市中心城区公共停车场建设三年行动计划》目标任务，持续推进保航停车小镇公共停车设施建设项目，此项目可增加停车泊位467个，供周边社区使用。同时积极推进“廊坊开发区停车场充电设施及社区充电设施统筹统建项目”，计划在全区建设充电桩端口1106个，目前该项目正在积极推进建设中，建成后可有效解决新能源汽车充电桩不足问题。</w:t>
      </w:r>
    </w:p>
    <w:p w14:paraId="14734DC9">
      <w:pPr>
        <w:ind w:firstLine="640"/>
        <w:jc w:val="left"/>
        <w:rPr>
          <w:rFonts w:hint="eastAsia"/>
        </w:rPr>
      </w:pPr>
      <w:r>
        <w:rPr>
          <w:rFonts w:hint="eastAsia"/>
        </w:rPr>
        <w:t>二是针对有水管损漏问题的小区，2024年开始实施“开发区居民小区计量及管网改造项目”。计划完成包括帼华邮、蓝多廊、塞纳河谷、憩园新区、香榭丽舍五个小区的给水管道铺设（总长约7500米），水表更新（总数约2400块），更换相应阀门及阀门井，拆除便道及绿化并恢复原貌。进一步减少跑冒滴漏，解决漏损隐患，防止出现大面积停水和突发性停水。</w:t>
      </w:r>
    </w:p>
    <w:p w14:paraId="267BCE45">
      <w:pPr>
        <w:ind w:firstLine="640"/>
        <w:jc w:val="left"/>
        <w:rPr>
          <w:rFonts w:hint="eastAsia"/>
        </w:rPr>
      </w:pPr>
      <w:r>
        <w:rPr>
          <w:rFonts w:hint="eastAsia" w:ascii="仿宋" w:hAnsi="仿宋" w:eastAsia="仿宋" w:cs="仿宋"/>
        </w:rPr>
        <w:t>三是针对‘供暖管道漏水、压力不足等原因导致采暖季温度不达标问题’，开发区热力中心将对小区前期室温不达标的用户及往年存在供热问题的用户建立台账，</w:t>
      </w:r>
      <w:r>
        <w:rPr>
          <w:rFonts w:hint="eastAsia"/>
        </w:rPr>
        <w:t>制定上门服务计划，安排专人上门问暖，解决问题。增加设备巡检的频次，通过全环节检查，找出薄弱点、排除各种隐患，杜绝事故发生。同时加强供热服务保障，畅通沟通渠道。将服务热线从原来的7部增加至10部，安排专人24小时接听，方便群众第一时间反映问题。</w:t>
      </w:r>
    </w:p>
    <w:p w14:paraId="76A4F405">
      <w:pPr>
        <w:ind w:firstLine="640"/>
        <w:jc w:val="left"/>
        <w:rPr>
          <w:rFonts w:hint="eastAsia"/>
        </w:rPr>
      </w:pPr>
      <w:r>
        <w:rPr>
          <w:rFonts w:hint="eastAsia"/>
        </w:rPr>
        <w:t>四是针对问题清单中提到的存在楼道安全隐患的如“楼梯间楼梯踏步缺损、楼梯扶手松动损坏”等一系列小区物业问题，我区将要求物业公司加强管理、提升服务质量并对社区内绿地及时补种。在2024年的物业检查中，加强对物业的督导，及时维护整改。</w:t>
      </w:r>
    </w:p>
    <w:p w14:paraId="3132648B">
      <w:pPr>
        <w:jc w:val="left"/>
        <w:outlineLvl w:val="4"/>
        <w:rPr>
          <w:rFonts w:hint="eastAsia"/>
          <w:b/>
          <w:bCs/>
        </w:rPr>
      </w:pPr>
      <w:r>
        <w:rPr>
          <w:rFonts w:hint="eastAsia"/>
          <w:b/>
          <w:bCs/>
        </w:rPr>
        <w:t>5.教育局</w:t>
      </w:r>
    </w:p>
    <w:p w14:paraId="754804BB">
      <w:pPr>
        <w:ind w:firstLine="640"/>
        <w:jc w:val="left"/>
        <w:rPr>
          <w:rFonts w:hint="eastAsia"/>
        </w:rPr>
      </w:pPr>
      <w:r>
        <w:rPr>
          <w:rFonts w:hint="eastAsia"/>
        </w:rPr>
        <w:t>体检指标：中学服务半径覆盖率银河北路街道为40%，银河南路街道为89%。未达标配建幼儿园的数量在</w:t>
      </w:r>
      <w:r>
        <w:rPr>
          <w:rFonts w:hint="eastAsia"/>
          <w:lang w:bidi="ar"/>
        </w:rPr>
        <w:t>廊坊市选取的21个社区中，已</w:t>
      </w:r>
      <w:r>
        <w:rPr>
          <w:rFonts w:hint="eastAsia"/>
        </w:rPr>
        <w:t>达标配建幼儿园的数量4个</w:t>
      </w:r>
      <w:r>
        <w:rPr>
          <w:rFonts w:hint="eastAsia"/>
          <w:lang w:bidi="ar"/>
        </w:rPr>
        <w:t>，</w:t>
      </w:r>
      <w:r>
        <w:rPr>
          <w:rFonts w:hint="eastAsia"/>
        </w:rPr>
        <w:t>未达标配建幼儿园的数量19</w:t>
      </w:r>
      <w:r>
        <w:rPr>
          <w:rFonts w:hint="eastAsia"/>
          <w:lang w:bidi="ar"/>
        </w:rPr>
        <w:t>个。</w:t>
      </w:r>
    </w:p>
    <w:p w14:paraId="66EA6AC6">
      <w:pPr>
        <w:ind w:firstLine="640"/>
        <w:jc w:val="left"/>
        <w:rPr>
          <w:rFonts w:hint="eastAsia"/>
        </w:rPr>
      </w:pPr>
      <w:r>
        <w:rPr>
          <w:rFonts w:hint="eastAsia"/>
        </w:rPr>
        <w:t>1）落实情况：</w:t>
      </w:r>
    </w:p>
    <w:p w14:paraId="4A0F1D0C">
      <w:pPr>
        <w:ind w:firstLine="640"/>
        <w:jc w:val="left"/>
        <w:rPr>
          <w:rFonts w:hint="eastAsia"/>
        </w:rPr>
      </w:pPr>
      <w:r>
        <w:rPr>
          <w:rFonts w:hint="eastAsia"/>
        </w:rPr>
        <w:t>为扩充教育资源、增加学位供给、改善办学条件，优化主城区中小学覆盖率较低等问题，编制了2022—2025年义务教育扩容提质工程建设规划，通过新建、改扩建、配建等方式，持续推进学校建设项目实施，进一步增加学位供给。2022年以来，主城区完成新改扩建中小学、幼儿园16所，增加学位16980个（幼儿园1440个、小学10790个、初中5740个）。</w:t>
      </w:r>
    </w:p>
    <w:p w14:paraId="40DA3D83">
      <w:pPr>
        <w:ind w:firstLine="640"/>
        <w:jc w:val="left"/>
        <w:rPr>
          <w:rFonts w:hint="eastAsia"/>
        </w:rPr>
      </w:pPr>
      <w:r>
        <w:rPr>
          <w:rFonts w:hint="eastAsia"/>
        </w:rPr>
        <w:t>具体情况为：安次区完成安次区第五，第六幼儿园、廊坊市第二十九小学、廊坊市第三十小学、廊坊市第二十中学等5所中小学、幼儿园新改扩建工程，增加学位5490个（幼儿园450个、小学3240个、初中1800个）。</w:t>
      </w:r>
    </w:p>
    <w:p w14:paraId="0F769080">
      <w:pPr>
        <w:ind w:firstLine="640"/>
        <w:jc w:val="left"/>
        <w:rPr>
          <w:rFonts w:hint="eastAsia"/>
        </w:rPr>
      </w:pPr>
      <w:r>
        <w:rPr>
          <w:rFonts w:hint="eastAsia"/>
        </w:rPr>
        <w:t>广阳区完成廊坊市第九小学装配式校舍、第十小学西校区、第十五小学、第十九小学（附设幼儿园）、廊坊市第二十一中学、新航中学等6所中小学新改扩建工程，增加学位9330个（小学5390个、初中3940个）。</w:t>
      </w:r>
    </w:p>
    <w:p w14:paraId="52924408">
      <w:pPr>
        <w:ind w:firstLine="640"/>
        <w:jc w:val="left"/>
        <w:rPr>
          <w:rFonts w:hint="eastAsia"/>
        </w:rPr>
      </w:pPr>
      <w:r>
        <w:rPr>
          <w:rFonts w:hint="eastAsia"/>
        </w:rPr>
        <w:t>开发区完成开发区第一幼儿园及三分园、五分园、七分园、开发区第八小学等5所学校、幼儿园新改扩建工程，增加学位3150个（幼儿园990个、小学2160个）。</w:t>
      </w:r>
    </w:p>
    <w:p w14:paraId="5048D653">
      <w:pPr>
        <w:ind w:firstLine="640"/>
        <w:jc w:val="left"/>
        <w:rPr>
          <w:rFonts w:hint="eastAsia"/>
        </w:rPr>
      </w:pPr>
      <w:r>
        <w:rPr>
          <w:rFonts w:hint="eastAsia"/>
        </w:rPr>
        <w:t>2）2024年工作谋划</w:t>
      </w:r>
    </w:p>
    <w:p w14:paraId="15530BD1">
      <w:pPr>
        <w:ind w:firstLine="640"/>
        <w:jc w:val="left"/>
        <w:rPr>
          <w:rFonts w:hint="eastAsia"/>
        </w:rPr>
      </w:pPr>
      <w:r>
        <w:rPr>
          <w:rFonts w:hint="eastAsia"/>
        </w:rPr>
        <w:t>加快推进主城区学校建设项目施工进度，2024年谋划实施11所中小学、幼儿园建设工程，预计增加学位10400个（幼儿园450个，小学6990，初中3000个）。具体情况是：市本级实施管道局第一附属小学改扩建项目、廊坊市第一实验小学装配式教室项目2个，预计增加小学学位1590。</w:t>
      </w:r>
    </w:p>
    <w:p w14:paraId="2DF9065A">
      <w:pPr>
        <w:ind w:firstLine="640"/>
        <w:jc w:val="left"/>
        <w:rPr>
          <w:rFonts w:hint="eastAsia"/>
        </w:rPr>
      </w:pPr>
      <w:r>
        <w:rPr>
          <w:rFonts w:hint="eastAsia"/>
        </w:rPr>
        <w:t>安次区谋划实施安次区第四幼儿园分园、第七幼儿园改建项目，廊坊市第三十三小学、廊坊市第十八中学装配式中小学、幼儿园建设项目4个，预计增加学位2070个（幼儿园450个，小学1620个）。</w:t>
      </w:r>
    </w:p>
    <w:p w14:paraId="457571BA">
      <w:pPr>
        <w:ind w:firstLine="640"/>
        <w:jc w:val="left"/>
        <w:rPr>
          <w:rFonts w:hint="eastAsia"/>
        </w:rPr>
      </w:pPr>
      <w:r>
        <w:rPr>
          <w:rFonts w:hint="eastAsia"/>
        </w:rPr>
        <w:t>广阳区实施中小学、幼儿园建设项目2个，预计增加学位6780个（小学3780，初中3000），分别是廊坊市第三十一小学配建项目、廊坊市第六中学分校区新建项目、廊坊市第三十二小学新建项目。</w:t>
      </w:r>
    </w:p>
    <w:p w14:paraId="4598CDE7">
      <w:pPr>
        <w:jc w:val="left"/>
        <w:outlineLvl w:val="4"/>
        <w:rPr>
          <w:rFonts w:hint="eastAsia"/>
          <w:b/>
          <w:bCs/>
        </w:rPr>
      </w:pPr>
      <w:r>
        <w:rPr>
          <w:rFonts w:hint="eastAsia"/>
          <w:b/>
          <w:bCs/>
        </w:rPr>
        <w:t>6.城市管理综合行政执法局</w:t>
      </w:r>
    </w:p>
    <w:p w14:paraId="121FEEE3">
      <w:pPr>
        <w:ind w:firstLine="640"/>
        <w:jc w:val="left"/>
        <w:rPr>
          <w:rFonts w:hint="eastAsia"/>
        </w:rPr>
      </w:pPr>
      <w:r>
        <w:rPr>
          <w:rFonts w:hint="eastAsia"/>
        </w:rPr>
        <w:t>体检指标：城市机动车停车位供给总量与机动车保有量的比例为79.17％，评价结果为“中”。</w:t>
      </w:r>
    </w:p>
    <w:p w14:paraId="6E1C3761">
      <w:pPr>
        <w:pStyle w:val="53"/>
        <w:ind w:firstLine="640"/>
        <w:jc w:val="left"/>
        <w:rPr>
          <w:rFonts w:hint="eastAsia"/>
        </w:rPr>
      </w:pPr>
      <w:r>
        <w:rPr>
          <w:rFonts w:hint="eastAsia"/>
        </w:rPr>
        <w:t>1）落实情况</w:t>
      </w:r>
    </w:p>
    <w:p w14:paraId="4B8577ED">
      <w:pPr>
        <w:ind w:firstLine="640"/>
        <w:jc w:val="left"/>
        <w:rPr>
          <w:rFonts w:hint="eastAsia"/>
        </w:rPr>
      </w:pPr>
      <w:r>
        <w:rPr>
          <w:rFonts w:hint="eastAsia"/>
        </w:rPr>
        <w:t>超额完成年度建设任务，全市新建公共停车设施数量实现“三连增”。坚持“五个优先”原则，从大型商圈、游园、医院、学校周边“停车难”问题突出地段为切入点，新建停车场72处，新增机动车停车泊位1.7万余个，其中立体停车泊位3003个。</w:t>
      </w:r>
    </w:p>
    <w:p w14:paraId="5A56AA52">
      <w:pPr>
        <w:ind w:firstLine="640"/>
        <w:jc w:val="left"/>
        <w:rPr>
          <w:rFonts w:hint="eastAsia"/>
        </w:rPr>
      </w:pPr>
      <w:r>
        <w:rPr>
          <w:rFonts w:hint="eastAsia"/>
        </w:rPr>
        <w:t>市区经营性停车场管理实现规范化。瞄准市民群众关注的圈占停车场收费问题重拳出击，清理取缔违规设置停车场25处，释放停车位825个，完成市区40处经营性停车场规范化管理升级。</w:t>
      </w:r>
    </w:p>
    <w:p w14:paraId="49D0E2DB">
      <w:pPr>
        <w:ind w:firstLine="640"/>
        <w:jc w:val="left"/>
        <w:rPr>
          <w:rFonts w:hint="eastAsia"/>
        </w:rPr>
      </w:pPr>
      <w:r>
        <w:rPr>
          <w:rFonts w:hint="eastAsia"/>
        </w:rPr>
        <w:t>利用政府专项债券改造既有公园绿地地下空间，打造全省示范工程，集中解决中心城区“停车难”问题。充分利用城市地下空间，促进土地节约集约利用，申请政府专项债券资金，启动华夏奥韵小区、阿尔卡迪亚小区、瑞丰公园、文明公园4个地下停车设施项目建设，有效破解土地资源短缺难题，提高中心城区土地利用效率。</w:t>
      </w:r>
    </w:p>
    <w:p w14:paraId="6D9BC7F1">
      <w:pPr>
        <w:ind w:firstLine="640"/>
        <w:jc w:val="left"/>
        <w:rPr>
          <w:rFonts w:hint="eastAsia"/>
        </w:rPr>
      </w:pPr>
      <w:r>
        <w:rPr>
          <w:rFonts w:hint="eastAsia"/>
        </w:rPr>
        <w:t>4个停车场建设项目于2022年7月完成项目立项，并申报了2022年第三批地方政府专项债券资金，于2022年10月获得批准。受2022年底疫情的影响，项目在2022年11月至2023年1月期间进展缓慢，项目方案于2022年12月底通过规委会审核，并随即展开项目初步设计工作、概算审核及招标等相关工作，于2023年8月初，完成4个项目EPC总承包招标工作。目前，4个项目EPC总承包单位已经进场，进入现场施工阶段。管线迁改、绿植迁移已进入尾声，场地平整即将完成。</w:t>
      </w:r>
    </w:p>
    <w:p w14:paraId="0C526755">
      <w:pPr>
        <w:ind w:firstLine="640"/>
        <w:jc w:val="left"/>
        <w:rPr>
          <w:rFonts w:hint="eastAsia"/>
        </w:rPr>
      </w:pPr>
      <w:r>
        <w:rPr>
          <w:rFonts w:hint="eastAsia"/>
        </w:rPr>
        <w:t>2）2024年工作谋划</w:t>
      </w:r>
    </w:p>
    <w:p w14:paraId="5052E83E">
      <w:pPr>
        <w:ind w:firstLine="640"/>
        <w:jc w:val="left"/>
        <w:rPr>
          <w:rFonts w:hint="eastAsia"/>
        </w:rPr>
      </w:pPr>
      <w:r>
        <w:rPr>
          <w:rFonts w:hint="eastAsia"/>
        </w:rPr>
        <w:t>一是继续推进停车场项目建设。2024年，华夏奥韵小区、阿尔卡迪亚小区、瑞丰公园、文明公园4个停车设施项目，将按照施工计划进行桩基施工及开槽施工。项目建成后，将集中解决大型社区、公园周边“停车难”问题。</w:t>
      </w:r>
    </w:p>
    <w:p w14:paraId="17A46D7D">
      <w:pPr>
        <w:ind w:firstLine="640"/>
        <w:jc w:val="left"/>
        <w:rPr>
          <w:rFonts w:hint="eastAsia"/>
        </w:rPr>
      </w:pPr>
      <w:r>
        <w:rPr>
          <w:rFonts w:hint="eastAsia"/>
        </w:rPr>
        <w:t>二是开放共享停车场。2024年，将对市区内住宅集中区域进行再次走访调研，依据走访实际情况编制共享停车场实施方案，并依据方案开始推进与目标共享停车场经营方座谈工作，商讨共享停车场落地实施细则，后续依据实施方案常态化推进共享停车场工作。共享停车场常态化推进后，将有效提高停车场使用效率，缓解城市停车压力。</w:t>
      </w:r>
    </w:p>
    <w:p w14:paraId="1A091B85">
      <w:pPr>
        <w:ind w:firstLine="640"/>
        <w:jc w:val="left"/>
        <w:rPr>
          <w:rFonts w:hint="eastAsia"/>
        </w:rPr>
      </w:pPr>
      <w:r>
        <w:rPr>
          <w:rFonts w:hint="eastAsia"/>
        </w:rPr>
        <w:t>三是加快建设智慧停车平台建设。2024年，首先完成方案编制、市级审核，确定实施方案、国有资产整合运营主体及项目出资单位，之后成立资产运营主体公司，完成国有路内外公共停车泊位（场）资源的整合工作，后续在完成国有公共停车泊位（场）的智慧化改造、智慧停车平台的接入工作后，项目投入试运营，将市区停车场和道路停车泊位全部接入平台统一管理，依托智慧停车平台实现智能化、社会化监督管理，有效提高停车场使用效率，改善停车秩序，积极助推“城市机动车停车位供给总量与机动车保有量的比例”指标达标，推进我市高质量发展。</w:t>
      </w:r>
    </w:p>
    <w:p w14:paraId="6A717F40">
      <w:pPr>
        <w:jc w:val="left"/>
        <w:outlineLvl w:val="4"/>
        <w:rPr>
          <w:rFonts w:hint="eastAsia"/>
          <w:b/>
          <w:bCs/>
        </w:rPr>
      </w:pPr>
      <w:r>
        <w:rPr>
          <w:rFonts w:hint="eastAsia"/>
          <w:b/>
          <w:bCs/>
        </w:rPr>
        <w:t>7.卫健委</w:t>
      </w:r>
    </w:p>
    <w:p w14:paraId="1F2BB476">
      <w:pPr>
        <w:ind w:firstLine="640"/>
        <w:jc w:val="left"/>
        <w:rPr>
          <w:rFonts w:hint="eastAsia"/>
        </w:rPr>
      </w:pPr>
      <w:r>
        <w:rPr>
          <w:rFonts w:hint="eastAsia"/>
        </w:rPr>
        <w:t>体检指标：社区门诊分担率12.59%，要求大于23%。未达标配建婴幼儿照护服务设施的数量8个。未达标配建的妇幼保健机构数量1个。</w:t>
      </w:r>
    </w:p>
    <w:p w14:paraId="6AB6D028">
      <w:pPr>
        <w:ind w:firstLine="640"/>
        <w:jc w:val="left"/>
        <w:rPr>
          <w:rFonts w:hint="eastAsia"/>
        </w:rPr>
      </w:pPr>
      <w:r>
        <w:rPr>
          <w:rFonts w:hint="eastAsia"/>
        </w:rPr>
        <w:t>1）落实情况</w:t>
      </w:r>
    </w:p>
    <w:p w14:paraId="025C7EB4">
      <w:pPr>
        <w:ind w:firstLine="640"/>
        <w:jc w:val="left"/>
        <w:rPr>
          <w:rFonts w:hint="eastAsia"/>
        </w:rPr>
      </w:pPr>
      <w:r>
        <w:rPr>
          <w:rFonts w:hint="eastAsia"/>
        </w:rPr>
        <w:t>一是推进医疗机构基础设施建设情况。市卫健委积极组织市直医疗卫生单位开展基础设施建设，进一步提标扩能、补充短板，以满足群众日益增长的就医需求。主要包括以下3个项目：一是廊坊市人民医院迁建项目。项目总投资35.25亿元，总建筑面积39万平方米，主要建设门急诊医技住院综合楼、发热门诊综合楼、专科中心楼、行政科研培训综合楼、附属多功能报告厅，设计禾位2000张。本项目于2022年7月正式开工建设，目前钢结构全部完工、回填土完成80％、电气给排水完成30％。二是廊坊市妇幼保健院（廊坊市儿童医院）迁建项目。项目总投资8.01亿元，总建筑面积10.53万平方米，主要建设综合医疗区、发热门诊及附属设施，设计床位数600张。本项目已于2023年8月份正式开工建设，目前土方工程已完成约95％，桩基础施工完成98％，塔吊基础施工60％。预计2025年10月份竣工，项目建成后在原有床位数基础上增加500张，将大幅提升全市妇幼保健诊疗服务水平。三是廊坊市中心血站迁建项目。项目总投资L94亿元，总建筑面积238万平方米，主要建设业务楼、保障楼、附属楼和室外工程。本项目已于2023年8月份正式开工建设，目前已完成土方工程、桩基础、垫层和底板防水，筏板完成80％。预计2025年5月份竣工，项目建成后，血站年采血量将由2020年的22吨增长至近30吨，能够大幅提高全市临床用血（成份血）保障能力。</w:t>
      </w:r>
    </w:p>
    <w:p w14:paraId="31756FA5">
      <w:pPr>
        <w:ind w:firstLine="640"/>
        <w:jc w:val="left"/>
        <w:rPr>
          <w:rFonts w:hint="eastAsia"/>
        </w:rPr>
      </w:pPr>
      <w:r>
        <w:rPr>
          <w:rFonts w:hint="eastAsia"/>
        </w:rPr>
        <w:t>二是推进“优质服务基层行”活动开展情况。2022年，廊坊市城市体检中，社区卫生服务中心门诊分担率指标结果为让59％，指标评定为“中”。</w:t>
      </w:r>
    </w:p>
    <w:p w14:paraId="0148E5E3">
      <w:pPr>
        <w:ind w:firstLine="640"/>
        <w:jc w:val="left"/>
        <w:rPr>
          <w:rFonts w:hint="eastAsia"/>
        </w:rPr>
      </w:pPr>
      <w:r>
        <w:rPr>
          <w:rFonts w:hint="eastAsia"/>
        </w:rPr>
        <w:t>为切实将城市体检成果转化为实际应用，2023年以来，持续开展“优质服务基层行”活动，积极推进标准化建设，通过加强院内管理、发展特色专科、推进社区医院建设等措施，逐步提升社区卫生服务中心医疗服务水平，社区卫生服务中心门诊量较2022年大幅提升。广阳区花园楼社区卫生服务中心和宏泰社区卫生服务中心通过了省级社区医院验收，并分别建设康复科、儿科特色科室。同时，广阳区新成立了和平社区卫生服务中心，安次区新成立了龙腾路社区卫生服务中心，进一步提升社区卫生服务机构的整体服务能力。</w:t>
      </w:r>
    </w:p>
    <w:p w14:paraId="64A7F0E2">
      <w:pPr>
        <w:ind w:firstLine="640"/>
        <w:jc w:val="left"/>
        <w:rPr>
          <w:rFonts w:hint="eastAsia"/>
        </w:rPr>
      </w:pPr>
      <w:r>
        <w:rPr>
          <w:rFonts w:hint="eastAsia"/>
        </w:rPr>
        <w:t>三是社区婴幼儿照护服务设施建设情况。按照“一年试点先行，三年，全面铺开，五年巩固提升”总体思路，分阶段开展婴幼儿照护服务机构建设，市建成区共有社区106个，托育服务机构65家（8家为省级托育服务示范试点机构），覆盖率62.3％，具体工作如下。</w:t>
      </w:r>
    </w:p>
    <w:p w14:paraId="19D0E985">
      <w:pPr>
        <w:ind w:firstLine="640"/>
        <w:jc w:val="left"/>
        <w:rPr>
          <w:rFonts w:hint="eastAsia"/>
        </w:rPr>
      </w:pPr>
      <w:r>
        <w:rPr>
          <w:rFonts w:hint="eastAsia"/>
        </w:rPr>
        <w:t>第一加大“托幼一体化”建设。根据省、市有关文件要求，有条件的幼儿园要向下延伸开设托班，在3一6岁适龄幼儿入园学位需求得到保障的前提下，可以采取改造设施和在现有人员中增加育婴人员资质等措施招收2至3岁幼儿。2023年市城区新增16家托育服务机构。</w:t>
      </w:r>
    </w:p>
    <w:p w14:paraId="7E9B42F8">
      <w:pPr>
        <w:ind w:firstLine="640"/>
        <w:jc w:val="left"/>
        <w:rPr>
          <w:rFonts w:hint="eastAsia"/>
        </w:rPr>
      </w:pPr>
      <w:r>
        <w:rPr>
          <w:rFonts w:hint="eastAsia"/>
        </w:rPr>
        <w:t>第二加强业务指导。印发了《廊坊市成立婴幼儿照护服务指导中心工作方案》，6月28日，在市妇幼保健院举行廊坊市婴幼儿照护服务指导中心揭牌仪式。11个县（市、区）也均建立了县级婴幼照护服务指导中心并根据工作职能开展相关业务工作。。</w:t>
      </w:r>
    </w:p>
    <w:p w14:paraId="25651204">
      <w:pPr>
        <w:ind w:firstLine="640"/>
        <w:jc w:val="left"/>
        <w:rPr>
          <w:rFonts w:hint="eastAsia"/>
        </w:rPr>
      </w:pPr>
      <w:r>
        <w:rPr>
          <w:rFonts w:hint="eastAsia"/>
        </w:rPr>
        <w:t>第三强化宣传引导。按照省卫健委要求，从6月3日0日，利用一个月的时间，以“普惠托育、共同行动”为主题集中开展托育服务宣传月活动。全市共开展各类宣传活动30余场，发放宣传资料8000余份，受益群众1万余人。</w:t>
      </w:r>
    </w:p>
    <w:p w14:paraId="3170E8EA">
      <w:pPr>
        <w:ind w:firstLine="640"/>
        <w:jc w:val="left"/>
        <w:rPr>
          <w:rFonts w:hint="eastAsia"/>
        </w:rPr>
      </w:pPr>
      <w:r>
        <w:rPr>
          <w:rFonts w:hint="eastAsia"/>
        </w:rPr>
        <w:t>第四注重婴幼儿安全。按照国家和省卫健委有关开展托育机构安全隐患专项排查整改工作的要求，进一步加强全市托育机构安全防范工作，利用2个月时间，在全市范围内开展托育机构安全隐患专项排查整改工作，进一步提升托育服务机构的规范化管理水平。</w:t>
      </w:r>
    </w:p>
    <w:p w14:paraId="53A41B18">
      <w:pPr>
        <w:ind w:firstLine="640"/>
        <w:jc w:val="left"/>
        <w:rPr>
          <w:rFonts w:hint="eastAsia"/>
        </w:rPr>
      </w:pPr>
      <w:r>
        <w:rPr>
          <w:rFonts w:hint="eastAsia"/>
        </w:rPr>
        <w:t>第五开展业务培训。7月15日组织全市部分托育机构负责同志开展了以消防安全、食品卫生、科学育儿重点内容的培训。</w:t>
      </w:r>
    </w:p>
    <w:p w14:paraId="59B04980">
      <w:pPr>
        <w:ind w:firstLine="640"/>
        <w:jc w:val="left"/>
        <w:rPr>
          <w:rFonts w:hint="eastAsia"/>
        </w:rPr>
      </w:pPr>
      <w:r>
        <w:rPr>
          <w:rFonts w:hint="eastAsia"/>
        </w:rPr>
        <w:t>第六加强备案管理。严格按照《河北省托育机构登记和备案实施细则（试行）》要求，通过规范招生对象、经营范围、人员管理、食品安全等方面资质，进一步提升托育机构服务水平。目前，市城区65家托育机构全部在县级卫健部门备案。</w:t>
      </w:r>
    </w:p>
    <w:p w14:paraId="5B008EE9">
      <w:pPr>
        <w:ind w:firstLine="640"/>
        <w:jc w:val="left"/>
        <w:rPr>
          <w:rFonts w:hint="eastAsia"/>
        </w:rPr>
      </w:pPr>
      <w:r>
        <w:rPr>
          <w:rFonts w:hint="eastAsia"/>
        </w:rPr>
        <w:t>四是妇幼保健机构建设情况。妇幼保健机构数量提升工作情况。安次区妇幼保健所设置在廊坊市安次区医院，为廊坊市安次区医院的一个科室，编制属于廊坊市安次区医院，安次区妇幼保健所现有人员21人，卫生技术人员20人，目前没有开设临床业务。2023年9月份，安次区卫生健康局组织起草了安次区妇幼保健院建设方案，方案就项目建设的目的，建设依据，建设背景，建设地址和面积，项目规模，前期手续办理，项目工期进行了谋划测算。</w:t>
      </w:r>
    </w:p>
    <w:p w14:paraId="3F777190">
      <w:pPr>
        <w:ind w:firstLine="640"/>
        <w:jc w:val="left"/>
        <w:rPr>
          <w:rFonts w:hint="eastAsia"/>
        </w:rPr>
      </w:pPr>
      <w:r>
        <w:rPr>
          <w:rFonts w:hint="eastAsia"/>
        </w:rPr>
        <w:t>2）2024年工作谋划</w:t>
      </w:r>
    </w:p>
    <w:p w14:paraId="644C70E2">
      <w:pPr>
        <w:ind w:firstLine="640"/>
        <w:jc w:val="left"/>
        <w:rPr>
          <w:rFonts w:hint="eastAsia"/>
        </w:rPr>
      </w:pPr>
      <w:r>
        <w:rPr>
          <w:rFonts w:hint="eastAsia"/>
        </w:rPr>
        <w:t>一是着力推进医疗机构设施建设。一是加大项目督导力度。通过定期报表、督导调度、现场核查等方式，加大项目督导工作力度，及时掌握项目进展，协调解决项目存在的难点堵点，督促各项目单位加快推进施工进度，确保尽快形成实物工作量，确保按时保质建成投运。二是积极争取政策支持。我委将加强与省卫生健康委和市发改委、市财政局的沟通联系，指导项目单位积极争取政府专项债券、中央预算内投资和地方财政资金等支持，确保项目顺利推进，尽早发挥项目应有效益，满足群众日益增长的就医需求。三是确保项目按计划推进。廊坊市人民医院迁建项目2024年计划完成全部主体结构封顶，室内装修完成80％，预计2025年6月份竣工，项目建成后满足国家三级综合医院建设标准；廊坊市妇幼保健院（廊坊市儿童医院）迁建项目2024年计划完成全部主体结构封顶，内外装修完成30％；廊坊市中心血站迁建项目2024年计划完成全部主体结构封顶，内外装修完成60％。</w:t>
      </w:r>
    </w:p>
    <w:p w14:paraId="63938A8E">
      <w:pPr>
        <w:ind w:firstLine="640"/>
        <w:jc w:val="left"/>
        <w:rPr>
          <w:rFonts w:hint="eastAsia"/>
        </w:rPr>
      </w:pPr>
      <w:r>
        <w:rPr>
          <w:rFonts w:hint="eastAsia"/>
        </w:rPr>
        <w:t>二是持续开展“优质服务基层行”活动。进一步加强对社区卫生服务中心的指导，及时整改发现的问题，不断提高社区卫生服务中心服务能力标准和综合服务能力，进一步提高诊疗人次，努力为辖区居民提供优质的基本医疗卫生服务。</w:t>
      </w:r>
    </w:p>
    <w:p w14:paraId="2E375E7A">
      <w:pPr>
        <w:ind w:firstLine="640"/>
        <w:jc w:val="left"/>
        <w:rPr>
          <w:rFonts w:hint="eastAsia"/>
        </w:rPr>
      </w:pPr>
      <w:r>
        <w:rPr>
          <w:rFonts w:hint="eastAsia"/>
        </w:rPr>
        <w:t>三是扎实推进婴幼儿照护服务机构建设。一是优先保障托育服务设施用地。支持利用低效土地或闲置土地建设婴幼儿照护服务机构和设施。按照常住人口每千人4个托位的要求，在新建住宅小区配套建设托育服务设施，与住宅同步规划、同步建设、同步验收，建成后无偿移交当地政府举办公办托育机构或普惠性托育机构。在老城区和已建成居住区改造工程中，通过购置、置换、租赁等方式配置托育服务设施。盘活闲置校舍、厂房等资源，发展普惠性托育服务。大力优化整合社区配套建设用房等公共空间，清理非必要、不合理用房，腾退资源优先用于发展社区托育服务。二是继续扩大“托幼一体化”建设。鼓励和支持有条件的幼儿园利用现有资源，向下延伸，开设托班，招收2至3岁幼儿。鼓励公办和民办幼儿园通过改扩建，增加托班资源供给。支持学前教育机构通过新建、改扩建等方式提供托育服务。三是鼓励用人单位提供托育服务。适龄婴幼儿达到20人及以上的国有企业、机关、事业单位，通过自建自营或委托第三方托育机构运营等方式，就近建设完善托育服务设施，开展单位福利性托育服务，为职工提供福利性婴幼儿照护服务，有条件的可以向附近居民开放。四是支持家庭小型化托育服务。支持符合条件的户主提供家庭小型化托育服务，支持隔代照料、家庭互助等照护模式。加强家庭托育点管理，按照国家和省相关工作部署，探索建立家庭托育点登记备案、信息公示、检查评估等制度，稳步推进家庭托育点管理制度化、规范化。</w:t>
      </w:r>
    </w:p>
    <w:p w14:paraId="1D302F96">
      <w:pPr>
        <w:ind w:firstLine="640"/>
        <w:jc w:val="left"/>
        <w:rPr>
          <w:rFonts w:hint="eastAsia"/>
        </w:rPr>
      </w:pPr>
      <w:r>
        <w:rPr>
          <w:rFonts w:hint="eastAsia"/>
        </w:rPr>
        <w:t>四是着力抓实妇幼保健机构数量提升。持续指导安次区卫生健康局按照《中国妇女发展纲要》《中国儿童发展纲要》要求，推进区妇幼保健机构单独设立。</w:t>
      </w:r>
    </w:p>
    <w:p w14:paraId="5C9E48FC">
      <w:pPr>
        <w:jc w:val="left"/>
        <w:outlineLvl w:val="4"/>
        <w:rPr>
          <w:rFonts w:hint="eastAsia"/>
          <w:b/>
          <w:bCs/>
        </w:rPr>
      </w:pPr>
      <w:r>
        <w:rPr>
          <w:rFonts w:hint="eastAsia"/>
          <w:b/>
          <w:bCs/>
        </w:rPr>
        <w:t>8.社工部</w:t>
      </w:r>
    </w:p>
    <w:p w14:paraId="3F62CDEE">
      <w:pPr>
        <w:ind w:firstLine="640"/>
        <w:jc w:val="left"/>
        <w:rPr>
          <w:rFonts w:hint="eastAsia"/>
        </w:rPr>
      </w:pPr>
      <w:r>
        <w:rPr>
          <w:rFonts w:hint="eastAsia"/>
        </w:rPr>
        <w:t>体检指标：需要进行智慧化改造的小区数量为76个。</w:t>
      </w:r>
    </w:p>
    <w:p w14:paraId="4C82E9E5">
      <w:pPr>
        <w:ind w:firstLine="640"/>
        <w:jc w:val="left"/>
        <w:rPr>
          <w:rFonts w:hint="eastAsia"/>
        </w:rPr>
      </w:pPr>
      <w:r>
        <w:rPr>
          <w:rFonts w:hint="eastAsia"/>
        </w:rPr>
        <w:t>1）落实情况</w:t>
      </w:r>
    </w:p>
    <w:p w14:paraId="5553C624">
      <w:pPr>
        <w:ind w:firstLine="640"/>
        <w:jc w:val="left"/>
        <w:rPr>
          <w:rFonts w:hint="eastAsia"/>
        </w:rPr>
      </w:pPr>
      <w:r>
        <w:rPr>
          <w:rFonts w:hint="eastAsia"/>
        </w:rPr>
        <w:t>2023年制定印发了《廊坊市人民政府办公室关于印发廊坊市城乡社区服务体系建设“十四五”规划的通知》，对“十四五”时期我市智慧社区建设进行了专门安排部署；联合市委政法委、市委网信办等11部门印发了《关于贯彻落实河北省民政厅等十部门〈关于深入推进智慧社区建设的实施意见〉的通知》，结合我市实际，提出了推进智慧社区建设的具体措施，持续完善智慧社区建设政策体系。为加快构建共建共治共享的社会治理格局，我市各县（市、区）民政部门结合当地实际情况，因地制宜，会同相关部门积极整合各方资源，探索推进智慧社区建设。</w:t>
      </w:r>
    </w:p>
    <w:p w14:paraId="09E525A7">
      <w:pPr>
        <w:ind w:firstLine="640"/>
        <w:jc w:val="left"/>
        <w:rPr>
          <w:rFonts w:hint="eastAsia"/>
        </w:rPr>
      </w:pPr>
      <w:r>
        <w:rPr>
          <w:rFonts w:hint="eastAsia"/>
        </w:rPr>
        <w:t>2）2024年工作谋划</w:t>
      </w:r>
    </w:p>
    <w:p w14:paraId="36E23197">
      <w:pPr>
        <w:ind w:firstLine="640"/>
        <w:jc w:val="left"/>
        <w:rPr>
          <w:rFonts w:hint="eastAsia"/>
        </w:rPr>
      </w:pPr>
      <w:r>
        <w:rPr>
          <w:rFonts w:hint="eastAsia"/>
        </w:rPr>
        <w:t>将结合廊坊实际情况，继续探索推进智慧社区建设，努力构建网格化管理、精细化服务、信息化支撑、开放共享的智慧社区服务平台，不断提升城乡社区治理服务智慧化、智能化水平，让广大居民的获得感、幸福感、安全感更加充实、更有保障、更可持续。</w:t>
      </w:r>
    </w:p>
    <w:p w14:paraId="1E9530FE">
      <w:pPr>
        <w:jc w:val="left"/>
        <w:outlineLvl w:val="4"/>
        <w:rPr>
          <w:rFonts w:hint="eastAsia"/>
          <w:b/>
          <w:bCs/>
        </w:rPr>
      </w:pPr>
      <w:r>
        <w:rPr>
          <w:rFonts w:hint="eastAsia"/>
          <w:b/>
          <w:bCs/>
        </w:rPr>
        <w:t>9.生态环境局</w:t>
      </w:r>
    </w:p>
    <w:p w14:paraId="5C855085">
      <w:pPr>
        <w:ind w:firstLine="640"/>
        <w:jc w:val="left"/>
        <w:rPr>
          <w:rFonts w:hint="eastAsia"/>
        </w:rPr>
      </w:pPr>
      <w:r>
        <w:rPr>
          <w:rFonts w:hint="eastAsia"/>
        </w:rPr>
        <w:t>体检指标：空气质量优良天数（天）265天，要求天数大于75%。</w:t>
      </w:r>
    </w:p>
    <w:p w14:paraId="016EECC4">
      <w:pPr>
        <w:ind w:firstLine="640"/>
        <w:jc w:val="left"/>
        <w:rPr>
          <w:rFonts w:hint="eastAsia"/>
        </w:rPr>
      </w:pPr>
      <w:r>
        <w:rPr>
          <w:rFonts w:hint="eastAsia"/>
        </w:rPr>
        <w:t>1）落实情况</w:t>
      </w:r>
    </w:p>
    <w:p w14:paraId="177DC4A4">
      <w:pPr>
        <w:ind w:firstLine="640"/>
        <w:jc w:val="left"/>
        <w:rPr>
          <w:rFonts w:hint="eastAsia"/>
        </w:rPr>
      </w:pPr>
      <w:r>
        <w:rPr>
          <w:rFonts w:hint="eastAsia"/>
        </w:rPr>
        <w:t>2023年，全市空气质量综合指数4.64，在全省8个传输通道城市中正排第2名，在全省正排第5名。PM2.5浓度40微克/立方米，在全省8个传输通道城市中正排第1名，在全省正排第4名。优良天数239天，在全省8个传输通道城市中正排第2名，在全省正排第5名。</w:t>
      </w:r>
    </w:p>
    <w:p w14:paraId="4EED8C37">
      <w:pPr>
        <w:ind w:firstLine="640"/>
        <w:jc w:val="left"/>
        <w:rPr>
          <w:rFonts w:hint="eastAsia"/>
        </w:rPr>
      </w:pPr>
      <w:r>
        <w:rPr>
          <w:rFonts w:hint="eastAsia"/>
        </w:rPr>
        <w:t>一是持续加大大气污染防治工作统筹调度力度，通过调研、会议、24小时值班值守等多种方式，全天候调度大气污染防治工作。</w:t>
      </w:r>
    </w:p>
    <w:p w14:paraId="0A28E7A6">
      <w:pPr>
        <w:ind w:firstLine="640"/>
        <w:jc w:val="left"/>
        <w:rPr>
          <w:rFonts w:hint="eastAsia"/>
        </w:rPr>
      </w:pPr>
      <w:r>
        <w:rPr>
          <w:rFonts w:hint="eastAsia"/>
        </w:rPr>
        <w:t>二是大力巩固重点行业深度治理成果，全面推进工业炉窑综合整治，强力实施涉VOCs行业企业深度治理，切实降低工业企业污染物排放。持续巩固清洁取暖替代成果，强化机动车常态化治理，扎实开展路检路查、入户抽查、遥感监测等任务。严格落实“六个百分百”和“两个全覆盖”要求，加强建筑施工和城乡裸露地面扬尘管控，持续严控道路扬尘污染。</w:t>
      </w:r>
    </w:p>
    <w:p w14:paraId="5E4B7603">
      <w:pPr>
        <w:ind w:firstLine="640"/>
        <w:jc w:val="left"/>
        <w:rPr>
          <w:rFonts w:hint="eastAsia"/>
        </w:rPr>
      </w:pPr>
      <w:r>
        <w:rPr>
          <w:rFonts w:hint="eastAsia"/>
        </w:rPr>
        <w:t>三是建立秸秆禁烧长效机制，严厉打击焚烧秸秆、垃圾、树叶杂草等露天焚烧行为，充分发挥秸秆禁烧红外视频监控和报警系统等大数据平台作用，严格落实24小时值守制度，有效控制露天焚烧现象。</w:t>
      </w:r>
    </w:p>
    <w:p w14:paraId="0FFB3F76">
      <w:pPr>
        <w:ind w:firstLine="640"/>
        <w:jc w:val="left"/>
        <w:rPr>
          <w:rFonts w:hint="eastAsia"/>
        </w:rPr>
      </w:pPr>
      <w:r>
        <w:rPr>
          <w:rFonts w:hint="eastAsia"/>
        </w:rPr>
        <w:t>四是积极做好重污染天气过程应对工作，按照部省相关要求，我市及时启动重污染天气橙色预警，有效应对了重污染天气，减轻了污染程度。同时，在应急响应期间，严格按照应急减排清单，分类施策、分级管控，对绩效分级为A级和引领性的企业，采取自主应急减排措施。但由于京津冀地区气象条件整体偏差，北京、天津和河北中部地区不利气象条件多发，第一，四季度共经历了10轮污染过程，二、三季度受厄尔尼诺偏暖气候影响导致臭氧超标天数异常偏多，优良天数大幅减少。且2023年沙尘天气多发，拉高了颗粒物浓度，进一步导致我市优良天数同比减少。</w:t>
      </w:r>
    </w:p>
    <w:p w14:paraId="34BE5AB3">
      <w:pPr>
        <w:ind w:firstLine="640"/>
        <w:jc w:val="left"/>
        <w:rPr>
          <w:rFonts w:hint="eastAsia"/>
        </w:rPr>
      </w:pPr>
      <w:r>
        <w:rPr>
          <w:rFonts w:hint="eastAsia"/>
        </w:rPr>
        <w:t>2）2024年工作谋划</w:t>
      </w:r>
    </w:p>
    <w:p w14:paraId="05AA4DC9">
      <w:pPr>
        <w:ind w:firstLine="640"/>
        <w:jc w:val="left"/>
        <w:rPr>
          <w:rFonts w:hint="eastAsia"/>
        </w:rPr>
      </w:pPr>
      <w:r>
        <w:rPr>
          <w:rFonts w:hint="eastAsia"/>
        </w:rPr>
        <w:t>聚焦“十四五”深入打好大气污染防治攻坚战、基本消除重污染天气的目标要求，以改善空气质量为核心，以降低污染物浓度为主线，大力推动氮氧化物和VOCs协同减排，统筹推进重点区域、重点领域、重点时段污染防治，全面推进重点行业工业炉窑综合整治，持续抓好全域控尘，做好各类涉VOCs企业达标排放管控，进一步加强柴油货车入户检查，持续巩固成品油市场整治成果和散煤清零成果，严控露天焚烧，全力消除污染高值，推动我市空气质量持续改善。</w:t>
      </w:r>
    </w:p>
    <w:p w14:paraId="7176D9CE">
      <w:pPr>
        <w:jc w:val="left"/>
        <w:outlineLvl w:val="4"/>
        <w:rPr>
          <w:rFonts w:hint="eastAsia"/>
          <w:b/>
          <w:bCs/>
        </w:rPr>
      </w:pPr>
      <w:r>
        <w:rPr>
          <w:rFonts w:hint="eastAsia"/>
          <w:b/>
          <w:bCs/>
        </w:rPr>
        <w:t>10.消防救援支队</w:t>
      </w:r>
    </w:p>
    <w:p w14:paraId="778EA01B">
      <w:pPr>
        <w:ind w:firstLine="640"/>
        <w:jc w:val="left"/>
        <w:rPr>
          <w:rFonts w:hint="eastAsia"/>
        </w:rPr>
      </w:pPr>
      <w:r>
        <w:rPr>
          <w:rFonts w:hint="eastAsia"/>
        </w:rPr>
        <w:t>体检指标：《2023年廊坊市城市体检问题清单》指出我市城市标准消防站及小型普通消防站覆盖率为38.91％；高层建筑智能化火灾监测预警覆盖率为2.44％。</w:t>
      </w:r>
    </w:p>
    <w:p w14:paraId="35A117C8">
      <w:pPr>
        <w:ind w:firstLine="640"/>
        <w:jc w:val="left"/>
        <w:rPr>
          <w:rFonts w:hint="eastAsia"/>
        </w:rPr>
      </w:pPr>
      <w:r>
        <w:rPr>
          <w:rFonts w:hint="eastAsia"/>
        </w:rPr>
        <w:t>1）落实情况</w:t>
      </w:r>
    </w:p>
    <w:p w14:paraId="001A23C2">
      <w:pPr>
        <w:ind w:firstLine="640"/>
        <w:jc w:val="left"/>
        <w:rPr>
          <w:rFonts w:hint="eastAsia"/>
        </w:rPr>
      </w:pPr>
      <w:r>
        <w:rPr>
          <w:rFonts w:hint="eastAsia"/>
        </w:rPr>
        <w:t>加快消防设施补短板，修编消防专项规划，解决布局不合理问题，现已形成《廊坊市中心城区消防专项规划（2023—2035年）》（初步成果）；结合廊坊市消防事业发展“十四五”规划，优化站点布局，积极推进消防救援站建设工作，提升消防救援覆盖能力。推进新型智慧城市建设，我单位与技术研发机构合作研发“公共消防智慧管理平台”，通过大数据、物联网技术，将监测终端植入社会单位消防系统，实现实时采集联网单位消防设施、设备运行数据，实时监控预警，实现全天候巡检、管理、统计和分析。已按照计划，在全市多个火灾高风险场所接入物联网通讯模块和数据采集的设备。</w:t>
      </w:r>
    </w:p>
    <w:p w14:paraId="05DA83A0">
      <w:pPr>
        <w:ind w:firstLine="640"/>
        <w:jc w:val="left"/>
        <w:rPr>
          <w:rFonts w:hint="eastAsia"/>
        </w:rPr>
      </w:pPr>
      <w:r>
        <w:rPr>
          <w:rFonts w:hint="eastAsia"/>
        </w:rPr>
        <w:t>2）2024年谋划</w:t>
      </w:r>
    </w:p>
    <w:p w14:paraId="2AF842CE">
      <w:pPr>
        <w:ind w:firstLine="640"/>
        <w:jc w:val="left"/>
        <w:rPr>
          <w:rFonts w:hint="eastAsia"/>
        </w:rPr>
      </w:pPr>
      <w:r>
        <w:rPr>
          <w:rFonts w:hint="eastAsia"/>
        </w:rPr>
        <w:t>2024年我市市辖区内无消防站建设任务，将继续推进火灾高风险场所智慧消防建设，补齐消防短板，为我市消防安全保驾护航。推进新型智慧城市建设，市消防救援支队与技术研发机构合作研发“公共消防智慧管理平台”，通过大数据、物联网技术，将监测终端植入社会单位消防系统，实现实时采集联网单位消防设施、设备运行数据，实时监控预警，实现全天候巡检、管理、统计和分析。已按照计划，在全市多个火灾高风险场所接入物联网通讯模块和数据采集的设备。</w:t>
      </w:r>
    </w:p>
    <w:p w14:paraId="1127AB19">
      <w:pPr>
        <w:jc w:val="left"/>
        <w:outlineLvl w:val="4"/>
        <w:rPr>
          <w:rFonts w:hint="eastAsia"/>
          <w:b/>
          <w:bCs/>
        </w:rPr>
      </w:pPr>
      <w:r>
        <w:rPr>
          <w:rFonts w:hint="eastAsia"/>
          <w:b/>
          <w:bCs/>
        </w:rPr>
        <w:t>11.燃气热力服务中心</w:t>
      </w:r>
    </w:p>
    <w:p w14:paraId="39DB8B9A">
      <w:pPr>
        <w:ind w:firstLine="640"/>
        <w:jc w:val="left"/>
        <w:rPr>
          <w:rFonts w:hint="eastAsia"/>
        </w:rPr>
      </w:pPr>
      <w:r>
        <w:rPr>
          <w:rFonts w:hint="eastAsia"/>
        </w:rPr>
        <w:t>体检指标：《2023年廊坊市城市体检问题清单》指出我市存在管线管道破损的住宅数量为582栋，其中因供暖管道漏水、压力不足等原因导致采暖季温度不达标问题有115栋。热电联产供热占比为44.88%。</w:t>
      </w:r>
    </w:p>
    <w:p w14:paraId="368766E7">
      <w:pPr>
        <w:ind w:firstLine="640"/>
        <w:jc w:val="left"/>
        <w:rPr>
          <w:rFonts w:hint="eastAsia"/>
        </w:rPr>
      </w:pPr>
      <w:r>
        <w:rPr>
          <w:rFonts w:hint="eastAsia"/>
        </w:rPr>
        <w:t>1）落实情况</w:t>
      </w:r>
    </w:p>
    <w:p w14:paraId="038386E3">
      <w:pPr>
        <w:ind w:firstLine="640"/>
        <w:jc w:val="left"/>
        <w:rPr>
          <w:rFonts w:hint="eastAsia"/>
        </w:rPr>
      </w:pPr>
      <w:r>
        <w:rPr>
          <w:rFonts w:hint="eastAsia"/>
        </w:rPr>
        <w:t>针对因供暖管道漏水、压力不足等原因导致采暖季温度不达标问题。</w:t>
      </w:r>
    </w:p>
    <w:p w14:paraId="67DA5335">
      <w:pPr>
        <w:ind w:firstLine="640"/>
        <w:jc w:val="left"/>
        <w:rPr>
          <w:rFonts w:hint="eastAsia"/>
        </w:rPr>
      </w:pPr>
      <w:r>
        <w:rPr>
          <w:rFonts w:hint="eastAsia"/>
        </w:rPr>
        <w:t>一是安次区亿合社区的亿和家园小区，吉祥社区的顺安小区、富强小区、华意楼小区、农林楼小区、钢厂宿舍、煤炭五部小区，博通社区的安通汽修宿舍。亿和家园小区、顺安小区、富强小区、华意楼小区、农林楼小区、煤炭五部小区已于2023年度采暖季前由安次区政府指定南城热力公司代为管理。为保障以上小区居民温暖过冬，南城热力公司于采暖季前对损毁严重、影响供热效果的部分锁闭阀、球阀进行了更换，对跑冒滴漏严重的部分院区管网进行了改造。钢厂宿舍于2016年实施的“气代煤”改造，现为壁挂炉自取暖小区，由廊坊新奥燃气负责供气保障。安通汽修宿舍于2016年拆除了院内燃煤供热锅炉，实施了蓄能式电热设备取暖改造。目前廊坊市正在积极推进廊坊热电厂二期项目及环城管网配套设施建设，计划待热电厂二期项目投产后，结合实际情况，推动该小区实施热电联产并网改造。为了保障以上小区居民供热室温达标，安次区设置了24小时统一的客服投诉、报修热线，增派专业维修人员进驻小区，及时上门解决群众不热问题。</w:t>
      </w:r>
    </w:p>
    <w:p w14:paraId="3DB7008E">
      <w:pPr>
        <w:ind w:firstLine="640"/>
        <w:jc w:val="left"/>
        <w:rPr>
          <w:rFonts w:hint="eastAsia"/>
        </w:rPr>
      </w:pPr>
      <w:r>
        <w:rPr>
          <w:rFonts w:hint="eastAsia"/>
        </w:rPr>
        <w:t>二是广阳区的林园里社区、迎春北路社区均由廊坊市广达供热有限公司负责供暖。为了保障以上小区居民室温达标，广达供热公司增派了专业维修人员，加大了对小区供热设施设备的巡查检查，发现管网及设备故障后第一时间进行抢修，以最大限度地减少对用户的影响。同时，通过微信公众号、张贴通知单等方式公布24小时客服电话，并加大了随机测温力度，及时、主动发现并解决用户不热问题。</w:t>
      </w:r>
    </w:p>
    <w:p w14:paraId="309D1B6F">
      <w:pPr>
        <w:ind w:firstLine="640"/>
        <w:jc w:val="left"/>
        <w:rPr>
          <w:rFonts w:hint="eastAsia"/>
        </w:rPr>
      </w:pPr>
      <w:r>
        <w:rPr>
          <w:rFonts w:hint="eastAsia"/>
        </w:rPr>
        <w:t>三是开发区憩园社区由开发区热力供应中心负责供暖。开发区热力供应中心针对以上问题，一是积极开展“访民问暖”活动，建立了供热问题台账。安排专业维修人员逐户制定解决措施。同时，制作了服务标牌固定在各楼层的井室门上，方便群众在遇到取暖问题时第一时间报修解决。二是加强巡查检查频次，安排热力工作人员进驻社区群，及时了解群众用暖情况。三是建立了“党员示范岗”和“抢修突击队”，并通过公开招标方式选定了3支专业应急抢修队伍，确保发生供暖故障时，最短时间赶赴现场及时处置。</w:t>
      </w:r>
    </w:p>
    <w:p w14:paraId="16322E9E">
      <w:pPr>
        <w:ind w:firstLine="640"/>
        <w:jc w:val="left"/>
        <w:rPr>
          <w:rFonts w:hint="eastAsia"/>
        </w:rPr>
      </w:pPr>
      <w:r>
        <w:rPr>
          <w:rFonts w:hint="eastAsia"/>
        </w:rPr>
        <w:t>我市积极推进廊坊热电厂二期项目及环城热网配套设施建设，对热电厂15公里范围内燃煤、燃气锅炉实施并网替代工程，实现以锅炉房供热为主、热电厂余热供热为辅的保障模式，根据天气变化及热电厂热量供应情况适时启动调峰备用热源保障供暖。2023年，廊坊热电厂二期项目实现形象开工，新建热电厂二期项目配套主管网11.86公里；《廊坊市区环城热网配套管网规划方案》已经市国土空间规划2023年第4次专题会议审议通过，现已按流程组织实施。截至目前，市区热电联产管网接带范围内总入网面积已达到2586.62万平方米，占市区总集中供热面积的52.78%。</w:t>
      </w:r>
    </w:p>
    <w:p w14:paraId="1E332D35">
      <w:pPr>
        <w:ind w:firstLine="640"/>
        <w:jc w:val="left"/>
        <w:rPr>
          <w:rFonts w:hint="eastAsia"/>
        </w:rPr>
      </w:pPr>
      <w:r>
        <w:rPr>
          <w:rFonts w:hint="eastAsia"/>
        </w:rPr>
        <w:t>2）2024年谋划</w:t>
      </w:r>
    </w:p>
    <w:p w14:paraId="2C59FA82">
      <w:pPr>
        <w:ind w:firstLine="640"/>
        <w:jc w:val="left"/>
        <w:rPr>
          <w:rFonts w:hint="eastAsia"/>
        </w:rPr>
      </w:pPr>
      <w:r>
        <w:rPr>
          <w:rFonts w:hint="eastAsia"/>
        </w:rPr>
        <w:t>一是针对以上小区存在供暖管道问题，将积极落实行业监管责任，督导三区供热主管部门、相关供热企业集合采暖季供热运行情况，建立供暖问题台账、合理制定“冬病夏治”工作计划，针对院区供热管网、阀门等供热设施进行改造，以彻底解决群众不热问题。</w:t>
      </w:r>
    </w:p>
    <w:p w14:paraId="12EC262B">
      <w:pPr>
        <w:ind w:firstLine="640"/>
        <w:jc w:val="left"/>
        <w:rPr>
          <w:rFonts w:hint="eastAsia"/>
        </w:rPr>
      </w:pPr>
      <w:r>
        <w:rPr>
          <w:rFonts w:hint="eastAsia"/>
        </w:rPr>
        <w:t>二是加快推进廊坊热电厂二期项目、环城供热主管网建设项目以及市区支线管网等设施建设项目，逐步推动市区供热能源结构优化整合、热电联产供热占比不断提高。</w:t>
      </w:r>
    </w:p>
    <w:p w14:paraId="08810A67">
      <w:pPr>
        <w:jc w:val="left"/>
        <w:outlineLvl w:val="4"/>
        <w:rPr>
          <w:rFonts w:hint="eastAsia"/>
          <w:b/>
          <w:bCs/>
        </w:rPr>
      </w:pPr>
      <w:r>
        <w:rPr>
          <w:rFonts w:hint="eastAsia"/>
          <w:b/>
          <w:bCs/>
        </w:rPr>
        <w:t>12.清泉供水公司</w:t>
      </w:r>
    </w:p>
    <w:p w14:paraId="5978CF88">
      <w:pPr>
        <w:ind w:firstLine="640"/>
        <w:jc w:val="left"/>
        <w:rPr>
          <w:rFonts w:hint="eastAsia"/>
        </w:rPr>
      </w:pPr>
      <w:r>
        <w:rPr>
          <w:rFonts w:hint="eastAsia"/>
        </w:rPr>
        <w:t>体检指标：《2023年廊坊市城市体检问题清单》指出我市存在管线管道破损的住宅数量为582栋，其中给水管线存在跑冒滴漏、排水管线老化破损、渗漏堵塞的情况有252栋。</w:t>
      </w:r>
    </w:p>
    <w:p w14:paraId="0ABE8481">
      <w:pPr>
        <w:ind w:firstLine="640"/>
        <w:jc w:val="left"/>
        <w:rPr>
          <w:rFonts w:hint="eastAsia"/>
        </w:rPr>
      </w:pPr>
      <w:r>
        <w:rPr>
          <w:rFonts w:hint="eastAsia"/>
        </w:rPr>
        <w:t>1）落实情况</w:t>
      </w:r>
    </w:p>
    <w:p w14:paraId="49EDF226">
      <w:pPr>
        <w:ind w:firstLine="640"/>
        <w:jc w:val="left"/>
        <w:rPr>
          <w:rFonts w:hint="eastAsia"/>
        </w:rPr>
      </w:pPr>
      <w:r>
        <w:rPr>
          <w:rFonts w:hint="eastAsia"/>
        </w:rPr>
        <w:t>推进旧改工作，有效减差降漏。为提升居民的居住环境，改善用水质量，有效降低产销产，提高水费回收率，营业公司积极推进旧改工作，已完成广阳区住建局宿舍、裕华小区改造共769户，其他待改造小区已列入漏损城市治理项目，目前正在对接社区及居民，积极宣传改造事宜，待项目招标后动工，助力旧改工作顺利推进。更换老旧管道3101米，更换阀门28处，切断老旧管线13处。加强与市政处沟通，完成银河南路（光明西道－廊霸路）DN400给水管线2459米、东安路DN400管线1041米，为居民用水安全提供有力保障。</w:t>
      </w:r>
    </w:p>
    <w:p w14:paraId="486F78DE">
      <w:pPr>
        <w:ind w:firstLine="640"/>
        <w:jc w:val="left"/>
        <w:rPr>
          <w:rFonts w:hint="eastAsia"/>
        </w:rPr>
      </w:pPr>
      <w:r>
        <w:rPr>
          <w:rFonts w:hint="eastAsia"/>
        </w:rPr>
        <w:t>2）2024年谋划</w:t>
      </w:r>
    </w:p>
    <w:p w14:paraId="777CA70D">
      <w:pPr>
        <w:pStyle w:val="27"/>
        <w:ind w:firstLine="640"/>
        <w:jc w:val="left"/>
        <w:rPr>
          <w:rFonts w:hint="eastAsia" w:ascii="方正仿宋_GBK" w:hAnsi="方正仿宋_GBK" w:eastAsia="方正仿宋_GBK"/>
          <w:color w:val="auto"/>
          <w:sz w:val="32"/>
          <w:szCs w:val="32"/>
        </w:rPr>
      </w:pPr>
      <w:bookmarkStart w:id="34" w:name="_Toc12700"/>
      <w:bookmarkStart w:id="35" w:name="_Toc7638"/>
      <w:r>
        <w:rPr>
          <w:rFonts w:hint="eastAsia" w:ascii="方正仿宋_GBK" w:hAnsi="方正仿宋_GBK" w:eastAsia="方正仿宋_GBK"/>
          <w:color w:val="auto"/>
          <w:sz w:val="32"/>
          <w:szCs w:val="32"/>
        </w:rPr>
        <w:t>一是全力推进漏损城市治理项目</w:t>
      </w:r>
      <w:bookmarkEnd w:id="34"/>
      <w:r>
        <w:rPr>
          <w:rFonts w:hint="eastAsia" w:ascii="方正仿宋_GBK" w:hAnsi="方正仿宋_GBK" w:eastAsia="方正仿宋_GBK"/>
          <w:color w:val="auto"/>
          <w:sz w:val="32"/>
          <w:szCs w:val="32"/>
        </w:rPr>
        <w:t>。</w:t>
      </w:r>
      <w:bookmarkEnd w:id="35"/>
      <w:r>
        <w:rPr>
          <w:rFonts w:hint="eastAsia" w:ascii="方正仿宋_GBK" w:hAnsi="方正仿宋_GBK" w:eastAsia="方正仿宋_GBK"/>
          <w:color w:val="auto"/>
          <w:sz w:val="32"/>
          <w:szCs w:val="32"/>
        </w:rPr>
        <w:t>推广智能消防栓、噪声测漏管理系统建设，积极推进老旧小区户表、二供设施改造等，持续降漏增效。通过优化分区计量、管网压力调控、计量设备校核及新增水质监测等措施，继续在水量、水压、水表、水质上面下功夫，逐步推进区块化管理。</w:t>
      </w:r>
    </w:p>
    <w:p w14:paraId="042185BA">
      <w:pPr>
        <w:pStyle w:val="27"/>
        <w:ind w:firstLine="640"/>
        <w:jc w:val="left"/>
        <w:rPr>
          <w:rFonts w:hint="eastAsia" w:ascii="方正仿宋_GBK" w:hAnsi="方正仿宋_GBK" w:eastAsia="方正仿宋_GBK"/>
          <w:color w:val="auto"/>
          <w:sz w:val="32"/>
          <w:szCs w:val="32"/>
        </w:rPr>
      </w:pPr>
      <w:bookmarkStart w:id="36" w:name="_Toc10329"/>
      <w:r>
        <w:rPr>
          <w:rFonts w:hint="eastAsia" w:ascii="方正仿宋_GBK" w:hAnsi="方正仿宋_GBK" w:eastAsia="方正仿宋_GBK"/>
          <w:color w:val="auto"/>
          <w:sz w:val="32"/>
          <w:szCs w:val="32"/>
        </w:rPr>
        <w:t>二是逐步提升二供泵房运维管理水平</w:t>
      </w:r>
      <w:bookmarkEnd w:id="36"/>
      <w:r>
        <w:rPr>
          <w:rFonts w:hint="eastAsia" w:ascii="方正仿宋_GBK" w:hAnsi="方正仿宋_GBK" w:eastAsia="方正仿宋_GBK"/>
          <w:color w:val="auto"/>
          <w:sz w:val="32"/>
          <w:szCs w:val="32"/>
        </w:rPr>
        <w:t>。逐步实现新建地产二供泵房的统建统管，统一泵房建设标准，从源头上控制泵房及设备质量，实现同网、同质、同管理。</w:t>
      </w:r>
    </w:p>
    <w:p w14:paraId="1513E88B">
      <w:pPr>
        <w:pStyle w:val="27"/>
        <w:ind w:firstLine="640"/>
        <w:jc w:val="left"/>
        <w:rPr>
          <w:rFonts w:hint="eastAsia" w:ascii="方正仿宋_GBK" w:hAnsi="方正仿宋_GBK" w:eastAsia="方正仿宋_GBK"/>
          <w:color w:val="auto"/>
          <w:sz w:val="32"/>
          <w:szCs w:val="32"/>
        </w:rPr>
      </w:pPr>
      <w:bookmarkStart w:id="37" w:name="_Toc31785"/>
      <w:r>
        <w:rPr>
          <w:rFonts w:hint="eastAsia" w:ascii="方正仿宋_GBK" w:hAnsi="方正仿宋_GBK" w:eastAsia="方正仿宋_GBK"/>
          <w:color w:val="auto"/>
          <w:sz w:val="32"/>
          <w:szCs w:val="32"/>
        </w:rPr>
        <w:t>三是建立健全安全管理机制</w:t>
      </w:r>
      <w:bookmarkEnd w:id="37"/>
      <w:r>
        <w:rPr>
          <w:rFonts w:hint="eastAsia" w:ascii="方正仿宋_GBK" w:hAnsi="方正仿宋_GBK" w:eastAsia="方正仿宋_GBK"/>
          <w:color w:val="auto"/>
          <w:sz w:val="32"/>
          <w:szCs w:val="32"/>
        </w:rPr>
        <w:t>。着力完善部门安全管理制度，明晰公司安全生产职责内容。全面梳理风险隐患，结合实际制定专项应急处置预案，增强职工应急处置能力。</w:t>
      </w:r>
    </w:p>
    <w:p w14:paraId="37CCEA46">
      <w:pPr>
        <w:jc w:val="left"/>
        <w:outlineLvl w:val="4"/>
        <w:rPr>
          <w:rFonts w:hint="eastAsia"/>
          <w:b/>
          <w:bCs/>
        </w:rPr>
      </w:pPr>
      <w:r>
        <w:rPr>
          <w:rFonts w:hint="eastAsia"/>
          <w:b/>
          <w:bCs/>
        </w:rPr>
        <w:t>13.城市更新办（广阳区）</w:t>
      </w:r>
    </w:p>
    <w:p w14:paraId="4B4447BC">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体检指标：需要更新改造的老旧街区数量为1个，需要更新改造的老旧厂区数量为1个。</w:t>
      </w:r>
    </w:p>
    <w:p w14:paraId="1580DC01">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1）落实情况</w:t>
      </w:r>
    </w:p>
    <w:p w14:paraId="0B84CAA3">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改造涉及4类88个平房片区，分别为房屋存在安全隐患且基础设施不完备的片区6个、居民改造意愿强烈的片区21个、可打造为特色街区的片区17个和总体情况良好可完善城市功能的片区44个。按照“整体规划、分步实施”的原则，初步计划首先启动存在安全隐患的解放桥桥东、桥西、同安里3个平房片区的改造工作，总占地约81.46亩，涉及居民346户966人，总建筑面积约3.33万平方米。</w:t>
      </w:r>
    </w:p>
    <w:p w14:paraId="005E9281">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2）2024年谋划</w:t>
      </w:r>
    </w:p>
    <w:p w14:paraId="472716AF">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广阳经开区产业园项目。该项目城市更新实施范围主要集中在西区，用地面积约2136.18亩，总投资269亿元，项目内容主要是征地、拆迁、安置、补偿和道路及市政基础设施、公共服务设施、湖心公园建设。</w:t>
      </w:r>
    </w:p>
    <w:p w14:paraId="419E1DC7">
      <w:pPr>
        <w:pStyle w:val="27"/>
        <w:ind w:firstLine="640"/>
        <w:jc w:val="left"/>
        <w:rPr>
          <w:rFonts w:ascii="Times New Roman" w:hAnsi="Times New Roman" w:eastAsia="方正仿宋_GBK" w:cs="Times New Roman"/>
          <w:color w:val="auto"/>
          <w:sz w:val="24"/>
          <w:szCs w:val="32"/>
        </w:rPr>
      </w:pPr>
      <w:r>
        <w:rPr>
          <w:rFonts w:hint="eastAsia" w:ascii="方正仿宋_GBK" w:hAnsi="方正仿宋_GBK" w:eastAsia="方正仿宋_GBK"/>
          <w:color w:val="auto"/>
          <w:sz w:val="32"/>
          <w:szCs w:val="32"/>
        </w:rPr>
        <w:t>中外运老厂区领秀天地项目，与福建领秀集团深度对接，引入泉州城市更新模式，对中外运厂区进行整体改造，融入购物、餐饮、文创、设计等生活性和生产性服务业，打造廊坊城市经济新场景，引领广阳现代城市经济新步伐。</w:t>
      </w:r>
    </w:p>
    <w:p w14:paraId="69E93A3A">
      <w:pPr>
        <w:spacing w:line="570" w:lineRule="exact"/>
        <w:ind w:firstLine="640"/>
        <w:outlineLvl w:val="3"/>
        <w:rPr>
          <w:rFonts w:hint="eastAsia" w:ascii="方正楷体_GBK" w:hAnsi="方正楷体_GBK" w:eastAsia="方正楷体_GBK" w:cs="方正楷体_GBK"/>
        </w:rPr>
      </w:pPr>
      <w:r>
        <w:rPr>
          <w:rFonts w:hint="eastAsia" w:ascii="方正楷体_GBK" w:hAnsi="方正楷体_GBK" w:eastAsia="方正楷体_GBK" w:cs="方正楷体_GBK"/>
        </w:rPr>
        <w:t>（二）各局无问题指标意见反馈</w:t>
      </w:r>
    </w:p>
    <w:p w14:paraId="336BA23B">
      <w:pPr>
        <w:pStyle w:val="27"/>
        <w:ind w:firstLine="640"/>
        <w:jc w:val="left"/>
        <w:rPr>
          <w:rFonts w:hint="eastAsia" w:ascii="方正仿宋_GBK" w:hAnsi="方正仿宋_GBK" w:eastAsia="方正仿宋_GBK"/>
          <w:color w:val="auto"/>
          <w:sz w:val="32"/>
          <w:szCs w:val="32"/>
        </w:rPr>
      </w:pPr>
      <w:r>
        <w:rPr>
          <w:rFonts w:hint="eastAsia" w:ascii="方正仿宋_GBK" w:hAnsi="方正仿宋_GBK" w:eastAsia="方正仿宋_GBK"/>
          <w:color w:val="auto"/>
          <w:sz w:val="32"/>
          <w:szCs w:val="32"/>
        </w:rPr>
        <w:t>在审查了各项无问题的指标后，各责任单位依然积极谋划如何进一步提升城市品质。紧密结合城市的长远发展规划与市民的实际需求，精心制定了科学、合理的年度工作计划。计划突出工作重点，确保每一项任务都能得到有效、有序地落实，同时积极探索创新，推动城市体检工作向更高水平发展。</w:t>
      </w:r>
    </w:p>
    <w:p w14:paraId="433B7F22">
      <w:pPr>
        <w:jc w:val="left"/>
        <w:outlineLvl w:val="4"/>
        <w:rPr>
          <w:rFonts w:hint="eastAsia"/>
          <w:b/>
          <w:bCs/>
        </w:rPr>
      </w:pPr>
      <w:r>
        <w:rPr>
          <w:rFonts w:hint="eastAsia"/>
          <w:b/>
          <w:bCs/>
        </w:rPr>
        <w:t>1.住建局（建筑节能与科技科）</w:t>
      </w:r>
    </w:p>
    <w:p w14:paraId="5C89230D">
      <w:pPr>
        <w:adjustRightInd w:val="0"/>
        <w:snapToGrid w:val="0"/>
        <w:ind w:firstLine="640"/>
        <w:jc w:val="left"/>
        <w:rPr>
          <w:rFonts w:hint="eastAsia"/>
        </w:rPr>
      </w:pPr>
      <w:r>
        <w:rPr>
          <w:rFonts w:hint="eastAsia"/>
        </w:rPr>
        <w:t>体检指标：新建绿色建筑中星级绿色建筑占比（%）为57.43%，已达标。</w:t>
      </w:r>
    </w:p>
    <w:p w14:paraId="1412928D">
      <w:pPr>
        <w:adjustRightInd w:val="0"/>
        <w:snapToGrid w:val="0"/>
        <w:ind w:firstLine="640"/>
        <w:jc w:val="left"/>
        <w:rPr>
          <w:rFonts w:hint="eastAsia"/>
        </w:rPr>
      </w:pPr>
      <w:r>
        <w:rPr>
          <w:rFonts w:hint="eastAsia"/>
        </w:rPr>
        <w:t>1）落实情况</w:t>
      </w:r>
    </w:p>
    <w:p w14:paraId="278CE31F">
      <w:pPr>
        <w:adjustRightInd w:val="0"/>
        <w:snapToGrid w:val="0"/>
        <w:ind w:firstLine="640"/>
        <w:jc w:val="left"/>
        <w:rPr>
          <w:rFonts w:hint="eastAsia"/>
        </w:rPr>
      </w:pPr>
      <w:r>
        <w:rPr>
          <w:rFonts w:hint="eastAsia"/>
        </w:rPr>
        <w:t>截至12月我市绿色建筑占新建建筑比例为100%，竣工星级绿色建筑占比57.43%，超额完成省定星级绿色建筑占比30%任务指标。</w:t>
      </w:r>
    </w:p>
    <w:p w14:paraId="62F1E311">
      <w:pPr>
        <w:adjustRightInd w:val="0"/>
        <w:snapToGrid w:val="0"/>
        <w:ind w:firstLine="640"/>
        <w:jc w:val="left"/>
        <w:rPr>
          <w:rFonts w:hint="eastAsia"/>
        </w:rPr>
      </w:pPr>
      <w:r>
        <w:rPr>
          <w:rFonts w:hint="eastAsia"/>
        </w:rPr>
        <w:t>2）2024年谋划</w:t>
      </w:r>
    </w:p>
    <w:p w14:paraId="74A0F5F7">
      <w:pPr>
        <w:adjustRightInd w:val="0"/>
        <w:snapToGrid w:val="0"/>
        <w:ind w:firstLine="640"/>
        <w:jc w:val="left"/>
        <w:rPr>
          <w:rFonts w:hint="eastAsia"/>
        </w:rPr>
      </w:pPr>
      <w:r>
        <w:rPr>
          <w:rFonts w:hint="eastAsia"/>
        </w:rPr>
        <w:t>一是继续严格执行《廊坊市人民政府印发加快推进绿色建筑产业发展的若干意见的通知》（廊政办字〔2021〕4号）文件要求，采用试点示范先行、以点带面的方式推动绿色建筑；加大宣传力度，构建多渠道、全方位的宣传格局；进一步完善管理机制，加快推进绿色建筑等相关产业发展。</w:t>
      </w:r>
    </w:p>
    <w:p w14:paraId="5E08E90F">
      <w:pPr>
        <w:adjustRightInd w:val="0"/>
        <w:snapToGrid w:val="0"/>
        <w:ind w:firstLine="640"/>
        <w:jc w:val="left"/>
        <w:rPr>
          <w:rFonts w:hint="eastAsia"/>
        </w:rPr>
      </w:pPr>
      <w:r>
        <w:rPr>
          <w:rFonts w:hint="eastAsia"/>
        </w:rPr>
        <w:t>二是进一步落实工作责任。将绿色建筑任务指标列入全市城市建设领域重点工作，定期对各县（市、区）任务指标完成情况进行考核督导，层层压实工作责任，确保工作落到实处，取得成效。</w:t>
      </w:r>
    </w:p>
    <w:p w14:paraId="16E1C6AF">
      <w:pPr>
        <w:adjustRightInd w:val="0"/>
        <w:snapToGrid w:val="0"/>
        <w:ind w:firstLine="640"/>
        <w:jc w:val="left"/>
        <w:rPr>
          <w:rFonts w:hint="eastAsia"/>
        </w:rPr>
      </w:pPr>
      <w:r>
        <w:rPr>
          <w:rFonts w:hint="eastAsia"/>
        </w:rPr>
        <w:t>三是针对性开展教育培训，开展对绿色建筑设计、施工、监理、检测评估等技能培训，培养一批专业管理人员和产业技术人员，以满足产业发展需求，克服技术障碍。</w:t>
      </w:r>
    </w:p>
    <w:p w14:paraId="6E8FE011">
      <w:pPr>
        <w:jc w:val="left"/>
        <w:outlineLvl w:val="4"/>
        <w:rPr>
          <w:rFonts w:hint="eastAsia"/>
          <w:b/>
          <w:bCs/>
        </w:rPr>
      </w:pPr>
      <w:r>
        <w:rPr>
          <w:rFonts w:hint="eastAsia"/>
          <w:b/>
          <w:bCs/>
        </w:rPr>
        <w:t>2.市体育局</w:t>
      </w:r>
    </w:p>
    <w:p w14:paraId="2093EABB">
      <w:pPr>
        <w:ind w:firstLine="640"/>
        <w:jc w:val="left"/>
        <w:rPr>
          <w:rFonts w:hint="eastAsia"/>
        </w:rPr>
      </w:pPr>
      <w:r>
        <w:rPr>
          <w:rFonts w:hint="eastAsia"/>
        </w:rPr>
        <w:t>体检指标：未达标配建多功能运动场地的数量为0，已达标。</w:t>
      </w:r>
    </w:p>
    <w:p w14:paraId="65A0D9D4">
      <w:pPr>
        <w:ind w:firstLine="640"/>
        <w:jc w:val="left"/>
        <w:rPr>
          <w:rFonts w:hint="eastAsia"/>
        </w:rPr>
      </w:pPr>
      <w:r>
        <w:rPr>
          <w:rFonts w:hint="eastAsia"/>
        </w:rPr>
        <w:t>1）落实情况</w:t>
      </w:r>
    </w:p>
    <w:p w14:paraId="66D1884F">
      <w:pPr>
        <w:ind w:firstLine="640"/>
        <w:jc w:val="left"/>
        <w:rPr>
          <w:rFonts w:hint="eastAsia"/>
        </w:rPr>
      </w:pPr>
      <w:r>
        <w:rPr>
          <w:rFonts w:hint="eastAsia"/>
        </w:rPr>
        <w:t>一是体育惠民场地设施建设情况。根据省体育局体育场地设施惠民工作要求，制定《2023年廊坊市体育场地设施惠民工程实施方案》。目前已超额完成今年任务目标。更新健身设施563处、主题公园11个、足球场13个、篮球、乒乓球、羽毛球场地22个、健身步道13条。</w:t>
      </w:r>
    </w:p>
    <w:p w14:paraId="0F6726EE">
      <w:pPr>
        <w:ind w:firstLine="640"/>
        <w:jc w:val="left"/>
        <w:rPr>
          <w:rFonts w:hint="eastAsia"/>
        </w:rPr>
      </w:pPr>
      <w:r>
        <w:rPr>
          <w:rFonts w:hint="eastAsia"/>
        </w:rPr>
        <w:t>二是体育场馆建设情况。2023年SK爆燃运动中心项目项目总投资1.23亿元，目前青训馆、篮羽中心、室外足球场已经建成全部竣工，网球馆计划2月下旬完成。廊坊市体育场改造提升工程已经投入投资150余万元，对社会免费开放。为廊坊市滑冰馆、廊坊市体育馆申请免费或低收费开放补贴132万元。进一步完善城市15分钟健身圈。</w:t>
      </w:r>
    </w:p>
    <w:p w14:paraId="034D1EFA">
      <w:pPr>
        <w:ind w:firstLine="640"/>
        <w:jc w:val="left"/>
        <w:rPr>
          <w:rFonts w:hint="eastAsia"/>
        </w:rPr>
      </w:pPr>
      <w:r>
        <w:rPr>
          <w:rFonts w:hint="eastAsia"/>
        </w:rPr>
        <w:t>2）2024年谋划</w:t>
      </w:r>
    </w:p>
    <w:p w14:paraId="40AA1E3C">
      <w:pPr>
        <w:ind w:firstLine="640"/>
        <w:jc w:val="left"/>
        <w:rPr>
          <w:rFonts w:hint="eastAsia"/>
        </w:rPr>
      </w:pPr>
      <w:r>
        <w:rPr>
          <w:rFonts w:hint="eastAsia"/>
        </w:rPr>
        <w:t>一是高度重视，提前谋划，高质量完成体育惠民工作。按照河北省体育局《2024年体育惠民工程谋划安排》要求，我市制定了“廊坊市体育惠民工程实施方案”，对体育惠民工程目标任务进行分解，各县（市、区）要积极争取地方党委、政府重视支持，提前谋划选址，制定好实施方案。今年，我市将建设或提升标准化体育公园和小型体育主题公园12个，建设更新行政村（社区）新型健身器材24处，建设乡镇（街道）多功能运动场、百姓健身房等15个。</w:t>
      </w:r>
    </w:p>
    <w:p w14:paraId="5956AD3A">
      <w:pPr>
        <w:ind w:firstLine="640"/>
        <w:jc w:val="left"/>
        <w:rPr>
          <w:rFonts w:hint="eastAsia"/>
        </w:rPr>
      </w:pPr>
      <w:r>
        <w:rPr>
          <w:rFonts w:hint="eastAsia"/>
        </w:rPr>
        <w:t>二是体育场馆情况。继续推进爆燃运动中心项目网球馆建设。为廊坊市体育场廊坊市滑冰馆、廊坊市体育馆、廊坊市游泳馆申请免费或低收费开放补贴。</w:t>
      </w:r>
    </w:p>
    <w:p w14:paraId="6D407B36">
      <w:pPr>
        <w:jc w:val="left"/>
        <w:outlineLvl w:val="4"/>
        <w:rPr>
          <w:rFonts w:hint="eastAsia"/>
          <w:b/>
          <w:bCs/>
        </w:rPr>
      </w:pPr>
      <w:r>
        <w:rPr>
          <w:rFonts w:hint="eastAsia"/>
          <w:b/>
          <w:bCs/>
        </w:rPr>
        <w:t>3.城市更新办（广阳区）</w:t>
      </w:r>
    </w:p>
    <w:p w14:paraId="5DC3AB18">
      <w:pPr>
        <w:ind w:firstLine="640"/>
        <w:jc w:val="left"/>
        <w:rPr>
          <w:rFonts w:hint="eastAsia"/>
        </w:rPr>
      </w:pPr>
      <w:r>
        <w:rPr>
          <w:rFonts w:hint="eastAsia"/>
        </w:rPr>
        <w:t>体检指标：需要更新改造的老旧商业街数量为0个。</w:t>
      </w:r>
    </w:p>
    <w:p w14:paraId="3687A7E3">
      <w:pPr>
        <w:ind w:firstLine="640"/>
        <w:jc w:val="left"/>
        <w:rPr>
          <w:rFonts w:hint="eastAsia"/>
        </w:rPr>
      </w:pPr>
      <w:r>
        <w:rPr>
          <w:rFonts w:hint="eastAsia"/>
        </w:rPr>
        <w:t>1）2024年谋划</w:t>
      </w:r>
    </w:p>
    <w:p w14:paraId="0D408616">
      <w:pPr>
        <w:ind w:firstLine="640"/>
        <w:jc w:val="left"/>
        <w:rPr>
          <w:rFonts w:hint="eastAsia"/>
        </w:rPr>
      </w:pPr>
      <w:r>
        <w:rPr>
          <w:rFonts w:hint="eastAsia"/>
        </w:rPr>
        <w:t>一是新朝阳商圈片区更新项目，包含新朝阳广场一、二、三期及周边地块，现状多为城市核心区的老旧危房等，缺乏统一的产业统筹及建筑形象，现拟采用一体化运作模式，对该片区进行城市更新。项目建成后，通过优化资源配置，将极大促进我区购物，办公，居住，养老，商务，演艺，会展，文化，观光，休闲娱乐等各方面发展。整体提升我区建筑风貌和产业升级。该项目已列入2024年城市更新计划。</w:t>
      </w:r>
    </w:p>
    <w:p w14:paraId="7F64AC91">
      <w:pPr>
        <w:ind w:firstLine="640"/>
        <w:jc w:val="left"/>
        <w:rPr>
          <w:rFonts w:hint="eastAsia"/>
        </w:rPr>
      </w:pPr>
      <w:r>
        <w:rPr>
          <w:rFonts w:hint="eastAsia"/>
        </w:rPr>
        <w:t>二是新源天街商城改造升级项目，拟打造城市创新型综合体，由中商国恒实业发展集团有限公司投资1.9亿元进行改造，改造面积9万平米，集商超、文化、科普教育、娱乐、购物为一体，打造高性价比、全种类、功能化运动休闲一体的购物、餐饮、休闲中心。该商业中心为问题楼盘，正在推动投资企业与资产管理人就资产购买进行对接。</w:t>
      </w:r>
    </w:p>
    <w:p w14:paraId="543D27D1">
      <w:pPr>
        <w:jc w:val="left"/>
        <w:outlineLvl w:val="4"/>
        <w:rPr>
          <w:rFonts w:hint="eastAsia"/>
          <w:b/>
          <w:bCs/>
        </w:rPr>
      </w:pPr>
      <w:r>
        <w:rPr>
          <w:rFonts w:hint="eastAsia"/>
          <w:b/>
          <w:bCs/>
        </w:rPr>
        <w:t>4.燃气热力服务中心</w:t>
      </w:r>
    </w:p>
    <w:p w14:paraId="492D618E">
      <w:pPr>
        <w:ind w:firstLine="640"/>
        <w:jc w:val="left"/>
        <w:rPr>
          <w:rFonts w:hint="eastAsia"/>
          <w:bCs/>
          <w:lang w:bidi="ar"/>
        </w:rPr>
      </w:pPr>
      <w:r>
        <w:rPr>
          <w:rFonts w:hint="eastAsia"/>
        </w:rPr>
        <w:t>体检指标：市政管网管线智能化监测管理率中</w:t>
      </w:r>
      <w:r>
        <w:rPr>
          <w:rFonts w:hint="eastAsia"/>
          <w:bCs/>
          <w:lang w:val="zh-CN" w:bidi="ar"/>
        </w:rPr>
        <w:t>供热智能化监测管理率为100%。</w:t>
      </w:r>
    </w:p>
    <w:p w14:paraId="6D045C40">
      <w:pPr>
        <w:ind w:firstLine="640"/>
        <w:jc w:val="left"/>
        <w:rPr>
          <w:rFonts w:hint="eastAsia"/>
        </w:rPr>
      </w:pPr>
      <w:r>
        <w:rPr>
          <w:rFonts w:hint="eastAsia"/>
        </w:rPr>
        <w:t>1）落实情况</w:t>
      </w:r>
    </w:p>
    <w:p w14:paraId="5B53F105">
      <w:pPr>
        <w:ind w:firstLine="640"/>
        <w:jc w:val="left"/>
        <w:rPr>
          <w:rFonts w:hint="eastAsia"/>
        </w:rPr>
      </w:pPr>
      <w:r>
        <w:rPr>
          <w:rFonts w:hint="eastAsia"/>
        </w:rPr>
        <w:t>针对市区供热主管网不存在监测监控设备安装率低的问题。通过对热源及换热站端的供回水温度、压力、流量等监测装置，来实现对供热一次管网的在线监测。采暖季期间，通过供热监管信息平台，可实现在GIS地图上显示供热企业的热源、换热站、一次管网分布情况以及实时运行参数。目前，市区供热一次网智能化监测管理率为100%。</w:t>
      </w:r>
    </w:p>
    <w:p w14:paraId="16D63FEA">
      <w:pPr>
        <w:keepNext/>
        <w:keepLines/>
        <w:ind w:firstLine="640"/>
        <w:jc w:val="left"/>
        <w:outlineLvl w:val="1"/>
        <w:rPr>
          <w:rFonts w:hint="eastAsia" w:ascii="方正黑体_GBK" w:hAnsi="方正黑体_GBK" w:eastAsia="方正黑体_GBK" w:cs="方正黑体_GBK"/>
          <w:bCs/>
        </w:rPr>
      </w:pPr>
      <w:bookmarkStart w:id="38" w:name="_Toc9128"/>
      <w:bookmarkStart w:id="39" w:name="_Toc11837"/>
      <w:bookmarkStart w:id="40" w:name="_Toc22346"/>
      <w:r>
        <w:rPr>
          <w:rFonts w:hint="eastAsia" w:ascii="方正黑体_GBK" w:hAnsi="方正黑体_GBK" w:eastAsia="方正黑体_GBK" w:cs="方正黑体_GBK"/>
          <w:bCs/>
        </w:rPr>
        <w:t>七、未来发展片区体检</w:t>
      </w:r>
      <w:bookmarkEnd w:id="38"/>
    </w:p>
    <w:p w14:paraId="345EB99E">
      <w:pPr>
        <w:adjustRightInd w:val="0"/>
        <w:snapToGrid w:val="0"/>
        <w:ind w:firstLine="640"/>
        <w:jc w:val="left"/>
        <w:rPr>
          <w:rFonts w:hint="eastAsia"/>
        </w:rPr>
      </w:pPr>
      <w:r>
        <w:rPr>
          <w:rFonts w:hint="eastAsia"/>
        </w:rPr>
        <w:t>结合廊坊市国土空间总体规划，廊坊市重点发展片区建设，对城市更新重点发展区域进行体检，实现无体检不更新，以体检促更新。</w:t>
      </w:r>
    </w:p>
    <w:p w14:paraId="3103B26C">
      <w:pPr>
        <w:adjustRightInd w:val="0"/>
        <w:snapToGrid w:val="0"/>
        <w:ind w:firstLine="640"/>
        <w:jc w:val="left"/>
        <w:outlineLvl w:val="3"/>
        <w:rPr>
          <w:rFonts w:hint="eastAsia"/>
        </w:rPr>
      </w:pPr>
      <w:r>
        <w:rPr>
          <w:rFonts w:hint="eastAsia"/>
        </w:rPr>
        <w:t>1、体检范围</w:t>
      </w:r>
    </w:p>
    <w:p w14:paraId="75E0B2C5">
      <w:pPr>
        <w:adjustRightInd w:val="0"/>
        <w:snapToGrid w:val="0"/>
        <w:ind w:firstLine="640"/>
        <w:jc w:val="left"/>
        <w:rPr>
          <w:rFonts w:hint="eastAsia"/>
        </w:rPr>
      </w:pPr>
      <w:r>
        <w:rPr>
          <w:rFonts w:hint="eastAsia"/>
        </w:rPr>
        <w:t>廊坊市未来发展片区包括三个区域，分别是广阳区万庄区域，面积7.59平方公里；开发区高铁北站区域，面积10.8平方公里；安次区永定长安区域，面积6.47平方公里。总面积共24.86平方公里，见下图粉色区域。</w:t>
      </w:r>
    </w:p>
    <w:p w14:paraId="48373217">
      <w:pPr>
        <w:spacing w:line="240" w:lineRule="auto"/>
        <w:ind w:firstLine="0" w:firstLineChars="0"/>
        <w:rPr>
          <w:rFonts w:hint="eastAsia"/>
        </w:rPr>
      </w:pPr>
      <w:r>
        <w:rPr>
          <w:rFonts w:hint="eastAsia"/>
        </w:rPr>
        <w:drawing>
          <wp:inline distT="0" distB="0" distL="114300" distR="114300">
            <wp:extent cx="5259705" cy="3721735"/>
            <wp:effectExtent l="0" t="0" r="17145" b="12065"/>
            <wp:docPr id="73" name="图片 73" descr="未来-建成区边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未来-建成区边界3"/>
                    <pic:cNvPicPr>
                      <a:picLocks noChangeAspect="1"/>
                    </pic:cNvPicPr>
                  </pic:nvPicPr>
                  <pic:blipFill>
                    <a:blip r:embed="rId22"/>
                    <a:stretch>
                      <a:fillRect/>
                    </a:stretch>
                  </pic:blipFill>
                  <pic:spPr>
                    <a:xfrm>
                      <a:off x="0" y="0"/>
                      <a:ext cx="5259705" cy="3721735"/>
                    </a:xfrm>
                    <a:prstGeom prst="rect">
                      <a:avLst/>
                    </a:prstGeom>
                  </pic:spPr>
                </pic:pic>
              </a:graphicData>
            </a:graphic>
          </wp:inline>
        </w:drawing>
      </w:r>
    </w:p>
    <w:p w14:paraId="08898662">
      <w:pPr>
        <w:ind w:firstLine="0" w:firstLineChars="0"/>
        <w:jc w:val="center"/>
        <w:rPr>
          <w:rFonts w:hint="eastAsia" w:ascii="黑体" w:hAnsi="黑体" w:eastAsia="黑体" w:cs="黑体"/>
          <w:sz w:val="24"/>
          <w:szCs w:val="24"/>
        </w:rPr>
      </w:pPr>
      <w:r>
        <w:rPr>
          <w:rFonts w:hint="eastAsia" w:ascii="黑体" w:hAnsi="黑体" w:eastAsia="黑体" w:cs="黑体"/>
          <w:sz w:val="24"/>
          <w:szCs w:val="24"/>
        </w:rPr>
        <w:t>未来发展片区建成区边界范围图</w:t>
      </w:r>
    </w:p>
    <w:p w14:paraId="1EF511E7">
      <w:pPr>
        <w:adjustRightInd w:val="0"/>
        <w:snapToGrid w:val="0"/>
        <w:ind w:firstLine="640"/>
        <w:jc w:val="left"/>
        <w:outlineLvl w:val="3"/>
        <w:rPr>
          <w:rFonts w:hint="eastAsia"/>
        </w:rPr>
      </w:pPr>
      <w:r>
        <w:rPr>
          <w:rFonts w:hint="eastAsia"/>
        </w:rPr>
        <w:t>2、体检社区</w:t>
      </w:r>
    </w:p>
    <w:p w14:paraId="3ABC9C84">
      <w:pPr>
        <w:adjustRightInd w:val="0"/>
        <w:snapToGrid w:val="0"/>
        <w:ind w:firstLine="640"/>
        <w:jc w:val="left"/>
        <w:rPr>
          <w:rFonts w:hint="eastAsia"/>
        </w:rPr>
      </w:pPr>
      <w:r>
        <w:rPr>
          <w:rFonts w:hint="eastAsia"/>
        </w:rPr>
        <w:t>未来发展片区共包括14个社区。</w:t>
      </w:r>
    </w:p>
    <w:p w14:paraId="70CD465F">
      <w:pPr>
        <w:adjustRightInd w:val="0"/>
        <w:snapToGrid w:val="0"/>
        <w:ind w:firstLine="0" w:firstLineChars="0"/>
        <w:jc w:val="center"/>
        <w:rPr>
          <w:rFonts w:hint="eastAsia" w:ascii="黑体" w:hAnsi="黑体" w:eastAsia="黑体" w:cs="黑体"/>
          <w:sz w:val="24"/>
          <w:szCs w:val="24"/>
        </w:rPr>
      </w:pPr>
      <w:r>
        <w:rPr>
          <w:rFonts w:hint="eastAsia" w:ascii="黑体" w:hAnsi="黑体" w:eastAsia="黑体" w:cs="黑体"/>
          <w:sz w:val="24"/>
          <w:szCs w:val="24"/>
        </w:rPr>
        <w:t>未来发展片区体检社区一览表</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4"/>
        <w:gridCol w:w="1742"/>
        <w:gridCol w:w="5014"/>
      </w:tblGrid>
      <w:tr w14:paraId="5730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Align w:val="center"/>
          </w:tcPr>
          <w:p w14:paraId="0E11A339">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区域</w:t>
            </w:r>
          </w:p>
        </w:tc>
        <w:tc>
          <w:tcPr>
            <w:tcW w:w="1744" w:type="dxa"/>
            <w:vAlign w:val="center"/>
          </w:tcPr>
          <w:p w14:paraId="55AF8D29">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乡镇（街道）</w:t>
            </w:r>
          </w:p>
        </w:tc>
        <w:tc>
          <w:tcPr>
            <w:tcW w:w="5022" w:type="dxa"/>
            <w:vAlign w:val="center"/>
          </w:tcPr>
          <w:p w14:paraId="4AC7345D">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社区名称</w:t>
            </w:r>
          </w:p>
        </w:tc>
      </w:tr>
      <w:tr w14:paraId="4889B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restart"/>
            <w:vAlign w:val="center"/>
          </w:tcPr>
          <w:p w14:paraId="7F487E6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1744" w:type="dxa"/>
            <w:vMerge w:val="restart"/>
            <w:vAlign w:val="center"/>
          </w:tcPr>
          <w:p w14:paraId="1B26192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5022" w:type="dxa"/>
            <w:vAlign w:val="center"/>
          </w:tcPr>
          <w:p w14:paraId="1F9F97A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采油四厂社区</w:t>
            </w:r>
          </w:p>
        </w:tc>
      </w:tr>
      <w:tr w14:paraId="0353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66DCDC8B">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4205AE7E">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6F03E41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盛城社区</w:t>
            </w:r>
          </w:p>
        </w:tc>
      </w:tr>
      <w:tr w14:paraId="414BF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34EEB5FA">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44C7F6EA">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4658373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雅园社区</w:t>
            </w:r>
          </w:p>
        </w:tc>
      </w:tr>
      <w:tr w14:paraId="79355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1B31BFF3">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5E9D9030">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5DB1632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万欣社区</w:t>
            </w:r>
          </w:p>
        </w:tc>
      </w:tr>
      <w:tr w14:paraId="7955D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0E531125">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23C5616E">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66377A2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万乐社区</w:t>
            </w:r>
          </w:p>
        </w:tc>
      </w:tr>
      <w:tr w14:paraId="178A4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6E4D12CD">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1DD72EE5">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632EDAB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万怡社区</w:t>
            </w:r>
          </w:p>
        </w:tc>
      </w:tr>
      <w:tr w14:paraId="56E63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2FA36557">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2A738FBA">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2E5D933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万康社区</w:t>
            </w:r>
          </w:p>
        </w:tc>
      </w:tr>
      <w:tr w14:paraId="66D7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5896750D">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1F155D86">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11B1A37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万青社区</w:t>
            </w:r>
          </w:p>
        </w:tc>
      </w:tr>
      <w:tr w14:paraId="78009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025EFA9B">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10C0C2DC">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4E002E6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万春社区</w:t>
            </w:r>
          </w:p>
        </w:tc>
      </w:tr>
      <w:tr w14:paraId="631B1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491C5323">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5EAE3B5B">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5D28038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万福社区</w:t>
            </w:r>
          </w:p>
        </w:tc>
      </w:tr>
      <w:tr w14:paraId="3EB69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2293DE05">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1DB936F7">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657E70B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领航城社区</w:t>
            </w:r>
          </w:p>
        </w:tc>
      </w:tr>
      <w:tr w14:paraId="43868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restart"/>
            <w:vAlign w:val="center"/>
          </w:tcPr>
          <w:p w14:paraId="7D6A625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1744" w:type="dxa"/>
            <w:vMerge w:val="restart"/>
            <w:vAlign w:val="center"/>
          </w:tcPr>
          <w:p w14:paraId="754C480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5022" w:type="dxa"/>
            <w:vAlign w:val="center"/>
          </w:tcPr>
          <w:p w14:paraId="0A74F27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德荣社区</w:t>
            </w:r>
          </w:p>
        </w:tc>
      </w:tr>
      <w:tr w14:paraId="548DA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1BF62CDF">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4E2426A0">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5BEAAA2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新城林湾社区</w:t>
            </w:r>
          </w:p>
        </w:tc>
      </w:tr>
      <w:tr w14:paraId="64F1C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vMerge w:val="continue"/>
            <w:vAlign w:val="center"/>
          </w:tcPr>
          <w:p w14:paraId="58E528E3">
            <w:pPr>
              <w:widowControl/>
              <w:spacing w:line="320" w:lineRule="exact"/>
              <w:ind w:firstLine="0" w:firstLineChars="0"/>
              <w:jc w:val="center"/>
              <w:rPr>
                <w:rFonts w:hint="eastAsia" w:ascii="仿宋" w:hAnsi="仿宋" w:eastAsia="仿宋" w:cs="仿宋"/>
                <w:kern w:val="0"/>
                <w:sz w:val="24"/>
                <w:szCs w:val="24"/>
              </w:rPr>
            </w:pPr>
          </w:p>
        </w:tc>
        <w:tc>
          <w:tcPr>
            <w:tcW w:w="1744" w:type="dxa"/>
            <w:vMerge w:val="continue"/>
            <w:vAlign w:val="center"/>
          </w:tcPr>
          <w:p w14:paraId="6A5E8386">
            <w:pPr>
              <w:widowControl/>
              <w:spacing w:line="320" w:lineRule="exact"/>
              <w:ind w:firstLine="0" w:firstLineChars="0"/>
              <w:jc w:val="center"/>
              <w:rPr>
                <w:rFonts w:hint="eastAsia" w:ascii="仿宋" w:hAnsi="仿宋" w:eastAsia="仿宋" w:cs="仿宋"/>
                <w:kern w:val="0"/>
                <w:sz w:val="24"/>
                <w:szCs w:val="24"/>
              </w:rPr>
            </w:pPr>
          </w:p>
        </w:tc>
        <w:tc>
          <w:tcPr>
            <w:tcW w:w="5022" w:type="dxa"/>
            <w:vAlign w:val="center"/>
          </w:tcPr>
          <w:p w14:paraId="46E89D9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福兴路社区</w:t>
            </w:r>
          </w:p>
        </w:tc>
      </w:tr>
    </w:tbl>
    <w:p w14:paraId="2A7E5A34">
      <w:pPr>
        <w:spacing w:line="240" w:lineRule="auto"/>
        <w:ind w:firstLine="0" w:firstLineChars="0"/>
        <w:rPr>
          <w:rFonts w:hint="eastAsia"/>
        </w:rPr>
      </w:pPr>
      <w:r>
        <w:rPr>
          <w:rFonts w:hint="eastAsia"/>
        </w:rPr>
        <w:drawing>
          <wp:inline distT="0" distB="0" distL="114300" distR="114300">
            <wp:extent cx="5259705" cy="3721735"/>
            <wp:effectExtent l="0" t="0" r="17145" b="12065"/>
            <wp:docPr id="74" name="图片 74" descr="未来-体检社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未来-体检社区2"/>
                    <pic:cNvPicPr>
                      <a:picLocks noChangeAspect="1"/>
                    </pic:cNvPicPr>
                  </pic:nvPicPr>
                  <pic:blipFill>
                    <a:blip r:embed="rId23"/>
                    <a:stretch>
                      <a:fillRect/>
                    </a:stretch>
                  </pic:blipFill>
                  <pic:spPr>
                    <a:xfrm>
                      <a:off x="0" y="0"/>
                      <a:ext cx="5259705" cy="3721735"/>
                    </a:xfrm>
                    <a:prstGeom prst="rect">
                      <a:avLst/>
                    </a:prstGeom>
                  </pic:spPr>
                </pic:pic>
              </a:graphicData>
            </a:graphic>
          </wp:inline>
        </w:drawing>
      </w:r>
    </w:p>
    <w:p w14:paraId="4C575049">
      <w:pPr>
        <w:ind w:firstLine="0" w:firstLineChars="0"/>
        <w:jc w:val="center"/>
        <w:rPr>
          <w:rFonts w:hint="eastAsia"/>
        </w:rPr>
      </w:pPr>
      <w:r>
        <w:rPr>
          <w:rFonts w:hint="eastAsia" w:ascii="黑体" w:hAnsi="黑体" w:eastAsia="黑体" w:cs="黑体"/>
          <w:sz w:val="24"/>
          <w:szCs w:val="24"/>
        </w:rPr>
        <w:t>城市体检社区范围图</w:t>
      </w:r>
    </w:p>
    <w:p w14:paraId="4CAFE0BA">
      <w:pPr>
        <w:adjustRightInd w:val="0"/>
        <w:snapToGrid w:val="0"/>
        <w:ind w:firstLine="640"/>
        <w:outlineLvl w:val="3"/>
        <w:rPr>
          <w:rFonts w:hint="eastAsia"/>
        </w:rPr>
      </w:pPr>
      <w:r>
        <w:rPr>
          <w:rFonts w:hint="eastAsia"/>
        </w:rPr>
        <w:t>3、指标分析</w:t>
      </w:r>
    </w:p>
    <w:p w14:paraId="124D221B">
      <w:pPr>
        <w:adjustRightInd w:val="0"/>
        <w:snapToGrid w:val="0"/>
        <w:ind w:firstLine="640"/>
        <w:outlineLvl w:val="4"/>
        <w:rPr>
          <w:rFonts w:hint="eastAsia"/>
        </w:rPr>
      </w:pPr>
      <w:r>
        <w:rPr>
          <w:rFonts w:hint="eastAsia"/>
        </w:rPr>
        <w:t>（1）社区养老服务设施覆盖度（%）</w:t>
      </w:r>
    </w:p>
    <w:p w14:paraId="342213D1">
      <w:pPr>
        <w:adjustRightInd w:val="0"/>
        <w:snapToGrid w:val="0"/>
        <w:ind w:firstLine="640"/>
        <w:rPr>
          <w:rFonts w:hint="eastAsia"/>
        </w:rPr>
      </w:pPr>
      <w:r>
        <w:rPr>
          <w:rFonts w:hint="eastAsia"/>
        </w:rPr>
        <w:t>【体检内容】</w:t>
      </w:r>
    </w:p>
    <w:p w14:paraId="1A5F00A3">
      <w:pPr>
        <w:adjustRightInd w:val="0"/>
        <w:snapToGrid w:val="0"/>
        <w:ind w:firstLine="640"/>
        <w:rPr>
          <w:rFonts w:hint="eastAsia"/>
        </w:rPr>
      </w:pPr>
      <w:r>
        <w:rPr>
          <w:rFonts w:hint="eastAsia"/>
        </w:rPr>
        <w:t>拥有老年服务站（如日间照料机构或社区养老服务设施等）的社区占全部社区数量的比例。</w:t>
      </w:r>
    </w:p>
    <w:p w14:paraId="49A81A2C">
      <w:pPr>
        <w:adjustRightInd w:val="0"/>
        <w:snapToGrid w:val="0"/>
        <w:ind w:firstLine="640"/>
        <w:rPr>
          <w:rFonts w:hint="eastAsia"/>
        </w:rPr>
      </w:pPr>
      <w:r>
        <w:rPr>
          <w:rFonts w:hint="eastAsia"/>
        </w:rPr>
        <w:t>【参考标准】</w:t>
      </w:r>
    </w:p>
    <w:p w14:paraId="5100E339">
      <w:pPr>
        <w:adjustRightInd w:val="0"/>
        <w:snapToGrid w:val="0"/>
        <w:ind w:firstLine="640"/>
        <w:rPr>
          <w:rFonts w:hint="eastAsia"/>
        </w:rPr>
      </w:pPr>
      <w:r>
        <w:rPr>
          <w:rFonts w:hint="eastAsia"/>
        </w:rPr>
        <w:t>100%。</w:t>
      </w:r>
    </w:p>
    <w:p w14:paraId="2A19E85C">
      <w:pPr>
        <w:adjustRightInd w:val="0"/>
        <w:snapToGrid w:val="0"/>
        <w:ind w:firstLine="640"/>
        <w:rPr>
          <w:rFonts w:hint="eastAsia"/>
        </w:rPr>
      </w:pPr>
      <w:r>
        <w:rPr>
          <w:rFonts w:hint="eastAsia"/>
        </w:rPr>
        <w:t>【分析诊断】</w:t>
      </w:r>
    </w:p>
    <w:p w14:paraId="3EF3E56B">
      <w:pPr>
        <w:adjustRightInd w:val="0"/>
        <w:snapToGrid w:val="0"/>
        <w:ind w:firstLine="640"/>
        <w:rPr>
          <w:rFonts w:hint="eastAsia"/>
        </w:rPr>
      </w:pPr>
      <w:r>
        <w:rPr>
          <w:rFonts w:hint="eastAsia"/>
        </w:rPr>
        <w:t>指标数值：57.14%，该指标评价结论为一般。</w:t>
      </w:r>
    </w:p>
    <w:p w14:paraId="2DB5051A">
      <w:pPr>
        <w:pStyle w:val="27"/>
        <w:ind w:firstLine="640"/>
        <w:rPr>
          <w:rFonts w:hint="eastAsia" w:ascii="方正仿宋_GBK" w:hAnsi="方正仿宋_GBK" w:eastAsia="方正仿宋_GBK"/>
          <w:sz w:val="32"/>
          <w:szCs w:val="32"/>
        </w:rPr>
      </w:pPr>
      <w:r>
        <w:rPr>
          <w:rFonts w:hint="eastAsia" w:ascii="方正仿宋_GBK" w:hAnsi="方正仿宋_GBK" w:eastAsia="方正仿宋_GBK"/>
          <w:sz w:val="32"/>
          <w:szCs w:val="32"/>
        </w:rPr>
        <w:t>未来发展片区体检社区共14个，</w:t>
      </w:r>
      <w:r>
        <w:rPr>
          <w:rFonts w:ascii="方正仿宋_GBK" w:hAnsi="方正仿宋_GBK" w:eastAsia="方正仿宋_GBK"/>
          <w:sz w:val="32"/>
          <w:szCs w:val="32"/>
        </w:rPr>
        <w:t>目前</w:t>
      </w:r>
      <w:r>
        <w:rPr>
          <w:rFonts w:hint="eastAsia" w:ascii="方正仿宋_GBK" w:hAnsi="方正仿宋_GBK" w:eastAsia="方正仿宋_GBK"/>
          <w:sz w:val="32"/>
          <w:szCs w:val="32"/>
        </w:rPr>
        <w:t>有8</w:t>
      </w:r>
      <w:r>
        <w:rPr>
          <w:rFonts w:ascii="方正仿宋_GBK" w:hAnsi="方正仿宋_GBK" w:eastAsia="方正仿宋_GBK"/>
          <w:sz w:val="32"/>
          <w:szCs w:val="32"/>
        </w:rPr>
        <w:t>个</w:t>
      </w:r>
      <w:r>
        <w:rPr>
          <w:rFonts w:hint="eastAsia" w:ascii="方正仿宋_GBK" w:hAnsi="方正仿宋_GBK" w:eastAsia="方正仿宋_GBK"/>
          <w:sz w:val="32"/>
          <w:szCs w:val="32"/>
        </w:rPr>
        <w:t>社区达标配建了养老服务</w:t>
      </w:r>
      <w:r>
        <w:rPr>
          <w:rFonts w:ascii="方正仿宋_GBK" w:hAnsi="方正仿宋_GBK" w:eastAsia="方正仿宋_GBK"/>
          <w:sz w:val="32"/>
          <w:szCs w:val="32"/>
        </w:rPr>
        <w:t>设施，</w:t>
      </w:r>
      <w:r>
        <w:rPr>
          <w:rFonts w:hint="eastAsia" w:ascii="方正仿宋_GBK" w:hAnsi="方正仿宋_GBK" w:eastAsia="方正仿宋_GBK"/>
          <w:sz w:val="32"/>
          <w:szCs w:val="32"/>
        </w:rPr>
        <w:t>覆盖所有</w:t>
      </w:r>
      <w:r>
        <w:rPr>
          <w:rFonts w:ascii="方正仿宋_GBK" w:hAnsi="方正仿宋_GBK" w:eastAsia="方正仿宋_GBK"/>
          <w:sz w:val="32"/>
          <w:szCs w:val="32"/>
        </w:rPr>
        <w:t>社区总数的</w:t>
      </w:r>
      <w:r>
        <w:rPr>
          <w:rFonts w:hint="eastAsia" w:ascii="方正仿宋_GBK" w:hAnsi="方正仿宋_GBK" w:eastAsia="方正仿宋_GBK"/>
          <w:sz w:val="32"/>
          <w:szCs w:val="32"/>
        </w:rPr>
        <w:t>57.14</w:t>
      </w:r>
      <w:r>
        <w:rPr>
          <w:rFonts w:ascii="方正仿宋_GBK" w:hAnsi="方正仿宋_GBK" w:eastAsia="方正仿宋_GBK"/>
          <w:sz w:val="32"/>
          <w:szCs w:val="32"/>
        </w:rPr>
        <w:t>%</w:t>
      </w:r>
      <w:r>
        <w:rPr>
          <w:rFonts w:hint="eastAsia" w:ascii="方正仿宋_GBK" w:hAnsi="方正仿宋_GBK" w:eastAsia="方正仿宋_GBK"/>
          <w:sz w:val="32"/>
          <w:szCs w:val="32"/>
        </w:rPr>
        <w:t>。</w:t>
      </w:r>
    </w:p>
    <w:p w14:paraId="14917803">
      <w:pPr>
        <w:adjustRightInd w:val="0"/>
        <w:snapToGrid w:val="0"/>
        <w:ind w:firstLine="640"/>
        <w:rPr>
          <w:rFonts w:hint="eastAsia"/>
        </w:rPr>
      </w:pPr>
      <w:r>
        <w:rPr>
          <w:rFonts w:hint="eastAsia"/>
        </w:rPr>
        <w:t>安次区杨税务镇共体检3个社区，养老服务设施覆盖度为100%。</w:t>
      </w:r>
    </w:p>
    <w:p w14:paraId="2BB5BC18">
      <w:pPr>
        <w:adjustRightInd w:val="0"/>
        <w:snapToGrid w:val="0"/>
        <w:ind w:firstLine="640"/>
        <w:rPr>
          <w:rFonts w:hint="eastAsia"/>
        </w:rPr>
      </w:pPr>
      <w:r>
        <w:rPr>
          <w:rFonts w:hint="eastAsia"/>
        </w:rPr>
        <w:t>广阳区万庄镇共体检11个社区，5个社区拥有养老服务设施，养老服务设施覆盖度45.5%。</w:t>
      </w:r>
    </w:p>
    <w:p w14:paraId="75FDB69D">
      <w:pPr>
        <w:ind w:firstLine="0" w:firstLineChars="0"/>
        <w:jc w:val="center"/>
        <w:rPr>
          <w:rFonts w:hint="eastAsia" w:ascii="黑体" w:hAnsi="黑体" w:eastAsia="黑体" w:cs="黑体"/>
          <w:sz w:val="24"/>
          <w:szCs w:val="24"/>
        </w:rPr>
      </w:pPr>
      <w:r>
        <w:rPr>
          <w:rFonts w:hint="eastAsia" w:ascii="黑体" w:hAnsi="黑体" w:eastAsia="黑体" w:cs="黑体"/>
          <w:sz w:val="24"/>
          <w:szCs w:val="24"/>
        </w:rPr>
        <w:t>未来发展片区社区日间照料服务机构相关情况一览表</w:t>
      </w:r>
    </w:p>
    <w:tbl>
      <w:tblPr>
        <w:tblStyle w:val="29"/>
        <w:tblW w:w="8595" w:type="dxa"/>
        <w:tblInd w:w="93" w:type="dxa"/>
        <w:tblLayout w:type="fixed"/>
        <w:tblCellMar>
          <w:top w:w="0" w:type="dxa"/>
          <w:left w:w="108" w:type="dxa"/>
          <w:bottom w:w="0" w:type="dxa"/>
          <w:right w:w="108" w:type="dxa"/>
        </w:tblCellMar>
      </w:tblPr>
      <w:tblGrid>
        <w:gridCol w:w="436"/>
        <w:gridCol w:w="950"/>
        <w:gridCol w:w="816"/>
        <w:gridCol w:w="1284"/>
        <w:gridCol w:w="916"/>
        <w:gridCol w:w="1014"/>
        <w:gridCol w:w="454"/>
        <w:gridCol w:w="454"/>
        <w:gridCol w:w="454"/>
        <w:gridCol w:w="454"/>
        <w:gridCol w:w="454"/>
        <w:gridCol w:w="454"/>
        <w:gridCol w:w="455"/>
      </w:tblGrid>
      <w:tr w14:paraId="0D8B9E2F">
        <w:tblPrEx>
          <w:tblCellMar>
            <w:top w:w="0" w:type="dxa"/>
            <w:left w:w="108" w:type="dxa"/>
            <w:bottom w:w="0" w:type="dxa"/>
            <w:right w:w="108" w:type="dxa"/>
          </w:tblCellMar>
        </w:tblPrEx>
        <w:trPr>
          <w:trHeight w:val="270" w:hRule="atLeast"/>
        </w:trPr>
        <w:tc>
          <w:tcPr>
            <w:tcW w:w="4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539355">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区域</w:t>
            </w:r>
          </w:p>
        </w:tc>
        <w:tc>
          <w:tcPr>
            <w:tcW w:w="9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47E5BE">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乡镇</w:t>
            </w:r>
          </w:p>
          <w:p w14:paraId="474576E6">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（街道）</w:t>
            </w:r>
          </w:p>
        </w:tc>
        <w:tc>
          <w:tcPr>
            <w:tcW w:w="8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EF3D54">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社区名称</w:t>
            </w:r>
          </w:p>
        </w:tc>
        <w:tc>
          <w:tcPr>
            <w:tcW w:w="12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10AF4F">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名称</w:t>
            </w:r>
          </w:p>
        </w:tc>
        <w:tc>
          <w:tcPr>
            <w:tcW w:w="9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2243D6">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建筑面积（㎡）</w:t>
            </w:r>
          </w:p>
        </w:tc>
        <w:tc>
          <w:tcPr>
            <w:tcW w:w="101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915649">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机构类型</w:t>
            </w:r>
          </w:p>
        </w:tc>
        <w:tc>
          <w:tcPr>
            <w:tcW w:w="3179"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5A81DCA">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服务内容（打√）</w:t>
            </w:r>
          </w:p>
        </w:tc>
      </w:tr>
      <w:tr w14:paraId="567C71A7">
        <w:tblPrEx>
          <w:tblCellMar>
            <w:top w:w="0" w:type="dxa"/>
            <w:left w:w="108" w:type="dxa"/>
            <w:bottom w:w="0" w:type="dxa"/>
            <w:right w:w="108" w:type="dxa"/>
          </w:tblCellMar>
        </w:tblPrEx>
        <w:trPr>
          <w:trHeight w:val="312" w:hRule="atLeast"/>
        </w:trPr>
        <w:tc>
          <w:tcPr>
            <w:tcW w:w="4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035B5">
            <w:pPr>
              <w:widowControl/>
              <w:spacing w:line="320" w:lineRule="exact"/>
              <w:ind w:firstLine="0" w:firstLineChars="0"/>
              <w:jc w:val="center"/>
              <w:rPr>
                <w:rFonts w:ascii="Times New Roman" w:hAnsi="Times New Roman" w:eastAsia="黑体" w:cs="Times New Roman"/>
                <w:kern w:val="0"/>
                <w:sz w:val="24"/>
                <w:szCs w:val="24"/>
              </w:rPr>
            </w:pP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594947">
            <w:pPr>
              <w:widowControl/>
              <w:spacing w:line="320" w:lineRule="exact"/>
              <w:ind w:firstLine="0" w:firstLineChars="0"/>
              <w:jc w:val="center"/>
              <w:rPr>
                <w:rFonts w:ascii="Times New Roman" w:hAnsi="Times New Roman" w:eastAsia="黑体" w:cs="Times New Roman"/>
                <w:kern w:val="0"/>
                <w:sz w:val="24"/>
                <w:szCs w:val="24"/>
              </w:rPr>
            </w:pPr>
          </w:p>
        </w:tc>
        <w:tc>
          <w:tcPr>
            <w:tcW w:w="8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5D118B">
            <w:pPr>
              <w:widowControl/>
              <w:spacing w:line="320" w:lineRule="exact"/>
              <w:ind w:firstLine="0" w:firstLineChars="0"/>
              <w:jc w:val="center"/>
              <w:rPr>
                <w:rFonts w:ascii="Times New Roman" w:hAnsi="Times New Roman" w:eastAsia="黑体" w:cs="Times New Roman"/>
                <w:kern w:val="0"/>
                <w:sz w:val="24"/>
                <w:szCs w:val="24"/>
              </w:rPr>
            </w:pPr>
          </w:p>
        </w:tc>
        <w:tc>
          <w:tcPr>
            <w:tcW w:w="12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76D8F0">
            <w:pPr>
              <w:widowControl/>
              <w:spacing w:line="320" w:lineRule="exact"/>
              <w:ind w:firstLine="0" w:firstLineChars="0"/>
              <w:jc w:val="center"/>
              <w:rPr>
                <w:rFonts w:ascii="Times New Roman" w:hAnsi="Times New Roman" w:eastAsia="黑体" w:cs="Times New Roman"/>
                <w:kern w:val="0"/>
                <w:sz w:val="24"/>
                <w:szCs w:val="24"/>
              </w:rPr>
            </w:pPr>
          </w:p>
        </w:tc>
        <w:tc>
          <w:tcPr>
            <w:tcW w:w="9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D480D">
            <w:pPr>
              <w:widowControl/>
              <w:spacing w:line="320" w:lineRule="exact"/>
              <w:ind w:firstLine="0" w:firstLineChars="0"/>
              <w:jc w:val="center"/>
              <w:rPr>
                <w:rFonts w:ascii="Times New Roman" w:hAnsi="Times New Roman" w:eastAsia="黑体" w:cs="Times New Roman"/>
                <w:kern w:val="0"/>
                <w:sz w:val="24"/>
                <w:szCs w:val="24"/>
              </w:rPr>
            </w:pPr>
          </w:p>
        </w:tc>
        <w:tc>
          <w:tcPr>
            <w:tcW w:w="101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7204E6">
            <w:pPr>
              <w:widowControl/>
              <w:spacing w:line="320" w:lineRule="exact"/>
              <w:ind w:firstLine="0" w:firstLineChars="0"/>
              <w:jc w:val="center"/>
              <w:rPr>
                <w:rFonts w:ascii="Times New Roman" w:hAnsi="Times New Roman" w:eastAsia="黑体" w:cs="Times New Roman"/>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2ADC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生活照料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20E19">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助餐服务</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CE9E">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文化娱乐</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A4EDB">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健康指导</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FD7AA">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心理慰藉</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15FC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上门服务</w:t>
            </w: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38ED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全日托养</w:t>
            </w:r>
          </w:p>
        </w:tc>
      </w:tr>
      <w:tr w14:paraId="4B9A33C1">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0E48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B756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45F3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万庄东社区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5968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万庄东社区日间照料服务站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D635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8A8F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7EE7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33A8C">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9C9F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7443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16A5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A7750">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FDF66">
            <w:pPr>
              <w:widowControl/>
              <w:spacing w:line="320" w:lineRule="exact"/>
              <w:ind w:firstLine="0" w:firstLineChars="0"/>
              <w:jc w:val="center"/>
              <w:rPr>
                <w:rFonts w:hint="eastAsia" w:ascii="仿宋" w:hAnsi="仿宋" w:eastAsia="仿宋" w:cs="仿宋"/>
                <w:kern w:val="0"/>
                <w:sz w:val="24"/>
                <w:szCs w:val="24"/>
              </w:rPr>
            </w:pPr>
          </w:p>
        </w:tc>
      </w:tr>
      <w:tr w14:paraId="1C98BE65">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05BE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3E47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FD6B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万庄西社区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DC4B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西社区日间照料服务站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1435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1B27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8E9E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23F3A">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054A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CA0E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578A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2D4D1">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4592">
            <w:pPr>
              <w:widowControl/>
              <w:spacing w:line="320" w:lineRule="exact"/>
              <w:ind w:firstLine="0" w:firstLineChars="0"/>
              <w:jc w:val="center"/>
              <w:rPr>
                <w:rFonts w:hint="eastAsia" w:ascii="仿宋" w:hAnsi="仿宋" w:eastAsia="仿宋" w:cs="仿宋"/>
                <w:kern w:val="0"/>
                <w:sz w:val="24"/>
                <w:szCs w:val="24"/>
              </w:rPr>
            </w:pPr>
          </w:p>
        </w:tc>
      </w:tr>
      <w:tr w14:paraId="70B114F5">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CDFB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E493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B9A8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采四社区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D9F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采四社区日间照料服务站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0E52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3A56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DBFB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04151">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6B3F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2E80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BC0D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1B46C">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3758B">
            <w:pPr>
              <w:widowControl/>
              <w:spacing w:line="320" w:lineRule="exact"/>
              <w:ind w:firstLine="0" w:firstLineChars="0"/>
              <w:jc w:val="center"/>
              <w:rPr>
                <w:rFonts w:hint="eastAsia" w:ascii="仿宋" w:hAnsi="仿宋" w:eastAsia="仿宋" w:cs="仿宋"/>
                <w:kern w:val="0"/>
                <w:sz w:val="24"/>
                <w:szCs w:val="24"/>
              </w:rPr>
            </w:pPr>
          </w:p>
        </w:tc>
      </w:tr>
      <w:tr w14:paraId="111C6703">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DF57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D9C0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7D0A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盛城社区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C3FF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盛城社区日间照料服务站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E50C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DB3A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264A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BA000">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5F13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3EDA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0E05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AED5A">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72AE">
            <w:pPr>
              <w:widowControl/>
              <w:spacing w:line="320" w:lineRule="exact"/>
              <w:ind w:firstLine="0" w:firstLineChars="0"/>
              <w:jc w:val="center"/>
              <w:rPr>
                <w:rFonts w:hint="eastAsia" w:ascii="仿宋" w:hAnsi="仿宋" w:eastAsia="仿宋" w:cs="仿宋"/>
                <w:kern w:val="0"/>
                <w:sz w:val="24"/>
                <w:szCs w:val="24"/>
              </w:rPr>
            </w:pPr>
          </w:p>
        </w:tc>
      </w:tr>
      <w:tr w14:paraId="0DC576DD">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8A3D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299C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2D20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雅园社区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0CCE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雅园社区日间照料服务站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1C31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6F96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B351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0AE8A">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4AF4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5647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C77C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D11B8">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DB1A8">
            <w:pPr>
              <w:widowControl/>
              <w:spacing w:line="320" w:lineRule="exact"/>
              <w:ind w:firstLine="0" w:firstLineChars="0"/>
              <w:jc w:val="center"/>
              <w:rPr>
                <w:rFonts w:hint="eastAsia" w:ascii="仿宋" w:hAnsi="仿宋" w:eastAsia="仿宋" w:cs="仿宋"/>
                <w:kern w:val="0"/>
                <w:sz w:val="24"/>
                <w:szCs w:val="24"/>
              </w:rPr>
            </w:pPr>
          </w:p>
        </w:tc>
      </w:tr>
      <w:tr w14:paraId="2AE58697">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DC74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334E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165A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新城林湾社区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5622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新城林湾社区日间照料服务站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34BA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95B0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6A2F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7B6A0">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5F58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A5C33">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FBDB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DB6E6">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6FD8">
            <w:pPr>
              <w:widowControl/>
              <w:spacing w:line="320" w:lineRule="exact"/>
              <w:ind w:firstLine="0" w:firstLineChars="0"/>
              <w:jc w:val="center"/>
              <w:rPr>
                <w:rFonts w:hint="eastAsia" w:ascii="仿宋" w:hAnsi="仿宋" w:eastAsia="仿宋" w:cs="仿宋"/>
                <w:kern w:val="0"/>
                <w:sz w:val="24"/>
                <w:szCs w:val="24"/>
              </w:rPr>
            </w:pPr>
          </w:p>
        </w:tc>
      </w:tr>
      <w:tr w14:paraId="3EDC79EA">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0F8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531C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3EF5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德荣社区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2D2F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德荣社区日间照料服务站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37A0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D893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66DB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C7BD9">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7F04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A83DA">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11FC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D107A">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DE379">
            <w:pPr>
              <w:widowControl/>
              <w:spacing w:line="320" w:lineRule="exact"/>
              <w:ind w:firstLine="0" w:firstLineChars="0"/>
              <w:jc w:val="center"/>
              <w:rPr>
                <w:rFonts w:hint="eastAsia" w:ascii="仿宋" w:hAnsi="仿宋" w:eastAsia="仿宋" w:cs="仿宋"/>
                <w:kern w:val="0"/>
                <w:sz w:val="24"/>
                <w:szCs w:val="24"/>
              </w:rPr>
            </w:pPr>
          </w:p>
        </w:tc>
      </w:tr>
      <w:tr w14:paraId="276989C6">
        <w:tblPrEx>
          <w:tblCellMar>
            <w:top w:w="0" w:type="dxa"/>
            <w:left w:w="108" w:type="dxa"/>
            <w:bottom w:w="0" w:type="dxa"/>
            <w:right w:w="108" w:type="dxa"/>
          </w:tblCellMar>
        </w:tblPrEx>
        <w:trPr>
          <w:trHeight w:val="312" w:hRule="atLeast"/>
        </w:trPr>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DE17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096A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09CD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福兴路社区</w:t>
            </w:r>
          </w:p>
        </w:tc>
        <w:tc>
          <w:tcPr>
            <w:tcW w:w="12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E074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福兴路社区日间照料服务站</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AEDC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200</w:t>
            </w:r>
          </w:p>
        </w:tc>
        <w:tc>
          <w:tcPr>
            <w:tcW w:w="10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0351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社区日间照料服务站</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2B39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06CB6">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77F8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4FA64">
            <w:pPr>
              <w:widowControl/>
              <w:spacing w:line="320" w:lineRule="exact"/>
              <w:ind w:firstLine="0" w:firstLineChars="0"/>
              <w:jc w:val="center"/>
              <w:rPr>
                <w:rFonts w:hint="eastAsia" w:ascii="仿宋" w:hAnsi="仿宋" w:eastAsia="仿宋" w:cs="仿宋"/>
                <w:kern w:val="0"/>
                <w:sz w:val="24"/>
                <w:szCs w:val="24"/>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6DB0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E13A1">
            <w:pPr>
              <w:widowControl/>
              <w:spacing w:line="320" w:lineRule="exact"/>
              <w:ind w:firstLine="0" w:firstLineChars="0"/>
              <w:jc w:val="center"/>
              <w:rPr>
                <w:rFonts w:hint="eastAsia" w:ascii="仿宋" w:hAnsi="仿宋" w:eastAsia="仿宋" w:cs="仿宋"/>
                <w:kern w:val="0"/>
                <w:sz w:val="24"/>
                <w:szCs w:val="24"/>
              </w:rPr>
            </w:pPr>
          </w:p>
        </w:tc>
        <w:tc>
          <w:tcPr>
            <w:tcW w:w="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3F137">
            <w:pPr>
              <w:widowControl/>
              <w:spacing w:line="320" w:lineRule="exact"/>
              <w:ind w:firstLine="0" w:firstLineChars="0"/>
              <w:jc w:val="center"/>
              <w:rPr>
                <w:rFonts w:hint="eastAsia" w:ascii="仿宋" w:hAnsi="仿宋" w:eastAsia="仿宋" w:cs="仿宋"/>
                <w:kern w:val="0"/>
                <w:sz w:val="24"/>
                <w:szCs w:val="24"/>
              </w:rPr>
            </w:pPr>
          </w:p>
        </w:tc>
      </w:tr>
    </w:tbl>
    <w:p w14:paraId="16D72CA6">
      <w:pPr>
        <w:adjustRightInd w:val="0"/>
        <w:snapToGrid w:val="0"/>
        <w:ind w:firstLine="640"/>
        <w:rPr>
          <w:rFonts w:hint="eastAsia"/>
        </w:rPr>
      </w:pPr>
      <w:r>
        <w:rPr>
          <w:rFonts w:hint="eastAsia"/>
        </w:rPr>
        <w:t>【对策建议】</w:t>
      </w:r>
    </w:p>
    <w:p w14:paraId="57D8AD3A">
      <w:pPr>
        <w:adjustRightInd w:val="0"/>
        <w:snapToGrid w:val="0"/>
        <w:ind w:firstLine="640"/>
        <w:rPr>
          <w:rFonts w:hint="eastAsia"/>
        </w:rPr>
      </w:pPr>
      <w:r>
        <w:rPr>
          <w:rFonts w:hint="eastAsia"/>
        </w:rPr>
        <w:t>优化布局与规划。科学规划：根据人口结构、老龄化趋势及社区需求，科学规划养老服务设施的布局，确保每个社区都能享受到便捷的养老服务。均衡发展：对于养老服务设施覆盖度较低的广阳区万庄镇等地区，应制定专项提升计划，逐步缩小与安次区杨税务镇等高覆盖度地区的差距。</w:t>
      </w:r>
    </w:p>
    <w:p w14:paraId="2E7A6A81">
      <w:pPr>
        <w:adjustRightInd w:val="0"/>
        <w:snapToGrid w:val="0"/>
        <w:ind w:firstLine="640"/>
        <w:rPr>
          <w:rFonts w:hint="eastAsia"/>
        </w:rPr>
      </w:pPr>
      <w:r>
        <w:rPr>
          <w:rFonts w:hint="eastAsia"/>
        </w:rPr>
        <w:t>创新服务模式与资源整合。多元化服务：推动养老服务模式创新，如引入智慧养老、居家养老等新型服务模式，满足老年人多样化的养老需求。资源整合：加强与医疗机构、社区卫生服务中心、社会组织的合作，整合各类资源，形成养老服务合力，提升服务效率和质量。</w:t>
      </w:r>
    </w:p>
    <w:p w14:paraId="2954A7F0">
      <w:pPr>
        <w:adjustRightInd w:val="0"/>
        <w:snapToGrid w:val="0"/>
        <w:ind w:firstLine="640"/>
        <w:outlineLvl w:val="4"/>
        <w:rPr>
          <w:rFonts w:hint="eastAsia"/>
        </w:rPr>
      </w:pPr>
      <w:r>
        <w:rPr>
          <w:rFonts w:hint="eastAsia"/>
        </w:rPr>
        <w:t>（2）社区卫生服务设施覆盖度（%）</w:t>
      </w:r>
    </w:p>
    <w:p w14:paraId="2FBB6A32">
      <w:pPr>
        <w:adjustRightInd w:val="0"/>
        <w:snapToGrid w:val="0"/>
        <w:ind w:firstLine="640"/>
        <w:rPr>
          <w:rFonts w:hint="eastAsia"/>
        </w:rPr>
      </w:pPr>
      <w:r>
        <w:rPr>
          <w:rFonts w:hint="eastAsia"/>
        </w:rPr>
        <w:t>【体检内容】</w:t>
      </w:r>
    </w:p>
    <w:p w14:paraId="43E5C8FF">
      <w:pPr>
        <w:adjustRightInd w:val="0"/>
        <w:snapToGrid w:val="0"/>
        <w:ind w:firstLine="640"/>
        <w:rPr>
          <w:rFonts w:hint="eastAsia"/>
        </w:rPr>
      </w:pPr>
      <w:r>
        <w:rPr>
          <w:rFonts w:hint="eastAsia"/>
        </w:rPr>
        <w:t>拥有社区卫生服务设施的社区占全部社区数量的比例。</w:t>
      </w:r>
    </w:p>
    <w:p w14:paraId="615CA764">
      <w:pPr>
        <w:adjustRightInd w:val="0"/>
        <w:snapToGrid w:val="0"/>
        <w:ind w:firstLine="640"/>
        <w:rPr>
          <w:rFonts w:hint="eastAsia"/>
        </w:rPr>
      </w:pPr>
      <w:r>
        <w:rPr>
          <w:rFonts w:hint="eastAsia"/>
        </w:rPr>
        <w:t>【参考标准】</w:t>
      </w:r>
    </w:p>
    <w:p w14:paraId="3A8E8F7B">
      <w:pPr>
        <w:adjustRightInd w:val="0"/>
        <w:snapToGrid w:val="0"/>
        <w:ind w:firstLine="640"/>
        <w:rPr>
          <w:rFonts w:hint="eastAsia"/>
        </w:rPr>
      </w:pPr>
      <w:r>
        <w:rPr>
          <w:rFonts w:hint="eastAsia"/>
        </w:rPr>
        <w:t>100%。</w:t>
      </w:r>
    </w:p>
    <w:p w14:paraId="0A232798">
      <w:pPr>
        <w:adjustRightInd w:val="0"/>
        <w:snapToGrid w:val="0"/>
        <w:ind w:firstLine="640"/>
        <w:rPr>
          <w:rFonts w:hint="eastAsia"/>
        </w:rPr>
      </w:pPr>
      <w:r>
        <w:rPr>
          <w:rFonts w:hint="eastAsia"/>
        </w:rPr>
        <w:t>【分析诊断】</w:t>
      </w:r>
    </w:p>
    <w:p w14:paraId="01B2B7C2">
      <w:pPr>
        <w:adjustRightInd w:val="0"/>
        <w:snapToGrid w:val="0"/>
        <w:ind w:firstLine="640"/>
        <w:rPr>
          <w:rFonts w:hint="eastAsia"/>
        </w:rPr>
      </w:pPr>
      <w:r>
        <w:rPr>
          <w:rFonts w:hint="eastAsia"/>
        </w:rPr>
        <w:t>指标数值：57.14%，该指标评价结论为一般。</w:t>
      </w:r>
    </w:p>
    <w:p w14:paraId="4040302B">
      <w:pPr>
        <w:adjustRightInd w:val="0"/>
        <w:snapToGrid w:val="0"/>
        <w:ind w:firstLine="640"/>
        <w:rPr>
          <w:rFonts w:hint="eastAsia"/>
        </w:rPr>
      </w:pPr>
      <w:r>
        <w:rPr>
          <w:rFonts w:hint="eastAsia"/>
        </w:rPr>
        <w:t>未来发展片区体检社区共14个，</w:t>
      </w:r>
      <w:r>
        <w:t>目前</w:t>
      </w:r>
      <w:r>
        <w:rPr>
          <w:rFonts w:hint="eastAsia"/>
        </w:rPr>
        <w:t>有3</w:t>
      </w:r>
      <w:r>
        <w:t>个</w:t>
      </w:r>
      <w:r>
        <w:rPr>
          <w:rFonts w:hint="eastAsia"/>
        </w:rPr>
        <w:t>社区达标配建了养老服务</w:t>
      </w:r>
      <w:r>
        <w:t>设施，</w:t>
      </w:r>
      <w:r>
        <w:rPr>
          <w:rFonts w:hint="eastAsia"/>
        </w:rPr>
        <w:t>覆盖所有</w:t>
      </w:r>
      <w:r>
        <w:t>社区总数的</w:t>
      </w:r>
      <w:r>
        <w:rPr>
          <w:rFonts w:hint="eastAsia"/>
        </w:rPr>
        <w:t>21.4</w:t>
      </w:r>
      <w:r>
        <w:t>%</w:t>
      </w:r>
      <w:r>
        <w:rPr>
          <w:rFonts w:hint="eastAsia"/>
        </w:rPr>
        <w:t>。</w:t>
      </w:r>
    </w:p>
    <w:p w14:paraId="7984BF48">
      <w:pPr>
        <w:adjustRightInd w:val="0"/>
        <w:snapToGrid w:val="0"/>
        <w:ind w:firstLine="640"/>
        <w:rPr>
          <w:rFonts w:hint="eastAsia"/>
        </w:rPr>
      </w:pPr>
      <w:r>
        <w:rPr>
          <w:rFonts w:hint="eastAsia"/>
        </w:rPr>
        <w:t>安次区杨税务镇共体检3个社区，养老服务设施覆盖度为0%。</w:t>
      </w:r>
    </w:p>
    <w:p w14:paraId="74AB1FF2">
      <w:pPr>
        <w:adjustRightInd w:val="0"/>
        <w:snapToGrid w:val="0"/>
        <w:ind w:firstLine="640"/>
        <w:rPr>
          <w:rFonts w:hint="eastAsia"/>
        </w:rPr>
      </w:pPr>
      <w:r>
        <w:rPr>
          <w:rFonts w:hint="eastAsia"/>
        </w:rPr>
        <w:t>广阳区万庄镇共体检11个社区，3个社区拥有养老服务设施，养老服务设施覆盖度27.3%。</w:t>
      </w:r>
    </w:p>
    <w:p w14:paraId="63F56B3E">
      <w:pPr>
        <w:adjustRightInd w:val="0"/>
        <w:snapToGrid w:val="0"/>
        <w:ind w:firstLine="0" w:firstLineChars="0"/>
        <w:jc w:val="center"/>
        <w:rPr>
          <w:rFonts w:hint="eastAsia" w:ascii="黑体" w:hAnsi="黑体" w:eastAsia="黑体" w:cs="黑体"/>
          <w:sz w:val="24"/>
          <w:szCs w:val="24"/>
        </w:rPr>
      </w:pPr>
      <w:r>
        <w:rPr>
          <w:rFonts w:hint="eastAsia" w:ascii="黑体" w:hAnsi="黑体" w:eastAsia="黑体" w:cs="黑体"/>
          <w:sz w:val="24"/>
          <w:szCs w:val="24"/>
        </w:rPr>
        <w:t>未来发展片区社区卫生服务设施一览表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2"/>
        <w:gridCol w:w="744"/>
        <w:gridCol w:w="744"/>
        <w:gridCol w:w="1536"/>
        <w:gridCol w:w="1140"/>
        <w:gridCol w:w="1272"/>
        <w:gridCol w:w="2462"/>
      </w:tblGrid>
      <w:tr w14:paraId="74FB8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0" w:type="auto"/>
            <w:shd w:val="clear" w:color="auto" w:fill="auto"/>
            <w:noWrap/>
            <w:vAlign w:val="center"/>
          </w:tcPr>
          <w:p w14:paraId="59200BC1">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区域</w:t>
            </w:r>
          </w:p>
        </w:tc>
        <w:tc>
          <w:tcPr>
            <w:tcW w:w="0" w:type="auto"/>
            <w:shd w:val="clear" w:color="auto" w:fill="auto"/>
            <w:noWrap/>
            <w:vAlign w:val="center"/>
          </w:tcPr>
          <w:p w14:paraId="3D6FC9F9">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所在街道</w:t>
            </w:r>
          </w:p>
        </w:tc>
        <w:tc>
          <w:tcPr>
            <w:tcW w:w="0" w:type="auto"/>
            <w:shd w:val="clear" w:color="auto" w:fill="auto"/>
            <w:noWrap/>
            <w:vAlign w:val="center"/>
          </w:tcPr>
          <w:p w14:paraId="04A42DA7">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所在社区</w:t>
            </w:r>
          </w:p>
        </w:tc>
        <w:tc>
          <w:tcPr>
            <w:tcW w:w="0" w:type="auto"/>
            <w:shd w:val="clear" w:color="auto" w:fill="auto"/>
            <w:noWrap/>
            <w:vAlign w:val="center"/>
          </w:tcPr>
          <w:p w14:paraId="29780B21">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机构名称</w:t>
            </w:r>
          </w:p>
        </w:tc>
        <w:tc>
          <w:tcPr>
            <w:tcW w:w="0" w:type="auto"/>
            <w:shd w:val="clear" w:color="auto" w:fill="auto"/>
            <w:noWrap/>
            <w:vAlign w:val="center"/>
          </w:tcPr>
          <w:p w14:paraId="7D4FB1F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机构类型</w:t>
            </w:r>
          </w:p>
        </w:tc>
        <w:tc>
          <w:tcPr>
            <w:tcW w:w="0" w:type="auto"/>
            <w:shd w:val="clear" w:color="auto" w:fill="auto"/>
            <w:noWrap/>
            <w:vAlign w:val="center"/>
          </w:tcPr>
          <w:p w14:paraId="756AA39F">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机构性质</w:t>
            </w:r>
          </w:p>
        </w:tc>
        <w:tc>
          <w:tcPr>
            <w:tcW w:w="0" w:type="auto"/>
            <w:shd w:val="clear" w:color="auto" w:fill="auto"/>
            <w:noWrap/>
            <w:vAlign w:val="center"/>
          </w:tcPr>
          <w:p w14:paraId="1713FDC8">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具体位置</w:t>
            </w:r>
          </w:p>
        </w:tc>
      </w:tr>
      <w:tr w14:paraId="40B00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shd w:val="clear" w:color="auto" w:fill="auto"/>
            <w:noWrap/>
            <w:vAlign w:val="center"/>
          </w:tcPr>
          <w:p w14:paraId="718C96E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0" w:type="auto"/>
            <w:shd w:val="clear" w:color="auto" w:fill="auto"/>
            <w:noWrap/>
            <w:vAlign w:val="center"/>
          </w:tcPr>
          <w:p w14:paraId="3986B0C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0" w:type="auto"/>
            <w:shd w:val="clear" w:color="auto" w:fill="auto"/>
            <w:noWrap/>
            <w:vAlign w:val="center"/>
          </w:tcPr>
          <w:p w14:paraId="7F38A26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万福社区</w:t>
            </w:r>
          </w:p>
        </w:tc>
        <w:tc>
          <w:tcPr>
            <w:tcW w:w="0" w:type="auto"/>
            <w:shd w:val="clear" w:color="auto" w:fill="auto"/>
            <w:noWrap/>
            <w:vAlign w:val="center"/>
          </w:tcPr>
          <w:p w14:paraId="3ABC0B2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万兴社区卫生服务中心</w:t>
            </w:r>
          </w:p>
        </w:tc>
        <w:tc>
          <w:tcPr>
            <w:tcW w:w="0" w:type="auto"/>
            <w:shd w:val="clear" w:color="auto" w:fill="auto"/>
            <w:vAlign w:val="center"/>
          </w:tcPr>
          <w:p w14:paraId="5B04FC8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社区卫生服务中心</w:t>
            </w:r>
          </w:p>
        </w:tc>
        <w:tc>
          <w:tcPr>
            <w:tcW w:w="0" w:type="auto"/>
            <w:shd w:val="clear" w:color="auto" w:fill="auto"/>
            <w:vAlign w:val="center"/>
          </w:tcPr>
          <w:p w14:paraId="6958E90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非营利性非政府办</w:t>
            </w:r>
          </w:p>
        </w:tc>
        <w:tc>
          <w:tcPr>
            <w:tcW w:w="0" w:type="auto"/>
            <w:shd w:val="clear" w:color="auto" w:fill="auto"/>
            <w:vAlign w:val="center"/>
          </w:tcPr>
          <w:p w14:paraId="12F0F33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广阳区万庄镇先锋小区北门底商1/2/3号房</w:t>
            </w:r>
          </w:p>
        </w:tc>
      </w:tr>
      <w:tr w14:paraId="43AC7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shd w:val="clear" w:color="auto" w:fill="auto"/>
            <w:noWrap/>
            <w:vAlign w:val="center"/>
          </w:tcPr>
          <w:p w14:paraId="3CF0A34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0" w:type="auto"/>
            <w:shd w:val="clear" w:color="auto" w:fill="auto"/>
            <w:noWrap/>
            <w:vAlign w:val="center"/>
          </w:tcPr>
          <w:p w14:paraId="76B4BD8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0" w:type="auto"/>
            <w:shd w:val="clear" w:color="auto" w:fill="auto"/>
            <w:noWrap/>
            <w:vAlign w:val="center"/>
          </w:tcPr>
          <w:p w14:paraId="0ED88D2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采四社区</w:t>
            </w:r>
          </w:p>
        </w:tc>
        <w:tc>
          <w:tcPr>
            <w:tcW w:w="0" w:type="auto"/>
            <w:shd w:val="clear" w:color="auto" w:fill="auto"/>
            <w:noWrap/>
            <w:vAlign w:val="center"/>
          </w:tcPr>
          <w:p w14:paraId="24AB332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采四社区卫生服务中心</w:t>
            </w:r>
          </w:p>
        </w:tc>
        <w:tc>
          <w:tcPr>
            <w:tcW w:w="0" w:type="auto"/>
            <w:shd w:val="clear" w:color="auto" w:fill="auto"/>
            <w:vAlign w:val="center"/>
          </w:tcPr>
          <w:p w14:paraId="56D57AC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社区卫生服务中心</w:t>
            </w:r>
          </w:p>
        </w:tc>
        <w:tc>
          <w:tcPr>
            <w:tcW w:w="0" w:type="auto"/>
            <w:shd w:val="clear" w:color="auto" w:fill="auto"/>
            <w:vAlign w:val="center"/>
          </w:tcPr>
          <w:p w14:paraId="56D37BC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非营利性非政府办</w:t>
            </w:r>
          </w:p>
        </w:tc>
        <w:tc>
          <w:tcPr>
            <w:tcW w:w="0" w:type="auto"/>
            <w:shd w:val="clear" w:color="auto" w:fill="auto"/>
            <w:vAlign w:val="center"/>
          </w:tcPr>
          <w:p w14:paraId="0A3F910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广阳区万庄石油矿区采四小区院内</w:t>
            </w:r>
          </w:p>
        </w:tc>
      </w:tr>
      <w:tr w14:paraId="74FFD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shd w:val="clear" w:color="auto" w:fill="auto"/>
            <w:noWrap/>
            <w:vAlign w:val="center"/>
          </w:tcPr>
          <w:p w14:paraId="4A30A17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0" w:type="auto"/>
            <w:shd w:val="clear" w:color="auto" w:fill="auto"/>
            <w:noWrap/>
            <w:vAlign w:val="center"/>
          </w:tcPr>
          <w:p w14:paraId="46AEA06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0" w:type="auto"/>
            <w:shd w:val="clear" w:color="auto" w:fill="auto"/>
            <w:noWrap/>
            <w:vAlign w:val="center"/>
          </w:tcPr>
          <w:p w14:paraId="344C714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万康社区</w:t>
            </w:r>
          </w:p>
        </w:tc>
        <w:tc>
          <w:tcPr>
            <w:tcW w:w="0" w:type="auto"/>
            <w:shd w:val="clear" w:color="auto" w:fill="auto"/>
            <w:noWrap/>
            <w:vAlign w:val="center"/>
          </w:tcPr>
          <w:p w14:paraId="73A26CC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万康社区卫生服务站</w:t>
            </w:r>
          </w:p>
        </w:tc>
        <w:tc>
          <w:tcPr>
            <w:tcW w:w="0" w:type="auto"/>
            <w:shd w:val="clear" w:color="auto" w:fill="auto"/>
            <w:noWrap/>
            <w:vAlign w:val="center"/>
          </w:tcPr>
          <w:p w14:paraId="39352DF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社区卫生服务站</w:t>
            </w:r>
          </w:p>
        </w:tc>
        <w:tc>
          <w:tcPr>
            <w:tcW w:w="0" w:type="auto"/>
            <w:shd w:val="clear" w:color="auto" w:fill="auto"/>
            <w:noWrap/>
            <w:vAlign w:val="center"/>
          </w:tcPr>
          <w:p w14:paraId="48325F9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非营利性非政府办</w:t>
            </w:r>
          </w:p>
        </w:tc>
        <w:tc>
          <w:tcPr>
            <w:tcW w:w="0" w:type="auto"/>
            <w:shd w:val="clear" w:color="auto" w:fill="auto"/>
            <w:noWrap/>
            <w:vAlign w:val="center"/>
          </w:tcPr>
          <w:p w14:paraId="4F89D01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广阳区万庄镇石油矿区文化路LF258号</w:t>
            </w:r>
          </w:p>
        </w:tc>
      </w:tr>
    </w:tbl>
    <w:p w14:paraId="15C54038">
      <w:pPr>
        <w:adjustRightInd w:val="0"/>
        <w:snapToGrid w:val="0"/>
        <w:ind w:firstLine="640"/>
        <w:rPr>
          <w:rFonts w:hint="eastAsia"/>
        </w:rPr>
      </w:pPr>
      <w:r>
        <w:rPr>
          <w:rFonts w:hint="eastAsia"/>
        </w:rPr>
        <w:t>【对策建议】</w:t>
      </w:r>
    </w:p>
    <w:p w14:paraId="4B3D7497">
      <w:pPr>
        <w:adjustRightInd w:val="0"/>
        <w:snapToGrid w:val="0"/>
        <w:ind w:firstLine="640"/>
        <w:rPr>
          <w:rFonts w:hint="eastAsia"/>
        </w:rPr>
      </w:pPr>
      <w:r>
        <w:rPr>
          <w:rFonts w:hint="eastAsia"/>
        </w:rPr>
        <w:t>优化规划布局：在城市规划与社区建设中，将养老服务设施作为重要内容纳入规划，确保每个社区或一定区域内都有配套的养老服务设施。针对不同社区的特点和需求，合理规划养老服务设施的类型、规模和分布，避免资源浪费和重复建设。</w:t>
      </w:r>
    </w:p>
    <w:p w14:paraId="0FAEB34E">
      <w:pPr>
        <w:adjustRightInd w:val="0"/>
        <w:snapToGrid w:val="0"/>
        <w:ind w:firstLine="640"/>
        <w:rPr>
          <w:rFonts w:hint="eastAsia"/>
        </w:rPr>
      </w:pPr>
      <w:r>
        <w:rPr>
          <w:rFonts w:hint="eastAsia"/>
        </w:rPr>
        <w:t>推动多元化服务模式：鼓励和支持社会力量兴办养老服务机构，引入市场机制，推动养老服务模式的多元化发展。发展居家养老、社区养老、机构养老等多种养老服务模式，满足不同老年人的养老需求。</w:t>
      </w:r>
    </w:p>
    <w:p w14:paraId="3C2160C6">
      <w:pPr>
        <w:adjustRightInd w:val="0"/>
        <w:snapToGrid w:val="0"/>
        <w:ind w:firstLine="640"/>
        <w:rPr>
          <w:rFonts w:hint="eastAsia"/>
        </w:rPr>
      </w:pPr>
      <w:r>
        <w:rPr>
          <w:rFonts w:hint="eastAsia"/>
        </w:rPr>
        <w:t>针对特定区域制定专项方案：对于养老服务设施覆盖度低的区域，如安次区杨税务镇，应制定专项建设方案，明确建设目标、时间表和路线图，确保在较短时间内显著提升覆盖度。同时，加强与周边地区的合作与交流，借鉴成功经验，推动区域养老服务设施建设的协同发展。</w:t>
      </w:r>
    </w:p>
    <w:p w14:paraId="678A5090">
      <w:pPr>
        <w:adjustRightInd w:val="0"/>
        <w:snapToGrid w:val="0"/>
        <w:ind w:firstLine="640"/>
        <w:outlineLvl w:val="4"/>
        <w:rPr>
          <w:rFonts w:hint="eastAsia"/>
        </w:rPr>
      </w:pPr>
      <w:r>
        <w:rPr>
          <w:rFonts w:hint="eastAsia"/>
        </w:rPr>
        <w:t>（3）小学服务半径覆盖率（%）</w:t>
      </w:r>
    </w:p>
    <w:p w14:paraId="40418CD6">
      <w:pPr>
        <w:adjustRightInd w:val="0"/>
        <w:snapToGrid w:val="0"/>
        <w:ind w:firstLine="640"/>
        <w:rPr>
          <w:rFonts w:hint="eastAsia"/>
        </w:rPr>
      </w:pPr>
      <w:r>
        <w:rPr>
          <w:rFonts w:hint="eastAsia"/>
        </w:rPr>
        <w:t>【体检内容】</w:t>
      </w:r>
    </w:p>
    <w:p w14:paraId="2DC4D67E">
      <w:pPr>
        <w:adjustRightInd w:val="0"/>
        <w:snapToGrid w:val="0"/>
        <w:ind w:firstLine="640"/>
        <w:rPr>
          <w:rFonts w:hint="eastAsia"/>
        </w:rPr>
      </w:pPr>
      <w:r>
        <w:rPr>
          <w:rFonts w:hint="eastAsia"/>
        </w:rPr>
        <w:t>调查分析小学500米服务半径覆盖的居住用地面积，占所在社区总居住用地面积的百分比，查找小学学位供给与所在社区的适龄儿童就近入学需求方面的差距和不足。</w:t>
      </w:r>
    </w:p>
    <w:p w14:paraId="73657710">
      <w:pPr>
        <w:adjustRightInd w:val="0"/>
        <w:snapToGrid w:val="0"/>
        <w:ind w:firstLine="640"/>
        <w:rPr>
          <w:rFonts w:hint="eastAsia"/>
        </w:rPr>
      </w:pPr>
      <w:r>
        <w:rPr>
          <w:rFonts w:hint="eastAsia"/>
        </w:rPr>
        <w:t>【分析诊断】</w:t>
      </w:r>
    </w:p>
    <w:p w14:paraId="1695921B">
      <w:pPr>
        <w:adjustRightInd w:val="0"/>
        <w:snapToGrid w:val="0"/>
        <w:ind w:firstLine="640"/>
        <w:rPr>
          <w:rFonts w:hint="eastAsia"/>
        </w:rPr>
      </w:pPr>
      <w:r>
        <w:rPr>
          <w:rFonts w:hint="eastAsia"/>
        </w:rPr>
        <w:t>指标数值：18.1%，该指标评价结论为不足。</w:t>
      </w:r>
    </w:p>
    <w:p w14:paraId="0312E1DD">
      <w:pPr>
        <w:adjustRightInd w:val="0"/>
        <w:snapToGrid w:val="0"/>
        <w:ind w:firstLine="640"/>
        <w:rPr>
          <w:rFonts w:hint="eastAsia"/>
        </w:rPr>
      </w:pPr>
      <w:r>
        <w:rPr>
          <w:rFonts w:hint="eastAsia"/>
        </w:rPr>
        <w:t>未来发展片区范围内共七所小学。未来发展片区小学500米服务半径覆盖的居住用地面积0.48平方千米，未来发展片区内总城镇住宅用地面积共2.65平方千米，小学服务半径覆盖率18.1%。</w:t>
      </w:r>
    </w:p>
    <w:p w14:paraId="066F9CC7">
      <w:pPr>
        <w:adjustRightInd w:val="0"/>
        <w:snapToGrid w:val="0"/>
        <w:ind w:firstLine="0" w:firstLineChars="0"/>
        <w:jc w:val="center"/>
        <w:rPr>
          <w:rFonts w:hint="eastAsia"/>
        </w:rPr>
      </w:pPr>
      <w:r>
        <w:rPr>
          <w:rFonts w:hint="eastAsia" w:ascii="黑体" w:hAnsi="黑体" w:eastAsia="黑体" w:cs="黑体"/>
          <w:sz w:val="24"/>
          <w:szCs w:val="24"/>
        </w:rPr>
        <w:t>未来发展片区边界范围内小学相关情况一览表</w:t>
      </w:r>
    </w:p>
    <w:tbl>
      <w:tblPr>
        <w:tblStyle w:val="29"/>
        <w:tblW w:w="0" w:type="auto"/>
        <w:tblInd w:w="0" w:type="dxa"/>
        <w:tblLayout w:type="fixed"/>
        <w:tblCellMar>
          <w:top w:w="0" w:type="dxa"/>
          <w:left w:w="108" w:type="dxa"/>
          <w:bottom w:w="0" w:type="dxa"/>
          <w:right w:w="108" w:type="dxa"/>
        </w:tblCellMar>
      </w:tblPr>
      <w:tblGrid>
        <w:gridCol w:w="943"/>
        <w:gridCol w:w="493"/>
        <w:gridCol w:w="756"/>
        <w:gridCol w:w="700"/>
        <w:gridCol w:w="1020"/>
        <w:gridCol w:w="1037"/>
        <w:gridCol w:w="1106"/>
        <w:gridCol w:w="1142"/>
        <w:gridCol w:w="1262"/>
      </w:tblGrid>
      <w:tr w14:paraId="2DD2F49D">
        <w:tblPrEx>
          <w:tblCellMar>
            <w:top w:w="0" w:type="dxa"/>
            <w:left w:w="108" w:type="dxa"/>
            <w:bottom w:w="0" w:type="dxa"/>
            <w:right w:w="108" w:type="dxa"/>
          </w:tblCellMar>
        </w:tblPrEx>
        <w:trPr>
          <w:trHeight w:val="448" w:hRule="atLeast"/>
          <w:tblHeader/>
        </w:trPr>
        <w:tc>
          <w:tcPr>
            <w:tcW w:w="94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DE2856">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学校名称</w:t>
            </w:r>
          </w:p>
        </w:tc>
        <w:tc>
          <w:tcPr>
            <w:tcW w:w="49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BE0B87">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类型</w:t>
            </w:r>
          </w:p>
        </w:tc>
        <w:tc>
          <w:tcPr>
            <w:tcW w:w="75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CD0FA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所在区</w:t>
            </w:r>
          </w:p>
        </w:tc>
        <w:tc>
          <w:tcPr>
            <w:tcW w:w="7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DDE91C">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所在镇</w:t>
            </w: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44AB8A">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所在街道</w:t>
            </w:r>
          </w:p>
        </w:tc>
        <w:tc>
          <w:tcPr>
            <w:tcW w:w="103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75BB3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在校生数（人）</w:t>
            </w:r>
          </w:p>
        </w:tc>
        <w:tc>
          <w:tcPr>
            <w:tcW w:w="110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B8D36">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教职工数（人）</w:t>
            </w:r>
          </w:p>
        </w:tc>
        <w:tc>
          <w:tcPr>
            <w:tcW w:w="11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529DB">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占地面积（平方米）</w:t>
            </w:r>
          </w:p>
        </w:tc>
        <w:tc>
          <w:tcPr>
            <w:tcW w:w="126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A39D35">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建筑面积（平方米）</w:t>
            </w:r>
          </w:p>
        </w:tc>
      </w:tr>
      <w:tr w14:paraId="0968A226">
        <w:tblPrEx>
          <w:tblCellMar>
            <w:top w:w="0" w:type="dxa"/>
            <w:left w:w="108" w:type="dxa"/>
            <w:bottom w:w="0" w:type="dxa"/>
            <w:right w:w="108" w:type="dxa"/>
          </w:tblCellMar>
        </w:tblPrEx>
        <w:trPr>
          <w:trHeight w:val="285"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F64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廊坊市安次区长城学校</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A504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民办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6181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63C6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95CB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东风村村民委员会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5E17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575</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88DE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277</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84C0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60030</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A81F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49431.7</w:t>
            </w:r>
          </w:p>
        </w:tc>
      </w:tr>
      <w:tr w14:paraId="5AFD0EB7">
        <w:tblPrEx>
          <w:tblCellMar>
            <w:top w:w="0" w:type="dxa"/>
            <w:left w:w="108" w:type="dxa"/>
            <w:bottom w:w="0" w:type="dxa"/>
            <w:right w:w="108" w:type="dxa"/>
          </w:tblCellMar>
        </w:tblPrEx>
        <w:trPr>
          <w:trHeight w:val="285"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12EE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廊坊市广阳区万庄镇中心小学</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FFB2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公办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2CE5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31B9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6B2A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南街村村民委员会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12E2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612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4547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39</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8A82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13367</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7BAF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3229</w:t>
            </w:r>
          </w:p>
        </w:tc>
      </w:tr>
      <w:tr w14:paraId="6F315FAB">
        <w:tblPrEx>
          <w:tblCellMar>
            <w:top w:w="0" w:type="dxa"/>
            <w:left w:w="108" w:type="dxa"/>
            <w:bottom w:w="0" w:type="dxa"/>
            <w:right w:w="108" w:type="dxa"/>
          </w:tblCellMar>
        </w:tblPrEx>
        <w:trPr>
          <w:trHeight w:val="285"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A730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廊坊市广阳区万庄镇墨其营小学</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B804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公办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4E82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A06A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D948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墨其营村村民委员会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7B57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268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884F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17</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10A0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3804</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AD81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1090</w:t>
            </w:r>
          </w:p>
        </w:tc>
      </w:tr>
      <w:tr w14:paraId="772D596F">
        <w:tblPrEx>
          <w:tblCellMar>
            <w:top w:w="0" w:type="dxa"/>
            <w:left w:w="108" w:type="dxa"/>
            <w:bottom w:w="0" w:type="dxa"/>
            <w:right w:w="108" w:type="dxa"/>
          </w:tblCellMar>
        </w:tblPrEx>
        <w:trPr>
          <w:trHeight w:val="450"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0177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廊坊市广阳区华油荣德小学</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1E44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民办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EAD9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7409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6CC6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采油四厂社区居民委员会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C97E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677</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C8F4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95</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245A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30436</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045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10904</w:t>
            </w:r>
          </w:p>
        </w:tc>
      </w:tr>
      <w:tr w14:paraId="0B649BA6">
        <w:tblPrEx>
          <w:tblCellMar>
            <w:top w:w="0" w:type="dxa"/>
            <w:left w:w="108" w:type="dxa"/>
            <w:bottom w:w="0" w:type="dxa"/>
            <w:right w:w="108" w:type="dxa"/>
          </w:tblCellMar>
        </w:tblPrEx>
        <w:trPr>
          <w:trHeight w:val="450"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CF88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廊坊经济技术开发区第四小学</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6260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公办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DF17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49BE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云鹏道街道</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CA4B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麻营村委会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7A6C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209</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5A66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16</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EEC7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11352</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303C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7336</w:t>
            </w:r>
          </w:p>
        </w:tc>
      </w:tr>
      <w:tr w14:paraId="2C4D36EA">
        <w:tblPrEx>
          <w:tblCellMar>
            <w:top w:w="0" w:type="dxa"/>
            <w:left w:w="108" w:type="dxa"/>
            <w:bottom w:w="0" w:type="dxa"/>
            <w:right w:w="108" w:type="dxa"/>
          </w:tblCellMar>
        </w:tblPrEx>
        <w:trPr>
          <w:trHeight w:val="450"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3E52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廊坊经济技术开发区第十二小学</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BE03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公办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4806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EEFF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云鹏道街道</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9D7C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小马坊村委会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8253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542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9929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26</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873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33220.71</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62DF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7736</w:t>
            </w:r>
          </w:p>
        </w:tc>
      </w:tr>
      <w:tr w14:paraId="12D5F9C4">
        <w:tblPrEx>
          <w:tblCellMar>
            <w:top w:w="0" w:type="dxa"/>
            <w:left w:w="108" w:type="dxa"/>
            <w:bottom w:w="0" w:type="dxa"/>
            <w:right w:w="108" w:type="dxa"/>
          </w:tblCellMar>
        </w:tblPrEx>
        <w:trPr>
          <w:trHeight w:val="450" w:hRule="atLeast"/>
        </w:trPr>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089F9">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廊坊市育人学校</w:t>
            </w:r>
          </w:p>
        </w:tc>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9DC9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民办</w:t>
            </w:r>
          </w:p>
        </w:tc>
        <w:tc>
          <w:tcPr>
            <w:tcW w:w="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689D">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D22E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耀华道街道</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FF56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西柏村委会</w:t>
            </w:r>
          </w:p>
        </w:tc>
        <w:tc>
          <w:tcPr>
            <w:tcW w:w="10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5ED7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494</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4F7C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271</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1800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41899.73</w:t>
            </w:r>
          </w:p>
        </w:tc>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63D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28300.1</w:t>
            </w:r>
          </w:p>
        </w:tc>
      </w:tr>
    </w:tbl>
    <w:p w14:paraId="35DB9DEF">
      <w:pPr>
        <w:adjustRightInd w:val="0"/>
        <w:snapToGrid w:val="0"/>
        <w:spacing w:line="240" w:lineRule="auto"/>
        <w:ind w:firstLine="0" w:firstLineChars="0"/>
        <w:rPr>
          <w:rFonts w:hint="eastAsia"/>
        </w:rPr>
      </w:pPr>
      <w:r>
        <w:rPr>
          <w:rFonts w:hint="eastAsia"/>
        </w:rPr>
        <w:drawing>
          <wp:inline distT="0" distB="0" distL="114300" distR="114300">
            <wp:extent cx="5259705" cy="3721735"/>
            <wp:effectExtent l="0" t="0" r="17145" b="12065"/>
            <wp:docPr id="75" name="图片 75" descr="未来-小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未来-小学1"/>
                    <pic:cNvPicPr>
                      <a:picLocks noChangeAspect="1"/>
                    </pic:cNvPicPr>
                  </pic:nvPicPr>
                  <pic:blipFill>
                    <a:blip r:embed="rId24"/>
                    <a:stretch>
                      <a:fillRect/>
                    </a:stretch>
                  </pic:blipFill>
                  <pic:spPr>
                    <a:xfrm>
                      <a:off x="0" y="0"/>
                      <a:ext cx="5259705" cy="3721735"/>
                    </a:xfrm>
                    <a:prstGeom prst="rect">
                      <a:avLst/>
                    </a:prstGeom>
                  </pic:spPr>
                </pic:pic>
              </a:graphicData>
            </a:graphic>
          </wp:inline>
        </w:drawing>
      </w:r>
    </w:p>
    <w:p w14:paraId="4546A979">
      <w:pPr>
        <w:adjustRightInd w:val="0"/>
        <w:snapToGrid w:val="0"/>
        <w:ind w:firstLine="0" w:firstLineChars="0"/>
        <w:jc w:val="center"/>
        <w:rPr>
          <w:rFonts w:hint="eastAsia"/>
        </w:rPr>
      </w:pPr>
      <w:r>
        <w:rPr>
          <w:rFonts w:hint="eastAsia" w:ascii="黑体" w:hAnsi="黑体" w:eastAsia="黑体" w:cs="黑体"/>
          <w:sz w:val="24"/>
          <w:szCs w:val="24"/>
        </w:rPr>
        <w:t>未来发展片区小学500米服务半径范围图</w:t>
      </w:r>
    </w:p>
    <w:p w14:paraId="42E06405">
      <w:pPr>
        <w:adjustRightInd w:val="0"/>
        <w:snapToGrid w:val="0"/>
        <w:ind w:firstLine="640"/>
        <w:rPr>
          <w:rFonts w:hint="eastAsia"/>
        </w:rPr>
      </w:pPr>
      <w:r>
        <w:rPr>
          <w:rFonts w:hint="eastAsia"/>
        </w:rPr>
        <w:t>【对策建议】</w:t>
      </w:r>
    </w:p>
    <w:p w14:paraId="3569DE39">
      <w:pPr>
        <w:adjustRightInd w:val="0"/>
        <w:snapToGrid w:val="0"/>
        <w:ind w:firstLine="640"/>
        <w:rPr>
          <w:rFonts w:hint="eastAsia"/>
        </w:rPr>
      </w:pPr>
      <w:r>
        <w:rPr>
          <w:rFonts w:hint="eastAsia"/>
        </w:rPr>
        <w:t>优化学校布局：应对现有及规划中的小学布局进行重新评估与优化。根据人口分布预测及学龄儿童增长趋势，合理调整或增设小学位置，确保在更大范围内实现500米服务半径的有效覆盖。特别是针对服务盲区，应优先考虑增设学校或扩建现有学校规模。</w:t>
      </w:r>
    </w:p>
    <w:p w14:paraId="397EF258">
      <w:pPr>
        <w:adjustRightInd w:val="0"/>
        <w:snapToGrid w:val="0"/>
        <w:ind w:firstLine="640"/>
        <w:rPr>
          <w:rFonts w:hint="eastAsia"/>
        </w:rPr>
      </w:pPr>
      <w:r>
        <w:rPr>
          <w:rFonts w:hint="eastAsia"/>
        </w:rPr>
        <w:t>提升服务半径灵活性：在条件受限无法直接增设学校的情况下，可通过资源共享、师资轮转等方式，扩大学校的有效服务范围。同时，利用现代信息技术手段，如远程教育、在线课程等，作为传统教育模式的补充，提升服务效率与质量。</w:t>
      </w:r>
    </w:p>
    <w:p w14:paraId="5623F84D">
      <w:pPr>
        <w:adjustRightInd w:val="0"/>
        <w:snapToGrid w:val="0"/>
        <w:ind w:firstLine="640"/>
        <w:rPr>
          <w:rFonts w:hint="eastAsia"/>
        </w:rPr>
      </w:pPr>
      <w:r>
        <w:rPr>
          <w:rFonts w:hint="eastAsia"/>
        </w:rPr>
        <w:t>加强规划协同：加强与城市规划部门的沟通协调，确保在城镇住宅用地开发中，充分考虑教育设施的配套建设。在规划审批阶段，就应将小学等基础教育设施纳入强制性规划内容，确保其与住宅建设同步规划、同步建设、同步投入使用。</w:t>
      </w:r>
    </w:p>
    <w:p w14:paraId="3CF9961D">
      <w:pPr>
        <w:adjustRightInd w:val="0"/>
        <w:snapToGrid w:val="0"/>
        <w:ind w:firstLine="640"/>
        <w:outlineLvl w:val="4"/>
        <w:rPr>
          <w:rFonts w:hint="eastAsia"/>
        </w:rPr>
      </w:pPr>
      <w:r>
        <w:rPr>
          <w:rFonts w:hint="eastAsia"/>
        </w:rPr>
        <w:t>（4）中学服务半径覆盖率（%）</w:t>
      </w:r>
    </w:p>
    <w:p w14:paraId="4E009ED7">
      <w:pPr>
        <w:adjustRightInd w:val="0"/>
        <w:snapToGrid w:val="0"/>
        <w:ind w:firstLine="640"/>
        <w:rPr>
          <w:rFonts w:hint="eastAsia"/>
        </w:rPr>
      </w:pPr>
      <w:r>
        <w:rPr>
          <w:rFonts w:hint="eastAsia"/>
        </w:rPr>
        <w:t>【体检内容】</w:t>
      </w:r>
    </w:p>
    <w:p w14:paraId="08DA82D0">
      <w:pPr>
        <w:adjustRightInd w:val="0"/>
        <w:snapToGrid w:val="0"/>
        <w:ind w:firstLine="640"/>
        <w:rPr>
          <w:rFonts w:hint="eastAsia"/>
        </w:rPr>
      </w:pPr>
      <w:r>
        <w:rPr>
          <w:rFonts w:hint="eastAsia"/>
        </w:rPr>
        <w:t>调查分析中学1公里服务半径覆盖的居住用地面积，占所在街道总居住用地面积的百分比，查找中学服务半径覆盖与适龄青少年就近入学需求方面的差距和不足。</w:t>
      </w:r>
    </w:p>
    <w:p w14:paraId="41D91DD5">
      <w:pPr>
        <w:adjustRightInd w:val="0"/>
        <w:snapToGrid w:val="0"/>
        <w:ind w:firstLine="640"/>
        <w:rPr>
          <w:rFonts w:hint="eastAsia"/>
        </w:rPr>
      </w:pPr>
      <w:r>
        <w:rPr>
          <w:rFonts w:hint="eastAsia"/>
        </w:rPr>
        <w:t>【分析诊断】</w:t>
      </w:r>
    </w:p>
    <w:p w14:paraId="415A5E07">
      <w:pPr>
        <w:adjustRightInd w:val="0"/>
        <w:snapToGrid w:val="0"/>
        <w:ind w:firstLine="640"/>
        <w:rPr>
          <w:rFonts w:hint="eastAsia"/>
        </w:rPr>
      </w:pPr>
      <w:r>
        <w:rPr>
          <w:rFonts w:hint="eastAsia"/>
        </w:rPr>
        <w:t>指标数值：11.7%，该指标评价结论为不足。</w:t>
      </w:r>
    </w:p>
    <w:p w14:paraId="42D610BA">
      <w:pPr>
        <w:adjustRightInd w:val="0"/>
        <w:snapToGrid w:val="0"/>
        <w:ind w:firstLine="640"/>
        <w:rPr>
          <w:rFonts w:hint="eastAsia"/>
        </w:rPr>
      </w:pPr>
      <w:r>
        <w:rPr>
          <w:rFonts w:hint="eastAsia"/>
        </w:rPr>
        <w:t>未来发展片区范围内共3所中学。未来发展片区中学1公里服务半径覆盖的居住用地面积0.31平方千米，未来发展片区内总城镇住宅用地面积共2.65平方千米，中学服务半径覆盖率11.7%。</w:t>
      </w:r>
    </w:p>
    <w:p w14:paraId="294C95C6">
      <w:pPr>
        <w:adjustRightInd w:val="0"/>
        <w:snapToGrid w:val="0"/>
        <w:ind w:firstLine="0" w:firstLineChars="0"/>
        <w:jc w:val="center"/>
        <w:rPr>
          <w:rFonts w:hint="eastAsia"/>
        </w:rPr>
      </w:pPr>
      <w:r>
        <w:rPr>
          <w:rFonts w:hint="eastAsia" w:ascii="黑体" w:hAnsi="黑体" w:eastAsia="黑体" w:cs="黑体"/>
          <w:sz w:val="24"/>
          <w:szCs w:val="24"/>
        </w:rPr>
        <w:t>未来发展片区中学相关情况一览表</w:t>
      </w:r>
    </w:p>
    <w:tbl>
      <w:tblPr>
        <w:tblStyle w:val="29"/>
        <w:tblW w:w="0" w:type="auto"/>
        <w:tblInd w:w="0" w:type="dxa"/>
        <w:tblLayout w:type="autofit"/>
        <w:tblCellMar>
          <w:top w:w="0" w:type="dxa"/>
          <w:left w:w="108" w:type="dxa"/>
          <w:bottom w:w="0" w:type="dxa"/>
          <w:right w:w="108" w:type="dxa"/>
        </w:tblCellMar>
      </w:tblPr>
      <w:tblGrid>
        <w:gridCol w:w="757"/>
        <w:gridCol w:w="606"/>
        <w:gridCol w:w="719"/>
        <w:gridCol w:w="794"/>
        <w:gridCol w:w="719"/>
        <w:gridCol w:w="606"/>
        <w:gridCol w:w="846"/>
        <w:gridCol w:w="1086"/>
        <w:gridCol w:w="1290"/>
        <w:gridCol w:w="1087"/>
      </w:tblGrid>
      <w:tr w14:paraId="49B15F79">
        <w:tblPrEx>
          <w:tblCellMar>
            <w:top w:w="0" w:type="dxa"/>
            <w:left w:w="108" w:type="dxa"/>
            <w:bottom w:w="0" w:type="dxa"/>
            <w:right w:w="108" w:type="dxa"/>
          </w:tblCellMar>
        </w:tblPrEx>
        <w:trPr>
          <w:trHeight w:val="85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1A9D79">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区域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183546">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乡镇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C0A442">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6A4C0C">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机构名称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F43A8E">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办学类型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773D6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举办者类型</w:t>
            </w:r>
          </w:p>
        </w:tc>
        <w:tc>
          <w:tcPr>
            <w:tcW w:w="0" w:type="auto"/>
            <w:tcBorders>
              <w:top w:val="single" w:color="000000" w:sz="4" w:space="0"/>
              <w:left w:val="single" w:color="000000" w:sz="4" w:space="0"/>
              <w:bottom w:val="nil"/>
              <w:right w:val="single" w:color="000000" w:sz="4" w:space="0"/>
            </w:tcBorders>
            <w:shd w:val="clear" w:color="auto" w:fill="auto"/>
            <w:vAlign w:val="center"/>
          </w:tcPr>
          <w:p w14:paraId="4F7AFD12">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初中在校生数</w:t>
            </w:r>
          </w:p>
        </w:tc>
        <w:tc>
          <w:tcPr>
            <w:tcW w:w="0" w:type="auto"/>
            <w:tcBorders>
              <w:top w:val="single" w:color="000000" w:sz="4" w:space="0"/>
              <w:left w:val="single" w:color="000000" w:sz="4" w:space="0"/>
              <w:bottom w:val="nil"/>
              <w:right w:val="single" w:color="000000" w:sz="4" w:space="0"/>
            </w:tcBorders>
            <w:shd w:val="clear" w:color="auto" w:fill="auto"/>
            <w:vAlign w:val="center"/>
          </w:tcPr>
          <w:p w14:paraId="3C4B69EA">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教职工数（人）</w:t>
            </w:r>
          </w:p>
        </w:tc>
        <w:tc>
          <w:tcPr>
            <w:tcW w:w="0" w:type="auto"/>
            <w:tcBorders>
              <w:top w:val="single" w:color="000000" w:sz="4" w:space="0"/>
              <w:left w:val="single" w:color="000000" w:sz="4" w:space="0"/>
              <w:bottom w:val="nil"/>
              <w:right w:val="nil"/>
            </w:tcBorders>
            <w:shd w:val="clear" w:color="auto" w:fill="auto"/>
            <w:vAlign w:val="center"/>
          </w:tcPr>
          <w:p w14:paraId="342B0FB3">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占地面积（㎡）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0609C2">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建筑面积（㎡）</w:t>
            </w:r>
          </w:p>
        </w:tc>
      </w:tr>
      <w:tr w14:paraId="3554CED0">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A8728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广阳区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3DBEFE">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万庄镇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D4E0F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南街村村民委员会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C7B45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廊坊市第十一中学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5DEEB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完全中学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9C4B4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公办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00F0B5">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2306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1F2AC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B97BD2">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87739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D00B7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9914</w:t>
            </w:r>
          </w:p>
        </w:tc>
      </w:tr>
      <w:tr w14:paraId="6D7F4199">
        <w:tblPrEx>
          <w:tblCellMar>
            <w:top w:w="0" w:type="dxa"/>
            <w:left w:w="108" w:type="dxa"/>
            <w:bottom w:w="0" w:type="dxa"/>
            <w:right w:w="108" w:type="dxa"/>
          </w:tblCellMar>
        </w:tblPrEx>
        <w:trPr>
          <w:trHeight w:val="45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8EE1B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安次区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75453A">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杨税务镇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ED9A8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东风村村民委员会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4F4DA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廊坊市安次区长城学校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289C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十二年一贯制学校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4CAB8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民办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5C324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1094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01B366">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277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4C0F38">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60030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F0B5E7">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13867</w:t>
            </w:r>
          </w:p>
        </w:tc>
      </w:tr>
      <w:tr w14:paraId="618D48D3">
        <w:tblPrEx>
          <w:tblCellMar>
            <w:top w:w="0" w:type="dxa"/>
            <w:left w:w="108" w:type="dxa"/>
            <w:bottom w:w="0" w:type="dxa"/>
            <w:right w:w="108" w:type="dxa"/>
          </w:tblCellMar>
        </w:tblPrEx>
        <w:trPr>
          <w:trHeight w:val="45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046CE3">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廊坊经济技术开发区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D2264B">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耀华道街道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13DF5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西柏村委会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6AF89F">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廊坊市育人学校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D0CF9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九年一贯制学校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B7C56C">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民办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D684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2407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351294">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271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167B80">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41899.73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8CBF21">
            <w:pPr>
              <w:widowControl/>
              <w:spacing w:line="320" w:lineRule="exact"/>
              <w:ind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rPr>
              <w:t>7881.1</w:t>
            </w:r>
          </w:p>
        </w:tc>
      </w:tr>
    </w:tbl>
    <w:p w14:paraId="042FBFF7">
      <w:pPr>
        <w:adjustRightInd w:val="0"/>
        <w:snapToGrid w:val="0"/>
        <w:spacing w:line="240" w:lineRule="auto"/>
        <w:ind w:firstLine="0" w:firstLineChars="0"/>
        <w:rPr>
          <w:rFonts w:hint="eastAsia"/>
        </w:rPr>
      </w:pPr>
      <w:r>
        <w:rPr>
          <w:rFonts w:hint="eastAsia"/>
        </w:rPr>
        <w:drawing>
          <wp:inline distT="0" distB="0" distL="114300" distR="114300">
            <wp:extent cx="5259705" cy="3721735"/>
            <wp:effectExtent l="0" t="0" r="17145" b="12065"/>
            <wp:docPr id="76" name="图片 76" descr="未来-中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未来-中学2"/>
                    <pic:cNvPicPr>
                      <a:picLocks noChangeAspect="1"/>
                    </pic:cNvPicPr>
                  </pic:nvPicPr>
                  <pic:blipFill>
                    <a:blip r:embed="rId25"/>
                    <a:stretch>
                      <a:fillRect/>
                    </a:stretch>
                  </pic:blipFill>
                  <pic:spPr>
                    <a:xfrm>
                      <a:off x="0" y="0"/>
                      <a:ext cx="5259705" cy="3721735"/>
                    </a:xfrm>
                    <a:prstGeom prst="rect">
                      <a:avLst/>
                    </a:prstGeom>
                  </pic:spPr>
                </pic:pic>
              </a:graphicData>
            </a:graphic>
          </wp:inline>
        </w:drawing>
      </w:r>
    </w:p>
    <w:p w14:paraId="36E41D21">
      <w:pPr>
        <w:adjustRightInd w:val="0"/>
        <w:snapToGrid w:val="0"/>
        <w:ind w:firstLine="0" w:firstLineChars="0"/>
        <w:jc w:val="center"/>
        <w:rPr>
          <w:rFonts w:hint="eastAsia" w:ascii="黑体" w:hAnsi="黑体" w:eastAsia="黑体" w:cs="黑体"/>
          <w:sz w:val="24"/>
          <w:szCs w:val="24"/>
        </w:rPr>
      </w:pPr>
      <w:r>
        <w:rPr>
          <w:rFonts w:hint="eastAsia" w:ascii="黑体" w:hAnsi="黑体" w:eastAsia="黑体" w:cs="黑体"/>
          <w:sz w:val="24"/>
          <w:szCs w:val="24"/>
        </w:rPr>
        <w:t>未来发展片区中学1000米服务半径范围图</w:t>
      </w:r>
    </w:p>
    <w:p w14:paraId="683E4FE1">
      <w:pPr>
        <w:adjustRightInd w:val="0"/>
        <w:snapToGrid w:val="0"/>
        <w:ind w:firstLine="640"/>
        <w:rPr>
          <w:rFonts w:hint="eastAsia"/>
        </w:rPr>
      </w:pPr>
      <w:r>
        <w:rPr>
          <w:rFonts w:hint="eastAsia"/>
        </w:rPr>
        <w:t>【对策建议】</w:t>
      </w:r>
    </w:p>
    <w:p w14:paraId="398B6339">
      <w:pPr>
        <w:adjustRightInd w:val="0"/>
        <w:snapToGrid w:val="0"/>
        <w:ind w:firstLine="640"/>
        <w:rPr>
          <w:rFonts w:hint="eastAsia"/>
        </w:rPr>
      </w:pPr>
      <w:r>
        <w:rPr>
          <w:rFonts w:hint="eastAsia"/>
        </w:rPr>
        <w:t>优化中学布局规划。科学规划布局：基于未来发展片区的人口增长预测及居住用地分布情况，重新评估并科学规划中学的布局，确保中学能够更均衡地覆盖片区内的居住区域。增设中学网点：在居住密集且中学服务覆盖不足的区域，适时增设中学网点，缩短学生就学距离，提高服务半径覆盖率。</w:t>
      </w:r>
    </w:p>
    <w:p w14:paraId="336A5E8B">
      <w:pPr>
        <w:adjustRightInd w:val="0"/>
        <w:snapToGrid w:val="0"/>
        <w:ind w:firstLine="640"/>
        <w:rPr>
          <w:rFonts w:hint="eastAsia"/>
        </w:rPr>
      </w:pPr>
      <w:r>
        <w:rPr>
          <w:rFonts w:hint="eastAsia"/>
        </w:rPr>
        <w:t>提升既有中学服务能力。扩建与改造：对既有中学进行扩建或改造，增加学位供给，缓解学位紧张状况，从而间接提升服务半径覆盖率。优化资源配置：合理配置教育资源，包括师资力量、教学设施等，提升中学教育质量和吸引力，使更多家庭愿意选择就近入学。</w:t>
      </w:r>
    </w:p>
    <w:p w14:paraId="12B9D65C">
      <w:pPr>
        <w:adjustRightInd w:val="0"/>
        <w:snapToGrid w:val="0"/>
        <w:ind w:firstLine="640"/>
        <w:outlineLvl w:val="4"/>
        <w:rPr>
          <w:rFonts w:hint="eastAsia"/>
        </w:rPr>
      </w:pPr>
      <w:r>
        <w:rPr>
          <w:rFonts w:hint="eastAsia"/>
        </w:rPr>
        <w:t>（5）城市消防站服务半径覆盖率（%）</w:t>
      </w:r>
    </w:p>
    <w:p w14:paraId="7E61556B">
      <w:pPr>
        <w:adjustRightInd w:val="0"/>
        <w:snapToGrid w:val="0"/>
        <w:ind w:firstLine="640"/>
        <w:jc w:val="left"/>
        <w:rPr>
          <w:rFonts w:hint="eastAsia"/>
        </w:rPr>
      </w:pPr>
      <w:r>
        <w:rPr>
          <w:rFonts w:hint="eastAsia"/>
        </w:rPr>
        <w:t>【体检内容】</w:t>
      </w:r>
    </w:p>
    <w:p w14:paraId="7716ED71">
      <w:pPr>
        <w:adjustRightInd w:val="0"/>
        <w:snapToGrid w:val="0"/>
        <w:ind w:firstLine="640"/>
        <w:rPr>
          <w:rFonts w:hint="eastAsia"/>
        </w:rPr>
      </w:pPr>
      <w:r>
        <w:rPr>
          <w:rFonts w:hint="eastAsia"/>
        </w:rPr>
        <w:t>按照《城市消防站建设标准》（建标152-2017）要求，调查分析市辖区建成区内各类消防站服务半径覆盖的建设用地面积，占建设用地总面积的百分比，查找城市消防站建设规模不足、布局不均衡、人员配备及消防装备配置不完备等方面的问题。</w:t>
      </w:r>
    </w:p>
    <w:p w14:paraId="45A006C1">
      <w:pPr>
        <w:adjustRightInd w:val="0"/>
        <w:snapToGrid w:val="0"/>
        <w:ind w:firstLine="640"/>
        <w:jc w:val="left"/>
        <w:rPr>
          <w:rFonts w:hint="eastAsia"/>
        </w:rPr>
      </w:pPr>
      <w:r>
        <w:rPr>
          <w:rFonts w:hint="eastAsia"/>
        </w:rPr>
        <w:t>【评价标准】</w:t>
      </w:r>
    </w:p>
    <w:p w14:paraId="272FF9F3">
      <w:pPr>
        <w:adjustRightInd w:val="0"/>
        <w:snapToGrid w:val="0"/>
        <w:ind w:firstLine="640"/>
        <w:jc w:val="left"/>
        <w:rPr>
          <w:rFonts w:hint="eastAsia"/>
        </w:rPr>
      </w:pPr>
      <w:r>
        <w:rPr>
          <w:rFonts w:hint="eastAsia"/>
        </w:rPr>
        <w:t>每年提高5个百分点；2025年≥75%。</w:t>
      </w:r>
    </w:p>
    <w:p w14:paraId="76949EF7">
      <w:pPr>
        <w:adjustRightInd w:val="0"/>
        <w:snapToGrid w:val="0"/>
        <w:ind w:firstLine="640"/>
        <w:rPr>
          <w:rFonts w:hint="eastAsia"/>
        </w:rPr>
      </w:pPr>
      <w:r>
        <w:rPr>
          <w:rFonts w:hint="eastAsia"/>
        </w:rPr>
        <w:t>达标：≥65%，不达标：＜65%。</w:t>
      </w:r>
    </w:p>
    <w:p w14:paraId="3EA352B5">
      <w:pPr>
        <w:adjustRightInd w:val="0"/>
        <w:snapToGrid w:val="0"/>
        <w:ind w:firstLine="640"/>
        <w:rPr>
          <w:rFonts w:hint="eastAsia"/>
        </w:rPr>
      </w:pPr>
      <w:r>
        <w:rPr>
          <w:rFonts w:hint="eastAsia"/>
        </w:rPr>
        <w:t>【分析诊断】</w:t>
      </w:r>
    </w:p>
    <w:p w14:paraId="1AA8AFAA">
      <w:pPr>
        <w:adjustRightInd w:val="0"/>
        <w:snapToGrid w:val="0"/>
        <w:ind w:firstLine="640"/>
        <w:rPr>
          <w:rFonts w:hint="eastAsia"/>
        </w:rPr>
      </w:pPr>
      <w:r>
        <w:rPr>
          <w:rFonts w:hint="eastAsia"/>
        </w:rPr>
        <w:t>指标数值：33.13%，该指标评价结论为不达标。</w:t>
      </w:r>
    </w:p>
    <w:p w14:paraId="5467D24A">
      <w:pPr>
        <w:adjustRightInd w:val="0"/>
        <w:snapToGrid w:val="0"/>
        <w:ind w:firstLine="640"/>
        <w:jc w:val="left"/>
        <w:rPr>
          <w:rFonts w:hint="eastAsia"/>
        </w:rPr>
      </w:pPr>
      <w:r>
        <w:rPr>
          <w:rFonts w:hint="eastAsia"/>
        </w:rPr>
        <w:t>截至2024年2月，廊坊市市辖区建成区内共有10座投勤的消防站，2023年未来发展片区范围内有1座消防站，未来发展片区内消防站覆盖面积7平方千米，未来发展片区面积为21.13平方公里，未来发展片区体检范围内城市消防站服务半径覆盖率为33.13%。</w:t>
      </w:r>
    </w:p>
    <w:p w14:paraId="2DFB504D">
      <w:pPr>
        <w:ind w:firstLine="0" w:firstLineChars="0"/>
        <w:jc w:val="center"/>
        <w:rPr>
          <w:rFonts w:hint="eastAsia" w:ascii="方正黑体_GBK" w:hAnsi="方正黑体_GBK" w:eastAsia="方正黑体_GBK" w:cs="方正黑体_GBK"/>
          <w:sz w:val="24"/>
          <w:szCs w:val="24"/>
        </w:rPr>
      </w:pPr>
      <w:r>
        <w:rPr>
          <w:rFonts w:hint="eastAsia" w:ascii="方正黑体_GBK" w:hAnsi="方正黑体_GBK" w:eastAsia="方正黑体_GBK" w:cs="方正黑体_GBK"/>
          <w:sz w:val="24"/>
          <w:szCs w:val="24"/>
        </w:rPr>
        <w:t>未来发展片区范围内消防站一览表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901"/>
        <w:gridCol w:w="736"/>
        <w:gridCol w:w="4465"/>
        <w:gridCol w:w="1222"/>
      </w:tblGrid>
      <w:tr w14:paraId="2E874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79" w:hRule="atLeast"/>
        </w:trPr>
        <w:tc>
          <w:tcPr>
            <w:tcW w:w="0" w:type="auto"/>
            <w:shd w:val="clear" w:color="auto" w:fill="auto"/>
            <w:vAlign w:val="center"/>
          </w:tcPr>
          <w:p w14:paraId="1D4477A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名称</w:t>
            </w:r>
          </w:p>
        </w:tc>
        <w:tc>
          <w:tcPr>
            <w:tcW w:w="0" w:type="auto"/>
            <w:shd w:val="clear" w:color="auto" w:fill="auto"/>
            <w:vAlign w:val="center"/>
          </w:tcPr>
          <w:p w14:paraId="66AE5DA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级别</w:t>
            </w:r>
          </w:p>
        </w:tc>
        <w:tc>
          <w:tcPr>
            <w:tcW w:w="0" w:type="auto"/>
            <w:shd w:val="clear" w:color="auto" w:fill="auto"/>
            <w:vAlign w:val="center"/>
          </w:tcPr>
          <w:p w14:paraId="4A4B239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位置</w:t>
            </w:r>
          </w:p>
        </w:tc>
        <w:tc>
          <w:tcPr>
            <w:tcW w:w="0" w:type="auto"/>
            <w:shd w:val="clear" w:color="auto" w:fill="auto"/>
            <w:vAlign w:val="center"/>
          </w:tcPr>
          <w:p w14:paraId="3FA1F901">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占地</w:t>
            </w:r>
          </w:p>
          <w:p w14:paraId="43DA7354">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（平方米）</w:t>
            </w:r>
          </w:p>
        </w:tc>
      </w:tr>
      <w:tr w14:paraId="1A5FF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79" w:hRule="atLeast"/>
        </w:trPr>
        <w:tc>
          <w:tcPr>
            <w:tcW w:w="0" w:type="auto"/>
            <w:shd w:val="clear" w:color="auto" w:fill="auto"/>
            <w:vAlign w:val="center"/>
          </w:tcPr>
          <w:p w14:paraId="15CD9F70">
            <w:pPr>
              <w:widowControl/>
              <w:spacing w:line="320" w:lineRule="exact"/>
              <w:ind w:firstLine="0" w:firstLineChars="0"/>
              <w:jc w:val="center"/>
              <w:rPr>
                <w:rFonts w:hint="eastAsia"/>
                <w:kern w:val="0"/>
                <w:sz w:val="24"/>
                <w:szCs w:val="24"/>
              </w:rPr>
            </w:pPr>
            <w:r>
              <w:rPr>
                <w:rFonts w:hint="eastAsia"/>
                <w:kern w:val="0"/>
                <w:sz w:val="24"/>
                <w:szCs w:val="24"/>
              </w:rPr>
              <w:t>凤鸣道消防救援站</w:t>
            </w:r>
          </w:p>
        </w:tc>
        <w:tc>
          <w:tcPr>
            <w:tcW w:w="0" w:type="auto"/>
            <w:shd w:val="clear" w:color="auto" w:fill="auto"/>
            <w:vAlign w:val="center"/>
          </w:tcPr>
          <w:p w14:paraId="0C6A508D">
            <w:pPr>
              <w:widowControl/>
              <w:spacing w:line="320" w:lineRule="exact"/>
              <w:ind w:firstLine="0" w:firstLineChars="0"/>
              <w:jc w:val="center"/>
              <w:rPr>
                <w:rFonts w:hint="eastAsia"/>
                <w:kern w:val="0"/>
                <w:sz w:val="24"/>
                <w:szCs w:val="24"/>
              </w:rPr>
            </w:pPr>
            <w:r>
              <w:rPr>
                <w:rFonts w:hint="eastAsia"/>
                <w:kern w:val="0"/>
                <w:sz w:val="24"/>
                <w:szCs w:val="24"/>
              </w:rPr>
              <w:t>一级站</w:t>
            </w:r>
          </w:p>
        </w:tc>
        <w:tc>
          <w:tcPr>
            <w:tcW w:w="0" w:type="auto"/>
            <w:shd w:val="clear" w:color="auto" w:fill="auto"/>
            <w:vAlign w:val="center"/>
          </w:tcPr>
          <w:p w14:paraId="65A0E1ED">
            <w:pPr>
              <w:widowControl/>
              <w:spacing w:line="320" w:lineRule="exact"/>
              <w:ind w:firstLine="0" w:firstLineChars="0"/>
              <w:jc w:val="center"/>
              <w:rPr>
                <w:rFonts w:hint="eastAsia"/>
                <w:kern w:val="0"/>
                <w:sz w:val="24"/>
                <w:szCs w:val="24"/>
              </w:rPr>
            </w:pPr>
            <w:r>
              <w:rPr>
                <w:rFonts w:hint="eastAsia"/>
                <w:kern w:val="0"/>
                <w:sz w:val="24"/>
                <w:szCs w:val="24"/>
              </w:rPr>
              <w:t>廊坊经济技术开发区凤鸣道与蓝桉路交叉口</w:t>
            </w:r>
          </w:p>
        </w:tc>
        <w:tc>
          <w:tcPr>
            <w:tcW w:w="0" w:type="auto"/>
            <w:shd w:val="clear" w:color="auto" w:fill="auto"/>
            <w:vAlign w:val="center"/>
          </w:tcPr>
          <w:p w14:paraId="68081D7B">
            <w:pPr>
              <w:widowControl/>
              <w:spacing w:line="320" w:lineRule="exact"/>
              <w:ind w:firstLine="0" w:firstLineChars="0"/>
              <w:jc w:val="center"/>
              <w:rPr>
                <w:rFonts w:hint="eastAsia"/>
                <w:kern w:val="0"/>
                <w:sz w:val="24"/>
                <w:szCs w:val="24"/>
              </w:rPr>
            </w:pPr>
            <w:r>
              <w:rPr>
                <w:rFonts w:hint="eastAsia"/>
                <w:kern w:val="0"/>
                <w:sz w:val="24"/>
                <w:szCs w:val="24"/>
              </w:rPr>
              <w:t>10029.69</w:t>
            </w:r>
          </w:p>
        </w:tc>
      </w:tr>
    </w:tbl>
    <w:p w14:paraId="6E7EF397">
      <w:pPr>
        <w:adjustRightInd w:val="0"/>
        <w:snapToGrid w:val="0"/>
        <w:spacing w:line="240" w:lineRule="auto"/>
        <w:ind w:firstLine="0" w:firstLineChars="0"/>
        <w:rPr>
          <w:rFonts w:hint="eastAsia"/>
        </w:rPr>
      </w:pPr>
      <w:r>
        <w:rPr>
          <w:rFonts w:hint="eastAsia"/>
        </w:rPr>
        <w:drawing>
          <wp:inline distT="0" distB="0" distL="114300" distR="114300">
            <wp:extent cx="5259705" cy="3721735"/>
            <wp:effectExtent l="0" t="0" r="17145" b="12065"/>
            <wp:docPr id="72" name="图片 72" descr="未来-消防站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未来-消防站9.29"/>
                    <pic:cNvPicPr>
                      <a:picLocks noChangeAspect="1"/>
                    </pic:cNvPicPr>
                  </pic:nvPicPr>
                  <pic:blipFill>
                    <a:blip r:embed="rId26"/>
                    <a:stretch>
                      <a:fillRect/>
                    </a:stretch>
                  </pic:blipFill>
                  <pic:spPr>
                    <a:xfrm>
                      <a:off x="0" y="0"/>
                      <a:ext cx="5259705" cy="3721735"/>
                    </a:xfrm>
                    <a:prstGeom prst="rect">
                      <a:avLst/>
                    </a:prstGeom>
                  </pic:spPr>
                </pic:pic>
              </a:graphicData>
            </a:graphic>
          </wp:inline>
        </w:drawing>
      </w:r>
    </w:p>
    <w:p w14:paraId="1753E92F">
      <w:pPr>
        <w:adjustRightInd w:val="0"/>
        <w:snapToGrid w:val="0"/>
        <w:ind w:firstLine="0" w:firstLineChars="0"/>
        <w:jc w:val="center"/>
        <w:rPr>
          <w:rFonts w:hint="eastAsia"/>
        </w:rPr>
      </w:pPr>
      <w:r>
        <w:rPr>
          <w:rFonts w:hint="eastAsia" w:ascii="黑体" w:hAnsi="黑体" w:eastAsia="黑体" w:cs="黑体"/>
          <w:sz w:val="24"/>
          <w:szCs w:val="24"/>
        </w:rPr>
        <w:t>未来发展片区消防站7平方公里服务半径范围</w:t>
      </w:r>
    </w:p>
    <w:p w14:paraId="09257756">
      <w:pPr>
        <w:adjustRightInd w:val="0"/>
        <w:snapToGrid w:val="0"/>
        <w:ind w:firstLine="640"/>
        <w:rPr>
          <w:rFonts w:hint="eastAsia"/>
        </w:rPr>
      </w:pPr>
      <w:r>
        <w:rPr>
          <w:rFonts w:hint="eastAsia"/>
        </w:rPr>
        <w:t>【对策建议】</w:t>
      </w:r>
    </w:p>
    <w:p w14:paraId="7D5FC7C0">
      <w:pPr>
        <w:adjustRightInd w:val="0"/>
        <w:snapToGrid w:val="0"/>
        <w:ind w:firstLine="640"/>
        <w:rPr>
          <w:rFonts w:hint="eastAsia"/>
        </w:rPr>
      </w:pPr>
      <w:r>
        <w:rPr>
          <w:rFonts w:hint="eastAsia"/>
        </w:rPr>
        <w:t>加快消防站规划与建设：编制消防站建设的专项规划，明确新增消防站的具体位置、规模及建设时间表，确保消防站布局合理，能够有效缩短服务半径，提高覆盖率。优先考虑在现有服务盲区或人口密度高、火灾风险大的区域增设消防站。</w:t>
      </w:r>
    </w:p>
    <w:p w14:paraId="5E7F02B7">
      <w:pPr>
        <w:adjustRightInd w:val="0"/>
        <w:snapToGrid w:val="0"/>
        <w:ind w:firstLine="640"/>
        <w:rPr>
          <w:rFonts w:hint="eastAsia"/>
        </w:rPr>
      </w:pPr>
      <w:r>
        <w:rPr>
          <w:rFonts w:hint="eastAsia"/>
        </w:rPr>
        <w:t>优化资源配置：对现有消防站进行资源评估，合理调配消防车辆、装备及人员，确保高效运作。同时，探索建立消防资源共享机制，如跨区域消防联动响应系统，增强整体应急响应能力。</w:t>
      </w:r>
    </w:p>
    <w:p w14:paraId="49980AF6">
      <w:pPr>
        <w:adjustRightInd w:val="0"/>
        <w:snapToGrid w:val="0"/>
        <w:ind w:firstLine="640"/>
        <w:rPr>
          <w:rFonts w:hint="eastAsia"/>
        </w:rPr>
      </w:pPr>
      <w:r>
        <w:rPr>
          <w:rFonts w:hint="eastAsia"/>
        </w:rPr>
        <w:t>推动技术创新与应用：利用大数据、物联网等现代信息技术，提升消防站管理智能化水平，实现火灾风险的精准预警与快速处置。通过智能调度系统优化消防车辆出警路线，缩短响应时间。</w:t>
      </w:r>
    </w:p>
    <w:p w14:paraId="5B5E23D2">
      <w:pPr>
        <w:adjustRightInd w:val="0"/>
        <w:snapToGrid w:val="0"/>
        <w:ind w:firstLine="640"/>
        <w:rPr>
          <w:rFonts w:hint="eastAsia"/>
        </w:rPr>
      </w:pPr>
    </w:p>
    <w:p w14:paraId="3E522AB4">
      <w:pPr>
        <w:ind w:firstLine="640"/>
        <w:rPr>
          <w:rFonts w:hint="eastAsia"/>
        </w:rPr>
        <w:sectPr>
          <w:pgSz w:w="11900" w:h="16838"/>
          <w:pgMar w:top="1440" w:right="1803" w:bottom="1440" w:left="1803" w:header="600" w:footer="360" w:gutter="0"/>
          <w:pgNumType w:fmt="decimal"/>
          <w:cols w:space="720" w:num="1"/>
        </w:sectPr>
      </w:pPr>
    </w:p>
    <w:bookmarkEnd w:id="39"/>
    <w:bookmarkEnd w:id="40"/>
    <w:p w14:paraId="713D05B8">
      <w:pPr>
        <w:pStyle w:val="2"/>
        <w:rPr>
          <w:rFonts w:hint="eastAsia"/>
        </w:rPr>
      </w:pPr>
      <w:bookmarkStart w:id="41" w:name="_Toc1552"/>
      <w:bookmarkStart w:id="42" w:name="_Toc1049"/>
      <w:bookmarkStart w:id="43" w:name="_Toc21261"/>
      <w:r>
        <w:rPr>
          <w:rFonts w:hint="eastAsia"/>
        </w:rPr>
        <w:t>第二章总体结论</w:t>
      </w:r>
      <w:bookmarkEnd w:id="41"/>
      <w:bookmarkEnd w:id="42"/>
      <w:bookmarkEnd w:id="43"/>
    </w:p>
    <w:p w14:paraId="4D1144E0">
      <w:pPr>
        <w:pStyle w:val="3"/>
        <w:rPr>
          <w:rFonts w:hint="eastAsia"/>
        </w:rPr>
      </w:pPr>
      <w:bookmarkStart w:id="44" w:name="_Toc24917"/>
      <w:r>
        <w:rPr>
          <w:rFonts w:hint="eastAsia"/>
        </w:rPr>
        <w:t>一、住房维度</w:t>
      </w:r>
      <w:bookmarkEnd w:id="44"/>
    </w:p>
    <w:p w14:paraId="2A8C27E8">
      <w:pPr>
        <w:ind w:firstLine="640"/>
        <w:rPr>
          <w:rFonts w:hint="eastAsia"/>
          <w:lang w:val="zh-CN"/>
        </w:rPr>
      </w:pPr>
      <w:r>
        <w:t>基于住房维度安全耐久、功能完善、特色智能3个方面的</w:t>
      </w:r>
      <w:r>
        <w:rPr>
          <w:rFonts w:hint="eastAsia"/>
        </w:rPr>
        <w:t>10</w:t>
      </w:r>
      <w:r>
        <w:t>个指标分析，廊坊市</w:t>
      </w:r>
      <w:r>
        <w:rPr>
          <w:rFonts w:hint="eastAsia"/>
        </w:rPr>
        <w:t>141</w:t>
      </w:r>
      <w:r>
        <w:t>个社区</w:t>
      </w:r>
      <w:r>
        <w:rPr>
          <w:rFonts w:hint="eastAsia"/>
        </w:rPr>
        <w:t>781</w:t>
      </w:r>
      <w:r>
        <w:t>个小区共</w:t>
      </w:r>
      <w:r>
        <w:rPr>
          <w:rFonts w:hint="eastAsia"/>
        </w:rPr>
        <w:t>4433</w:t>
      </w:r>
      <w:r>
        <w:t>栋住宅中，住房维度最突出的问题是住宅的数字化改造，需要进行数字化改造的住宅数量共1</w:t>
      </w:r>
      <w:r>
        <w:rPr>
          <w:rFonts w:hint="eastAsia"/>
        </w:rPr>
        <w:t>499</w:t>
      </w:r>
      <w:r>
        <w:t>栋，占廊坊市总住宅数量的</w:t>
      </w:r>
      <w:r>
        <w:rPr>
          <w:rFonts w:hint="eastAsia"/>
        </w:rPr>
        <w:t>33.81</w:t>
      </w:r>
      <w:r>
        <w:t>%</w:t>
      </w:r>
      <w:r>
        <w:rPr>
          <w:lang w:val="zh-CN"/>
        </w:rPr>
        <w:t>。</w:t>
      </w:r>
    </w:p>
    <w:p w14:paraId="5DE3C3A6">
      <w:pPr>
        <w:ind w:firstLine="640"/>
        <w:rPr>
          <w:rFonts w:hint="eastAsia"/>
        </w:rPr>
      </w:pPr>
      <w:r>
        <w:rPr>
          <w:rFonts w:hint="eastAsia"/>
        </w:rPr>
        <w:t>其次是</w:t>
      </w:r>
      <w:r>
        <w:t>楼道安全隐患</w:t>
      </w:r>
      <w:r>
        <w:rPr>
          <w:rFonts w:hint="eastAsia"/>
        </w:rPr>
        <w:t>问题，存在该问题</w:t>
      </w:r>
      <w:r>
        <w:t>的住宅数量为</w:t>
      </w:r>
      <w:r>
        <w:rPr>
          <w:rFonts w:hint="eastAsia"/>
        </w:rPr>
        <w:t>128</w:t>
      </w:r>
      <w:r>
        <w:t>栋，占比达</w:t>
      </w:r>
      <w:r>
        <w:rPr>
          <w:rFonts w:hint="eastAsia"/>
        </w:rPr>
        <w:t>28.83</w:t>
      </w:r>
      <w:r>
        <w:t>%，此问题集中分布在</w:t>
      </w:r>
      <w:r>
        <w:rPr>
          <w:rFonts w:hint="eastAsia"/>
        </w:rPr>
        <w:t>爱民东道街道、解放道街道和开发区</w:t>
      </w:r>
      <w:r>
        <w:t>。</w:t>
      </w:r>
      <w:r>
        <w:rPr>
          <w:rFonts w:hint="eastAsia"/>
        </w:rPr>
        <w:t>问题主要表现为违规占用疏散楼梯、楼道、管道井等公共空间用于堆放杂物、消防安全出口指示灯损坏或者缺失。</w:t>
      </w:r>
    </w:p>
    <w:p w14:paraId="05D5A561">
      <w:pPr>
        <w:ind w:firstLine="640"/>
        <w:rPr>
          <w:rFonts w:hint="eastAsia"/>
        </w:rPr>
      </w:pPr>
      <w:r>
        <w:t>再次是</w:t>
      </w:r>
      <w:r>
        <w:rPr>
          <w:rFonts w:hint="eastAsia"/>
        </w:rPr>
        <w:t>围护安全隐患</w:t>
      </w:r>
      <w:r>
        <w:t>问题，存在</w:t>
      </w:r>
      <w:r>
        <w:rPr>
          <w:rFonts w:hint="eastAsia"/>
        </w:rPr>
        <w:t>该问题的</w:t>
      </w:r>
      <w:r>
        <w:t>住宅数量为</w:t>
      </w:r>
      <w:r>
        <w:rPr>
          <w:rFonts w:hint="eastAsia"/>
        </w:rPr>
        <w:t>958</w:t>
      </w:r>
      <w:r>
        <w:t>栋，占比达</w:t>
      </w:r>
      <w:r>
        <w:rPr>
          <w:rFonts w:hint="eastAsia"/>
        </w:rPr>
        <w:t>21.1</w:t>
      </w:r>
      <w:r>
        <w:t>%，此问题集中分布在</w:t>
      </w:r>
      <w:r>
        <w:rPr>
          <w:rFonts w:hint="eastAsia"/>
        </w:rPr>
        <w:t>爱民东道街道、解放道街道和新开路街道</w:t>
      </w:r>
      <w:r>
        <w:t>。</w:t>
      </w:r>
      <w:r>
        <w:rPr>
          <w:rFonts w:hint="eastAsia"/>
        </w:rPr>
        <w:t>问题主要表现为外墙装饰材料和保温材料开裂、损坏、脱落。</w:t>
      </w:r>
    </w:p>
    <w:p w14:paraId="70362731">
      <w:pPr>
        <w:spacing w:line="240" w:lineRule="auto"/>
        <w:ind w:firstLine="0" w:firstLineChars="0"/>
        <w:jc w:val="center"/>
        <w:rPr>
          <w:rFonts w:hint="eastAsia"/>
        </w:rPr>
      </w:pPr>
      <w:r>
        <w:drawing>
          <wp:inline distT="0" distB="0" distL="114300" distR="114300">
            <wp:extent cx="5263515" cy="2991485"/>
            <wp:effectExtent l="4445" t="4445" r="8890" b="13970"/>
            <wp:docPr id="34828" name="图表 1" descr="7b0a202020202263686172745265734964223a20223230343639313132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88A8267">
      <w:pPr>
        <w:pStyle w:val="49"/>
        <w:spacing w:after="72"/>
      </w:pPr>
      <w:r>
        <w:t>住房维度存在问题楼栋数占比图</w:t>
      </w:r>
    </w:p>
    <w:p w14:paraId="24B99026">
      <w:pPr>
        <w:pStyle w:val="49"/>
        <w:spacing w:after="72"/>
      </w:pPr>
      <w:r>
        <w:t>住房维度存在问题楼栋数一览表</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9"/>
        <w:gridCol w:w="961"/>
        <w:gridCol w:w="1004"/>
        <w:gridCol w:w="4892"/>
        <w:gridCol w:w="1161"/>
      </w:tblGrid>
      <w:tr w14:paraId="69672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287" w:type="pct"/>
            <w:shd w:val="clear" w:color="auto" w:fill="auto"/>
            <w:noWrap/>
            <w:vAlign w:val="center"/>
          </w:tcPr>
          <w:p w14:paraId="7DDBB667">
            <w:pPr>
              <w:pStyle w:val="50"/>
            </w:pPr>
            <w:r>
              <w:t>序号</w:t>
            </w:r>
          </w:p>
        </w:tc>
        <w:tc>
          <w:tcPr>
            <w:tcW w:w="564" w:type="pct"/>
            <w:shd w:val="clear" w:color="auto" w:fill="auto"/>
            <w:noWrap/>
            <w:vAlign w:val="center"/>
          </w:tcPr>
          <w:p w14:paraId="70F17AE3">
            <w:pPr>
              <w:pStyle w:val="50"/>
            </w:pPr>
            <w:r>
              <w:t>指标名称</w:t>
            </w:r>
          </w:p>
        </w:tc>
        <w:tc>
          <w:tcPr>
            <w:tcW w:w="590" w:type="pct"/>
            <w:shd w:val="clear" w:color="auto" w:fill="auto"/>
            <w:noWrap/>
            <w:vAlign w:val="center"/>
          </w:tcPr>
          <w:p w14:paraId="7B043ED6">
            <w:pPr>
              <w:pStyle w:val="50"/>
            </w:pPr>
            <w:r>
              <w:t>存在问题楼栋数（栋）</w:t>
            </w:r>
          </w:p>
        </w:tc>
        <w:tc>
          <w:tcPr>
            <w:tcW w:w="2874" w:type="pct"/>
            <w:shd w:val="clear" w:color="auto" w:fill="auto"/>
            <w:noWrap/>
            <w:vAlign w:val="center"/>
          </w:tcPr>
          <w:p w14:paraId="6CEB98FE">
            <w:pPr>
              <w:pStyle w:val="50"/>
            </w:pPr>
            <w:r>
              <w:t>分解指标名称</w:t>
            </w:r>
          </w:p>
        </w:tc>
        <w:tc>
          <w:tcPr>
            <w:tcW w:w="682" w:type="pct"/>
            <w:shd w:val="clear" w:color="auto" w:fill="auto"/>
            <w:noWrap/>
            <w:vAlign w:val="center"/>
          </w:tcPr>
          <w:p w14:paraId="25592EDA">
            <w:pPr>
              <w:pStyle w:val="50"/>
            </w:pPr>
            <w:r>
              <w:t>存在问题楼栋数（栋）</w:t>
            </w:r>
          </w:p>
        </w:tc>
      </w:tr>
      <w:tr w14:paraId="72C76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3667EFED">
            <w:pPr>
              <w:pStyle w:val="41"/>
              <w:rPr>
                <w:rFonts w:hint="eastAsia"/>
              </w:rPr>
            </w:pPr>
            <w:r>
              <w:rPr>
                <w:rFonts w:hint="eastAsia"/>
              </w:rPr>
              <w:t>1</w:t>
            </w:r>
          </w:p>
        </w:tc>
        <w:tc>
          <w:tcPr>
            <w:tcW w:w="564" w:type="pct"/>
            <w:vMerge w:val="restart"/>
            <w:shd w:val="clear" w:color="auto" w:fill="auto"/>
            <w:vAlign w:val="center"/>
          </w:tcPr>
          <w:p w14:paraId="4C6C3A87">
            <w:pPr>
              <w:pStyle w:val="41"/>
              <w:rPr>
                <w:rFonts w:hint="eastAsia"/>
              </w:rPr>
            </w:pPr>
            <w:r>
              <w:rPr>
                <w:rFonts w:hint="eastAsia"/>
              </w:rPr>
              <w:t>☆存在结构安全隐患的住宅数量（栋）</w:t>
            </w:r>
          </w:p>
        </w:tc>
        <w:tc>
          <w:tcPr>
            <w:tcW w:w="590" w:type="pct"/>
            <w:vMerge w:val="restart"/>
            <w:shd w:val="clear" w:color="auto" w:fill="auto"/>
            <w:vAlign w:val="center"/>
          </w:tcPr>
          <w:p w14:paraId="6F0E284E">
            <w:pPr>
              <w:pStyle w:val="41"/>
              <w:rPr>
                <w:rFonts w:hint="eastAsia"/>
              </w:rPr>
            </w:pPr>
            <w:r>
              <w:rPr>
                <w:rFonts w:hint="eastAsia"/>
              </w:rPr>
              <w:t>140</w:t>
            </w:r>
          </w:p>
        </w:tc>
        <w:tc>
          <w:tcPr>
            <w:tcW w:w="2874" w:type="pct"/>
            <w:shd w:val="clear" w:color="auto" w:fill="auto"/>
            <w:vAlign w:val="center"/>
          </w:tcPr>
          <w:p w14:paraId="0D2D1B52">
            <w:pPr>
              <w:pStyle w:val="41"/>
              <w:jc w:val="left"/>
              <w:rPr>
                <w:rFonts w:hint="eastAsia"/>
              </w:rPr>
            </w:pPr>
            <w:r>
              <w:rPr>
                <w:rFonts w:hint="eastAsia"/>
              </w:rPr>
              <w:t>1.1承重墙体、楼板、结构梁开裂且裂缝较深、清晰可见的住宅数量。</w:t>
            </w:r>
          </w:p>
        </w:tc>
        <w:tc>
          <w:tcPr>
            <w:tcW w:w="682" w:type="pct"/>
            <w:shd w:val="clear" w:color="auto" w:fill="auto"/>
            <w:vAlign w:val="center"/>
          </w:tcPr>
          <w:p w14:paraId="167DCA52">
            <w:pPr>
              <w:pStyle w:val="41"/>
              <w:rPr>
                <w:rFonts w:hint="eastAsia"/>
              </w:rPr>
            </w:pPr>
            <w:r>
              <w:rPr>
                <w:rFonts w:hint="eastAsia"/>
              </w:rPr>
              <w:t>49</w:t>
            </w:r>
          </w:p>
        </w:tc>
      </w:tr>
      <w:tr w14:paraId="71571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65FD611B">
            <w:pPr>
              <w:pStyle w:val="41"/>
              <w:rPr>
                <w:rFonts w:hint="eastAsia"/>
              </w:rPr>
            </w:pPr>
          </w:p>
        </w:tc>
        <w:tc>
          <w:tcPr>
            <w:tcW w:w="564" w:type="pct"/>
            <w:vMerge w:val="continue"/>
            <w:shd w:val="clear" w:color="auto" w:fill="auto"/>
            <w:vAlign w:val="center"/>
          </w:tcPr>
          <w:p w14:paraId="448333BB">
            <w:pPr>
              <w:pStyle w:val="41"/>
              <w:rPr>
                <w:rFonts w:hint="eastAsia"/>
              </w:rPr>
            </w:pPr>
          </w:p>
        </w:tc>
        <w:tc>
          <w:tcPr>
            <w:tcW w:w="590" w:type="pct"/>
            <w:vMerge w:val="continue"/>
            <w:shd w:val="clear" w:color="auto" w:fill="auto"/>
            <w:vAlign w:val="center"/>
          </w:tcPr>
          <w:p w14:paraId="78646E7D">
            <w:pPr>
              <w:pStyle w:val="41"/>
              <w:rPr>
                <w:rFonts w:hint="eastAsia"/>
              </w:rPr>
            </w:pPr>
          </w:p>
        </w:tc>
        <w:tc>
          <w:tcPr>
            <w:tcW w:w="2874" w:type="pct"/>
            <w:shd w:val="clear" w:color="auto" w:fill="auto"/>
            <w:vAlign w:val="center"/>
          </w:tcPr>
          <w:p w14:paraId="3FEF9E48">
            <w:pPr>
              <w:pStyle w:val="41"/>
              <w:jc w:val="left"/>
              <w:rPr>
                <w:rFonts w:hint="eastAsia"/>
              </w:rPr>
            </w:pPr>
            <w:r>
              <w:rPr>
                <w:rFonts w:hint="eastAsia"/>
              </w:rPr>
              <w:t>1.2违规拆除结构承重构件的住宅数量</w:t>
            </w:r>
          </w:p>
        </w:tc>
        <w:tc>
          <w:tcPr>
            <w:tcW w:w="682" w:type="pct"/>
            <w:shd w:val="clear" w:color="auto" w:fill="auto"/>
            <w:vAlign w:val="center"/>
          </w:tcPr>
          <w:p w14:paraId="66980725">
            <w:pPr>
              <w:pStyle w:val="41"/>
              <w:rPr>
                <w:rFonts w:hint="eastAsia"/>
              </w:rPr>
            </w:pPr>
            <w:r>
              <w:rPr>
                <w:rFonts w:hint="eastAsia"/>
              </w:rPr>
              <w:t>51</w:t>
            </w:r>
          </w:p>
        </w:tc>
      </w:tr>
      <w:tr w14:paraId="684BD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462F13F">
            <w:pPr>
              <w:pStyle w:val="41"/>
              <w:rPr>
                <w:rFonts w:hint="eastAsia"/>
              </w:rPr>
            </w:pPr>
          </w:p>
        </w:tc>
        <w:tc>
          <w:tcPr>
            <w:tcW w:w="564" w:type="pct"/>
            <w:vMerge w:val="continue"/>
            <w:shd w:val="clear" w:color="auto" w:fill="auto"/>
            <w:vAlign w:val="center"/>
          </w:tcPr>
          <w:p w14:paraId="52CDBDF3">
            <w:pPr>
              <w:pStyle w:val="41"/>
              <w:rPr>
                <w:rFonts w:hint="eastAsia"/>
              </w:rPr>
            </w:pPr>
          </w:p>
        </w:tc>
        <w:tc>
          <w:tcPr>
            <w:tcW w:w="590" w:type="pct"/>
            <w:vMerge w:val="continue"/>
            <w:shd w:val="clear" w:color="auto" w:fill="auto"/>
            <w:vAlign w:val="center"/>
          </w:tcPr>
          <w:p w14:paraId="39FCF8BB">
            <w:pPr>
              <w:pStyle w:val="41"/>
              <w:rPr>
                <w:rFonts w:hint="eastAsia"/>
              </w:rPr>
            </w:pPr>
          </w:p>
        </w:tc>
        <w:tc>
          <w:tcPr>
            <w:tcW w:w="2874" w:type="pct"/>
            <w:shd w:val="clear" w:color="auto" w:fill="auto"/>
            <w:vAlign w:val="center"/>
          </w:tcPr>
          <w:p w14:paraId="38DEF587">
            <w:pPr>
              <w:pStyle w:val="41"/>
              <w:jc w:val="left"/>
              <w:rPr>
                <w:rFonts w:hint="eastAsia"/>
              </w:rPr>
            </w:pPr>
            <w:r>
              <w:rPr>
                <w:rFonts w:hint="eastAsia"/>
              </w:rPr>
              <w:t>1.3砖混结构主体出现砖体缺棱掉角、存在裂缝、砂浆饱满度差，呈粉末状，砖与砖浆之间存在较大缝隙的住宅数量。</w:t>
            </w:r>
          </w:p>
        </w:tc>
        <w:tc>
          <w:tcPr>
            <w:tcW w:w="682" w:type="pct"/>
            <w:shd w:val="clear" w:color="auto" w:fill="auto"/>
            <w:vAlign w:val="center"/>
          </w:tcPr>
          <w:p w14:paraId="5C7DFC7B">
            <w:pPr>
              <w:pStyle w:val="41"/>
              <w:rPr>
                <w:rFonts w:hint="eastAsia"/>
              </w:rPr>
            </w:pPr>
            <w:r>
              <w:rPr>
                <w:rFonts w:hint="eastAsia"/>
              </w:rPr>
              <w:t>116</w:t>
            </w:r>
          </w:p>
        </w:tc>
      </w:tr>
      <w:tr w14:paraId="16499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415B5C62">
            <w:pPr>
              <w:pStyle w:val="41"/>
              <w:rPr>
                <w:rFonts w:hint="eastAsia"/>
              </w:rPr>
            </w:pPr>
          </w:p>
        </w:tc>
        <w:tc>
          <w:tcPr>
            <w:tcW w:w="564" w:type="pct"/>
            <w:vMerge w:val="continue"/>
            <w:shd w:val="clear" w:color="auto" w:fill="auto"/>
            <w:vAlign w:val="center"/>
          </w:tcPr>
          <w:p w14:paraId="68F40446">
            <w:pPr>
              <w:pStyle w:val="41"/>
              <w:rPr>
                <w:rFonts w:hint="eastAsia"/>
              </w:rPr>
            </w:pPr>
          </w:p>
        </w:tc>
        <w:tc>
          <w:tcPr>
            <w:tcW w:w="590" w:type="pct"/>
            <w:vMerge w:val="continue"/>
            <w:shd w:val="clear" w:color="auto" w:fill="auto"/>
            <w:vAlign w:val="center"/>
          </w:tcPr>
          <w:p w14:paraId="7454E81D">
            <w:pPr>
              <w:pStyle w:val="41"/>
              <w:rPr>
                <w:rFonts w:hint="eastAsia"/>
              </w:rPr>
            </w:pPr>
          </w:p>
        </w:tc>
        <w:tc>
          <w:tcPr>
            <w:tcW w:w="2874" w:type="pct"/>
            <w:shd w:val="clear" w:color="auto" w:fill="auto"/>
            <w:vAlign w:val="center"/>
          </w:tcPr>
          <w:p w14:paraId="785995F2">
            <w:pPr>
              <w:pStyle w:val="41"/>
              <w:jc w:val="left"/>
              <w:rPr>
                <w:rFonts w:hint="eastAsia"/>
              </w:rPr>
            </w:pPr>
            <w:r>
              <w:rPr>
                <w:rFonts w:hint="eastAsia"/>
              </w:rPr>
              <w:t>1.4违规拆除外窗窗下墙体加建阳台，违规加建悬挑飘窗的住宅数量。</w:t>
            </w:r>
          </w:p>
        </w:tc>
        <w:tc>
          <w:tcPr>
            <w:tcW w:w="682" w:type="pct"/>
            <w:shd w:val="clear" w:color="auto" w:fill="auto"/>
            <w:vAlign w:val="center"/>
          </w:tcPr>
          <w:p w14:paraId="1FDA5708">
            <w:pPr>
              <w:pStyle w:val="41"/>
              <w:rPr>
                <w:rFonts w:hint="eastAsia"/>
              </w:rPr>
            </w:pPr>
            <w:r>
              <w:rPr>
                <w:rFonts w:hint="eastAsia"/>
              </w:rPr>
              <w:t>80</w:t>
            </w:r>
          </w:p>
        </w:tc>
      </w:tr>
      <w:tr w14:paraId="14A07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20A433DB">
            <w:pPr>
              <w:pStyle w:val="41"/>
              <w:rPr>
                <w:rFonts w:hint="eastAsia"/>
              </w:rPr>
            </w:pPr>
            <w:r>
              <w:rPr>
                <w:rFonts w:hint="eastAsia"/>
              </w:rPr>
              <w:t>2</w:t>
            </w:r>
          </w:p>
        </w:tc>
        <w:tc>
          <w:tcPr>
            <w:tcW w:w="564" w:type="pct"/>
            <w:vMerge w:val="restart"/>
            <w:shd w:val="clear" w:color="auto" w:fill="auto"/>
            <w:vAlign w:val="center"/>
          </w:tcPr>
          <w:p w14:paraId="566628F5">
            <w:pPr>
              <w:pStyle w:val="41"/>
              <w:rPr>
                <w:rFonts w:hint="eastAsia"/>
              </w:rPr>
            </w:pPr>
            <w:r>
              <w:rPr>
                <w:rFonts w:hint="eastAsia"/>
              </w:rPr>
              <w:t>存在燃气安全隐患的住宅数量（栋）</w:t>
            </w:r>
          </w:p>
        </w:tc>
        <w:tc>
          <w:tcPr>
            <w:tcW w:w="590" w:type="pct"/>
            <w:vMerge w:val="restart"/>
            <w:shd w:val="clear" w:color="auto" w:fill="auto"/>
            <w:vAlign w:val="center"/>
          </w:tcPr>
          <w:p w14:paraId="283E1506">
            <w:pPr>
              <w:pStyle w:val="41"/>
              <w:rPr>
                <w:rFonts w:hint="eastAsia"/>
              </w:rPr>
            </w:pPr>
            <w:r>
              <w:rPr>
                <w:rFonts w:hint="eastAsia"/>
              </w:rPr>
              <w:t>0</w:t>
            </w:r>
          </w:p>
        </w:tc>
        <w:tc>
          <w:tcPr>
            <w:tcW w:w="2874" w:type="pct"/>
            <w:shd w:val="clear" w:color="auto" w:fill="auto"/>
            <w:vAlign w:val="center"/>
          </w:tcPr>
          <w:p w14:paraId="70B94EBC">
            <w:pPr>
              <w:pStyle w:val="41"/>
              <w:jc w:val="left"/>
              <w:rPr>
                <w:rFonts w:hint="eastAsia"/>
              </w:rPr>
            </w:pPr>
            <w:r>
              <w:rPr>
                <w:rFonts w:hint="eastAsia"/>
              </w:rPr>
              <w:t>2.1住宅燃气立管、引入管、水平管运行年限满20年，且存在锈蚀严重、破损等安全隐患。</w:t>
            </w:r>
          </w:p>
        </w:tc>
        <w:tc>
          <w:tcPr>
            <w:tcW w:w="682" w:type="pct"/>
            <w:shd w:val="clear" w:color="auto" w:fill="auto"/>
            <w:vAlign w:val="center"/>
          </w:tcPr>
          <w:p w14:paraId="100E6E0C">
            <w:pPr>
              <w:pStyle w:val="41"/>
              <w:rPr>
                <w:rFonts w:hint="eastAsia"/>
              </w:rPr>
            </w:pPr>
            <w:r>
              <w:rPr>
                <w:rFonts w:hint="eastAsia"/>
              </w:rPr>
              <w:t>0</w:t>
            </w:r>
          </w:p>
        </w:tc>
      </w:tr>
      <w:tr w14:paraId="5324C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6C0056F6">
            <w:pPr>
              <w:pStyle w:val="41"/>
              <w:rPr>
                <w:rFonts w:hint="eastAsia"/>
              </w:rPr>
            </w:pPr>
          </w:p>
        </w:tc>
        <w:tc>
          <w:tcPr>
            <w:tcW w:w="564" w:type="pct"/>
            <w:vMerge w:val="continue"/>
            <w:shd w:val="clear" w:color="auto" w:fill="auto"/>
            <w:vAlign w:val="center"/>
          </w:tcPr>
          <w:p w14:paraId="64151486">
            <w:pPr>
              <w:pStyle w:val="41"/>
              <w:rPr>
                <w:rFonts w:hint="eastAsia"/>
              </w:rPr>
            </w:pPr>
          </w:p>
        </w:tc>
        <w:tc>
          <w:tcPr>
            <w:tcW w:w="590" w:type="pct"/>
            <w:vMerge w:val="continue"/>
            <w:shd w:val="clear" w:color="auto" w:fill="auto"/>
            <w:vAlign w:val="center"/>
          </w:tcPr>
          <w:p w14:paraId="17C14DF2">
            <w:pPr>
              <w:pStyle w:val="41"/>
              <w:rPr>
                <w:rFonts w:hint="eastAsia"/>
              </w:rPr>
            </w:pPr>
          </w:p>
        </w:tc>
        <w:tc>
          <w:tcPr>
            <w:tcW w:w="2874" w:type="pct"/>
            <w:shd w:val="clear" w:color="auto" w:fill="auto"/>
            <w:vAlign w:val="center"/>
          </w:tcPr>
          <w:p w14:paraId="6DD7FAA7">
            <w:pPr>
              <w:pStyle w:val="41"/>
              <w:jc w:val="left"/>
              <w:rPr>
                <w:rFonts w:hint="eastAsia"/>
              </w:rPr>
            </w:pPr>
            <w:r>
              <w:rPr>
                <w:rFonts w:hint="eastAsia"/>
              </w:rPr>
              <w:t>2.2户内燃气橡胶软管存在变硬变脆、龟裂、明显缺损、油污严重等老化破损现象或使用不合格产品，一年内未经燃气公司查验，存在燃气泄漏风险。</w:t>
            </w:r>
          </w:p>
        </w:tc>
        <w:tc>
          <w:tcPr>
            <w:tcW w:w="682" w:type="pct"/>
            <w:shd w:val="clear" w:color="auto" w:fill="auto"/>
            <w:vAlign w:val="center"/>
          </w:tcPr>
          <w:p w14:paraId="11B7CC49">
            <w:pPr>
              <w:pStyle w:val="41"/>
              <w:rPr>
                <w:rFonts w:hint="eastAsia"/>
              </w:rPr>
            </w:pPr>
            <w:r>
              <w:rPr>
                <w:rFonts w:hint="eastAsia"/>
              </w:rPr>
              <w:t>0</w:t>
            </w:r>
          </w:p>
        </w:tc>
      </w:tr>
      <w:tr w14:paraId="693D0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4578D934">
            <w:pPr>
              <w:pStyle w:val="41"/>
              <w:rPr>
                <w:rFonts w:hint="eastAsia"/>
              </w:rPr>
            </w:pPr>
          </w:p>
        </w:tc>
        <w:tc>
          <w:tcPr>
            <w:tcW w:w="564" w:type="pct"/>
            <w:vMerge w:val="continue"/>
            <w:shd w:val="clear" w:color="auto" w:fill="auto"/>
            <w:vAlign w:val="center"/>
          </w:tcPr>
          <w:p w14:paraId="483177C8">
            <w:pPr>
              <w:pStyle w:val="41"/>
              <w:rPr>
                <w:rFonts w:hint="eastAsia"/>
              </w:rPr>
            </w:pPr>
          </w:p>
        </w:tc>
        <w:tc>
          <w:tcPr>
            <w:tcW w:w="590" w:type="pct"/>
            <w:vMerge w:val="continue"/>
            <w:shd w:val="clear" w:color="auto" w:fill="auto"/>
            <w:vAlign w:val="center"/>
          </w:tcPr>
          <w:p w14:paraId="2CCD0FF8">
            <w:pPr>
              <w:pStyle w:val="41"/>
              <w:rPr>
                <w:rFonts w:hint="eastAsia"/>
              </w:rPr>
            </w:pPr>
          </w:p>
        </w:tc>
        <w:tc>
          <w:tcPr>
            <w:tcW w:w="2874" w:type="pct"/>
            <w:shd w:val="clear" w:color="auto" w:fill="auto"/>
            <w:vAlign w:val="center"/>
          </w:tcPr>
          <w:p w14:paraId="51EA6E8A">
            <w:pPr>
              <w:pStyle w:val="41"/>
              <w:jc w:val="left"/>
              <w:rPr>
                <w:rFonts w:hint="eastAsia"/>
              </w:rPr>
            </w:pPr>
            <w:r>
              <w:rPr>
                <w:rFonts w:hint="eastAsia"/>
              </w:rPr>
              <w:t>2.3住户私改私接燃气管道，燃气器具无熄火保护装置，未安装燃气自闭阀，未安装燃气报警器。</w:t>
            </w:r>
          </w:p>
        </w:tc>
        <w:tc>
          <w:tcPr>
            <w:tcW w:w="682" w:type="pct"/>
            <w:shd w:val="clear" w:color="auto" w:fill="auto"/>
            <w:vAlign w:val="center"/>
          </w:tcPr>
          <w:p w14:paraId="299F8EFB">
            <w:pPr>
              <w:pStyle w:val="41"/>
              <w:rPr>
                <w:rFonts w:hint="eastAsia"/>
              </w:rPr>
            </w:pPr>
            <w:r>
              <w:rPr>
                <w:rFonts w:hint="eastAsia"/>
              </w:rPr>
              <w:t>0</w:t>
            </w:r>
          </w:p>
        </w:tc>
      </w:tr>
      <w:tr w14:paraId="684BA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66462F8E">
            <w:pPr>
              <w:pStyle w:val="41"/>
              <w:rPr>
                <w:rFonts w:hint="eastAsia"/>
              </w:rPr>
            </w:pPr>
            <w:r>
              <w:rPr>
                <w:rFonts w:hint="eastAsia"/>
              </w:rPr>
              <w:t>3</w:t>
            </w:r>
          </w:p>
        </w:tc>
        <w:tc>
          <w:tcPr>
            <w:tcW w:w="564" w:type="pct"/>
            <w:vMerge w:val="restart"/>
            <w:shd w:val="clear" w:color="auto" w:fill="auto"/>
            <w:vAlign w:val="center"/>
          </w:tcPr>
          <w:p w14:paraId="2D9B577E">
            <w:pPr>
              <w:pStyle w:val="41"/>
              <w:rPr>
                <w:rFonts w:hint="eastAsia"/>
              </w:rPr>
            </w:pPr>
            <w:r>
              <w:rPr>
                <w:rFonts w:hint="eastAsia"/>
              </w:rPr>
              <w:t>存在楼道安全隐患的住宅数量（栋）</w:t>
            </w:r>
          </w:p>
        </w:tc>
        <w:tc>
          <w:tcPr>
            <w:tcW w:w="590" w:type="pct"/>
            <w:vMerge w:val="restart"/>
            <w:shd w:val="clear" w:color="auto" w:fill="auto"/>
            <w:vAlign w:val="center"/>
          </w:tcPr>
          <w:p w14:paraId="3B784EBF">
            <w:pPr>
              <w:pStyle w:val="41"/>
              <w:rPr>
                <w:rFonts w:hint="eastAsia"/>
              </w:rPr>
            </w:pPr>
            <w:r>
              <w:rPr>
                <w:rFonts w:hint="eastAsia"/>
              </w:rPr>
              <w:t>1278</w:t>
            </w:r>
          </w:p>
        </w:tc>
        <w:tc>
          <w:tcPr>
            <w:tcW w:w="2874" w:type="pct"/>
            <w:shd w:val="clear" w:color="auto" w:fill="auto"/>
            <w:vAlign w:val="center"/>
          </w:tcPr>
          <w:p w14:paraId="1171C44A">
            <w:pPr>
              <w:pStyle w:val="41"/>
              <w:jc w:val="left"/>
              <w:rPr>
                <w:rFonts w:hint="eastAsia"/>
              </w:rPr>
            </w:pPr>
            <w:r>
              <w:rPr>
                <w:rFonts w:hint="eastAsia"/>
              </w:rPr>
              <w:t>3.1楼梯踏步缺损、楼梯扶手松动损坏、照明损坏缺失、安全护栏松动损坏或缺失的住宅数量</w:t>
            </w:r>
          </w:p>
        </w:tc>
        <w:tc>
          <w:tcPr>
            <w:tcW w:w="682" w:type="pct"/>
            <w:shd w:val="clear" w:color="auto" w:fill="auto"/>
            <w:vAlign w:val="center"/>
          </w:tcPr>
          <w:p w14:paraId="5484089F">
            <w:pPr>
              <w:pStyle w:val="41"/>
              <w:rPr>
                <w:rFonts w:hint="eastAsia"/>
              </w:rPr>
            </w:pPr>
            <w:r>
              <w:rPr>
                <w:rFonts w:hint="eastAsia"/>
              </w:rPr>
              <w:t>270</w:t>
            </w:r>
          </w:p>
        </w:tc>
      </w:tr>
      <w:tr w14:paraId="19A5F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A93DA21">
            <w:pPr>
              <w:pStyle w:val="41"/>
              <w:rPr>
                <w:rFonts w:hint="eastAsia"/>
              </w:rPr>
            </w:pPr>
          </w:p>
        </w:tc>
        <w:tc>
          <w:tcPr>
            <w:tcW w:w="564" w:type="pct"/>
            <w:vMerge w:val="continue"/>
            <w:shd w:val="clear" w:color="auto" w:fill="auto"/>
            <w:vAlign w:val="center"/>
          </w:tcPr>
          <w:p w14:paraId="5523FF2D">
            <w:pPr>
              <w:pStyle w:val="41"/>
              <w:rPr>
                <w:rFonts w:hint="eastAsia"/>
              </w:rPr>
            </w:pPr>
          </w:p>
        </w:tc>
        <w:tc>
          <w:tcPr>
            <w:tcW w:w="590" w:type="pct"/>
            <w:vMerge w:val="continue"/>
            <w:shd w:val="clear" w:color="auto" w:fill="auto"/>
            <w:vAlign w:val="center"/>
          </w:tcPr>
          <w:p w14:paraId="61013D5C">
            <w:pPr>
              <w:pStyle w:val="41"/>
              <w:rPr>
                <w:rFonts w:hint="eastAsia"/>
              </w:rPr>
            </w:pPr>
          </w:p>
        </w:tc>
        <w:tc>
          <w:tcPr>
            <w:tcW w:w="2874" w:type="pct"/>
            <w:shd w:val="clear" w:color="auto" w:fill="auto"/>
            <w:vAlign w:val="center"/>
          </w:tcPr>
          <w:p w14:paraId="079BCE5D">
            <w:pPr>
              <w:pStyle w:val="41"/>
              <w:jc w:val="left"/>
              <w:rPr>
                <w:rFonts w:hint="eastAsia"/>
              </w:rPr>
            </w:pPr>
            <w:r>
              <w:rPr>
                <w:rFonts w:hint="eastAsia"/>
              </w:rPr>
              <w:t>3.2通风井道、排风烟道等堵塞，造成通风不畅、异味串味的住宅数量</w:t>
            </w:r>
          </w:p>
        </w:tc>
        <w:tc>
          <w:tcPr>
            <w:tcW w:w="682" w:type="pct"/>
            <w:shd w:val="clear" w:color="auto" w:fill="auto"/>
            <w:vAlign w:val="center"/>
          </w:tcPr>
          <w:p w14:paraId="7F487463">
            <w:pPr>
              <w:pStyle w:val="41"/>
              <w:rPr>
                <w:rFonts w:hint="eastAsia"/>
              </w:rPr>
            </w:pPr>
            <w:r>
              <w:rPr>
                <w:rFonts w:hint="eastAsia"/>
              </w:rPr>
              <w:t>85</w:t>
            </w:r>
          </w:p>
        </w:tc>
      </w:tr>
      <w:tr w14:paraId="3E392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0F5E56AA">
            <w:pPr>
              <w:pStyle w:val="41"/>
              <w:rPr>
                <w:rFonts w:hint="eastAsia"/>
              </w:rPr>
            </w:pPr>
          </w:p>
        </w:tc>
        <w:tc>
          <w:tcPr>
            <w:tcW w:w="564" w:type="pct"/>
            <w:vMerge w:val="continue"/>
            <w:shd w:val="clear" w:color="auto" w:fill="auto"/>
            <w:vAlign w:val="center"/>
          </w:tcPr>
          <w:p w14:paraId="312F749A">
            <w:pPr>
              <w:pStyle w:val="41"/>
              <w:rPr>
                <w:rFonts w:hint="eastAsia"/>
              </w:rPr>
            </w:pPr>
          </w:p>
        </w:tc>
        <w:tc>
          <w:tcPr>
            <w:tcW w:w="590" w:type="pct"/>
            <w:vMerge w:val="continue"/>
            <w:shd w:val="clear" w:color="auto" w:fill="auto"/>
            <w:vAlign w:val="center"/>
          </w:tcPr>
          <w:p w14:paraId="0498FE4F">
            <w:pPr>
              <w:pStyle w:val="41"/>
              <w:rPr>
                <w:rFonts w:hint="eastAsia"/>
              </w:rPr>
            </w:pPr>
          </w:p>
        </w:tc>
        <w:tc>
          <w:tcPr>
            <w:tcW w:w="2874" w:type="pct"/>
            <w:shd w:val="clear" w:color="auto" w:fill="auto"/>
            <w:vAlign w:val="center"/>
          </w:tcPr>
          <w:p w14:paraId="7C60BF50">
            <w:pPr>
              <w:pStyle w:val="41"/>
              <w:jc w:val="left"/>
              <w:rPr>
                <w:rFonts w:hint="eastAsia"/>
              </w:rPr>
            </w:pPr>
            <w:r>
              <w:rPr>
                <w:rFonts w:hint="eastAsia"/>
              </w:rPr>
              <w:t>3.3防火门缺失、损坏、无法关闭的住宅数量</w:t>
            </w:r>
          </w:p>
        </w:tc>
        <w:tc>
          <w:tcPr>
            <w:tcW w:w="682" w:type="pct"/>
            <w:shd w:val="clear" w:color="auto" w:fill="auto"/>
            <w:vAlign w:val="center"/>
          </w:tcPr>
          <w:p w14:paraId="26985D1F">
            <w:pPr>
              <w:pStyle w:val="41"/>
              <w:rPr>
                <w:rFonts w:hint="eastAsia"/>
              </w:rPr>
            </w:pPr>
            <w:r>
              <w:rPr>
                <w:rFonts w:hint="eastAsia"/>
              </w:rPr>
              <w:t>229</w:t>
            </w:r>
          </w:p>
        </w:tc>
      </w:tr>
      <w:tr w14:paraId="3AA77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1BBD6BA">
            <w:pPr>
              <w:pStyle w:val="41"/>
              <w:rPr>
                <w:rFonts w:hint="eastAsia"/>
              </w:rPr>
            </w:pPr>
          </w:p>
        </w:tc>
        <w:tc>
          <w:tcPr>
            <w:tcW w:w="564" w:type="pct"/>
            <w:vMerge w:val="continue"/>
            <w:shd w:val="clear" w:color="auto" w:fill="auto"/>
            <w:vAlign w:val="center"/>
          </w:tcPr>
          <w:p w14:paraId="0E297E4E">
            <w:pPr>
              <w:pStyle w:val="41"/>
              <w:rPr>
                <w:rFonts w:hint="eastAsia"/>
              </w:rPr>
            </w:pPr>
          </w:p>
        </w:tc>
        <w:tc>
          <w:tcPr>
            <w:tcW w:w="590" w:type="pct"/>
            <w:vMerge w:val="continue"/>
            <w:shd w:val="clear" w:color="auto" w:fill="auto"/>
            <w:vAlign w:val="center"/>
          </w:tcPr>
          <w:p w14:paraId="68DF3CEB">
            <w:pPr>
              <w:pStyle w:val="41"/>
              <w:rPr>
                <w:rFonts w:hint="eastAsia"/>
              </w:rPr>
            </w:pPr>
          </w:p>
        </w:tc>
        <w:tc>
          <w:tcPr>
            <w:tcW w:w="2874" w:type="pct"/>
            <w:shd w:val="clear" w:color="auto" w:fill="auto"/>
            <w:vAlign w:val="center"/>
          </w:tcPr>
          <w:p w14:paraId="5730E141">
            <w:pPr>
              <w:pStyle w:val="41"/>
              <w:jc w:val="left"/>
              <w:rPr>
                <w:rFonts w:hint="eastAsia"/>
              </w:rPr>
            </w:pPr>
            <w:r>
              <w:rPr>
                <w:rFonts w:hint="eastAsia"/>
              </w:rPr>
              <w:t>3.4消火栓无日常维护、老化损坏的住宅数量</w:t>
            </w:r>
          </w:p>
        </w:tc>
        <w:tc>
          <w:tcPr>
            <w:tcW w:w="682" w:type="pct"/>
            <w:shd w:val="clear" w:color="auto" w:fill="auto"/>
            <w:vAlign w:val="center"/>
          </w:tcPr>
          <w:p w14:paraId="093E6B4F">
            <w:pPr>
              <w:pStyle w:val="41"/>
              <w:rPr>
                <w:rFonts w:hint="eastAsia"/>
              </w:rPr>
            </w:pPr>
            <w:r>
              <w:rPr>
                <w:rFonts w:hint="eastAsia"/>
              </w:rPr>
              <w:t>208</w:t>
            </w:r>
          </w:p>
        </w:tc>
      </w:tr>
      <w:tr w14:paraId="13C9E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448EA89B">
            <w:pPr>
              <w:pStyle w:val="41"/>
              <w:rPr>
                <w:rFonts w:hint="eastAsia"/>
              </w:rPr>
            </w:pPr>
          </w:p>
        </w:tc>
        <w:tc>
          <w:tcPr>
            <w:tcW w:w="564" w:type="pct"/>
            <w:vMerge w:val="continue"/>
            <w:shd w:val="clear" w:color="auto" w:fill="auto"/>
            <w:vAlign w:val="center"/>
          </w:tcPr>
          <w:p w14:paraId="2FE70FB6">
            <w:pPr>
              <w:pStyle w:val="41"/>
              <w:rPr>
                <w:rFonts w:hint="eastAsia"/>
              </w:rPr>
            </w:pPr>
          </w:p>
        </w:tc>
        <w:tc>
          <w:tcPr>
            <w:tcW w:w="590" w:type="pct"/>
            <w:vMerge w:val="continue"/>
            <w:shd w:val="clear" w:color="auto" w:fill="auto"/>
            <w:vAlign w:val="center"/>
          </w:tcPr>
          <w:p w14:paraId="4E5284F2">
            <w:pPr>
              <w:pStyle w:val="41"/>
              <w:rPr>
                <w:rFonts w:hint="eastAsia"/>
              </w:rPr>
            </w:pPr>
          </w:p>
        </w:tc>
        <w:tc>
          <w:tcPr>
            <w:tcW w:w="2874" w:type="pct"/>
            <w:shd w:val="clear" w:color="auto" w:fill="auto"/>
            <w:vAlign w:val="center"/>
          </w:tcPr>
          <w:p w14:paraId="4EC30ADC">
            <w:pPr>
              <w:pStyle w:val="41"/>
              <w:jc w:val="left"/>
              <w:rPr>
                <w:rFonts w:hint="eastAsia"/>
              </w:rPr>
            </w:pPr>
            <w:r>
              <w:rPr>
                <w:rFonts w:hint="eastAsia"/>
              </w:rPr>
              <w:t>3.5灭火器缺失、未设置灭火器保护设施的住宅数量</w:t>
            </w:r>
          </w:p>
        </w:tc>
        <w:tc>
          <w:tcPr>
            <w:tcW w:w="682" w:type="pct"/>
            <w:shd w:val="clear" w:color="auto" w:fill="auto"/>
            <w:vAlign w:val="center"/>
          </w:tcPr>
          <w:p w14:paraId="2B8476AF">
            <w:pPr>
              <w:pStyle w:val="41"/>
              <w:rPr>
                <w:rFonts w:hint="eastAsia"/>
              </w:rPr>
            </w:pPr>
            <w:r>
              <w:rPr>
                <w:rFonts w:hint="eastAsia"/>
              </w:rPr>
              <w:t>215</w:t>
            </w:r>
          </w:p>
        </w:tc>
      </w:tr>
      <w:tr w14:paraId="576A3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448189B7">
            <w:pPr>
              <w:pStyle w:val="41"/>
              <w:rPr>
                <w:rFonts w:hint="eastAsia"/>
              </w:rPr>
            </w:pPr>
          </w:p>
        </w:tc>
        <w:tc>
          <w:tcPr>
            <w:tcW w:w="564" w:type="pct"/>
            <w:vMerge w:val="continue"/>
            <w:shd w:val="clear" w:color="auto" w:fill="auto"/>
            <w:vAlign w:val="center"/>
          </w:tcPr>
          <w:p w14:paraId="388D0E51">
            <w:pPr>
              <w:pStyle w:val="41"/>
              <w:rPr>
                <w:rFonts w:hint="eastAsia"/>
              </w:rPr>
            </w:pPr>
          </w:p>
        </w:tc>
        <w:tc>
          <w:tcPr>
            <w:tcW w:w="590" w:type="pct"/>
            <w:vMerge w:val="continue"/>
            <w:shd w:val="clear" w:color="auto" w:fill="auto"/>
            <w:vAlign w:val="center"/>
          </w:tcPr>
          <w:p w14:paraId="166B154A">
            <w:pPr>
              <w:pStyle w:val="41"/>
              <w:rPr>
                <w:rFonts w:hint="eastAsia"/>
              </w:rPr>
            </w:pPr>
          </w:p>
        </w:tc>
        <w:tc>
          <w:tcPr>
            <w:tcW w:w="2874" w:type="pct"/>
            <w:shd w:val="clear" w:color="auto" w:fill="auto"/>
            <w:vAlign w:val="center"/>
          </w:tcPr>
          <w:p w14:paraId="251C85E3">
            <w:pPr>
              <w:pStyle w:val="41"/>
              <w:jc w:val="left"/>
              <w:rPr>
                <w:rFonts w:hint="eastAsia"/>
              </w:rPr>
            </w:pPr>
            <w:r>
              <w:rPr>
                <w:rFonts w:hint="eastAsia"/>
              </w:rPr>
              <w:t>3.6消防安全出口指示灯损坏或者缺失的住宅数量</w:t>
            </w:r>
          </w:p>
        </w:tc>
        <w:tc>
          <w:tcPr>
            <w:tcW w:w="682" w:type="pct"/>
            <w:shd w:val="clear" w:color="auto" w:fill="auto"/>
            <w:vAlign w:val="center"/>
          </w:tcPr>
          <w:p w14:paraId="52490C50">
            <w:pPr>
              <w:pStyle w:val="41"/>
              <w:rPr>
                <w:rFonts w:hint="eastAsia"/>
              </w:rPr>
            </w:pPr>
            <w:r>
              <w:rPr>
                <w:rFonts w:hint="eastAsia"/>
              </w:rPr>
              <w:t>643</w:t>
            </w:r>
          </w:p>
        </w:tc>
      </w:tr>
      <w:tr w14:paraId="66F1A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1FF61C2E">
            <w:pPr>
              <w:pStyle w:val="41"/>
              <w:rPr>
                <w:rFonts w:hint="eastAsia"/>
              </w:rPr>
            </w:pPr>
          </w:p>
        </w:tc>
        <w:tc>
          <w:tcPr>
            <w:tcW w:w="564" w:type="pct"/>
            <w:vMerge w:val="continue"/>
            <w:shd w:val="clear" w:color="auto" w:fill="auto"/>
            <w:vAlign w:val="center"/>
          </w:tcPr>
          <w:p w14:paraId="3FA3C96F">
            <w:pPr>
              <w:pStyle w:val="41"/>
              <w:rPr>
                <w:rFonts w:hint="eastAsia"/>
              </w:rPr>
            </w:pPr>
          </w:p>
        </w:tc>
        <w:tc>
          <w:tcPr>
            <w:tcW w:w="590" w:type="pct"/>
            <w:vMerge w:val="continue"/>
            <w:shd w:val="clear" w:color="auto" w:fill="auto"/>
            <w:vAlign w:val="center"/>
          </w:tcPr>
          <w:p w14:paraId="09736E0F">
            <w:pPr>
              <w:pStyle w:val="41"/>
              <w:rPr>
                <w:rFonts w:hint="eastAsia"/>
              </w:rPr>
            </w:pPr>
          </w:p>
        </w:tc>
        <w:tc>
          <w:tcPr>
            <w:tcW w:w="2874" w:type="pct"/>
            <w:shd w:val="clear" w:color="auto" w:fill="auto"/>
            <w:vAlign w:val="center"/>
          </w:tcPr>
          <w:p w14:paraId="2C51FAE9">
            <w:pPr>
              <w:pStyle w:val="41"/>
              <w:jc w:val="left"/>
              <w:rPr>
                <w:rFonts w:hint="eastAsia"/>
              </w:rPr>
            </w:pPr>
            <w:r>
              <w:rPr>
                <w:rFonts w:hint="eastAsia"/>
              </w:rPr>
              <w:t>3.7住户占用疏散楼梯、楼道、管道井等公共空间，用于堆放杂物的住宅数量</w:t>
            </w:r>
          </w:p>
        </w:tc>
        <w:tc>
          <w:tcPr>
            <w:tcW w:w="682" w:type="pct"/>
            <w:shd w:val="clear" w:color="auto" w:fill="auto"/>
            <w:vAlign w:val="center"/>
          </w:tcPr>
          <w:p w14:paraId="60137EBB">
            <w:pPr>
              <w:pStyle w:val="41"/>
              <w:rPr>
                <w:rFonts w:hint="eastAsia"/>
              </w:rPr>
            </w:pPr>
            <w:r>
              <w:rPr>
                <w:rFonts w:hint="eastAsia"/>
              </w:rPr>
              <w:t>929</w:t>
            </w:r>
          </w:p>
        </w:tc>
      </w:tr>
      <w:tr w14:paraId="6E92A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60A220E4">
            <w:pPr>
              <w:pStyle w:val="41"/>
              <w:rPr>
                <w:rFonts w:hint="eastAsia"/>
              </w:rPr>
            </w:pPr>
          </w:p>
        </w:tc>
        <w:tc>
          <w:tcPr>
            <w:tcW w:w="564" w:type="pct"/>
            <w:vMerge w:val="continue"/>
            <w:shd w:val="clear" w:color="auto" w:fill="auto"/>
            <w:vAlign w:val="center"/>
          </w:tcPr>
          <w:p w14:paraId="46D4BBBF">
            <w:pPr>
              <w:pStyle w:val="41"/>
              <w:rPr>
                <w:rFonts w:hint="eastAsia"/>
              </w:rPr>
            </w:pPr>
          </w:p>
        </w:tc>
        <w:tc>
          <w:tcPr>
            <w:tcW w:w="590" w:type="pct"/>
            <w:vMerge w:val="continue"/>
            <w:shd w:val="clear" w:color="auto" w:fill="auto"/>
            <w:vAlign w:val="center"/>
          </w:tcPr>
          <w:p w14:paraId="6A335DF5">
            <w:pPr>
              <w:pStyle w:val="41"/>
              <w:rPr>
                <w:rFonts w:hint="eastAsia"/>
              </w:rPr>
            </w:pPr>
          </w:p>
        </w:tc>
        <w:tc>
          <w:tcPr>
            <w:tcW w:w="2874" w:type="pct"/>
            <w:shd w:val="clear" w:color="auto" w:fill="auto"/>
            <w:vAlign w:val="center"/>
          </w:tcPr>
          <w:p w14:paraId="4FA87C76">
            <w:pPr>
              <w:pStyle w:val="41"/>
              <w:jc w:val="left"/>
              <w:rPr>
                <w:rFonts w:hint="eastAsia"/>
              </w:rPr>
            </w:pPr>
            <w:r>
              <w:rPr>
                <w:rFonts w:hint="eastAsia"/>
              </w:rPr>
              <w:t>3.8公共楼道停放自行车、电动自行车以及违规充电</w:t>
            </w:r>
          </w:p>
        </w:tc>
        <w:tc>
          <w:tcPr>
            <w:tcW w:w="682" w:type="pct"/>
            <w:shd w:val="clear" w:color="auto" w:fill="auto"/>
            <w:vAlign w:val="center"/>
          </w:tcPr>
          <w:p w14:paraId="0DBB8965">
            <w:pPr>
              <w:pStyle w:val="41"/>
              <w:rPr>
                <w:rFonts w:hint="eastAsia"/>
              </w:rPr>
            </w:pPr>
            <w:r>
              <w:rPr>
                <w:rFonts w:hint="eastAsia"/>
              </w:rPr>
              <w:t>662</w:t>
            </w:r>
          </w:p>
        </w:tc>
      </w:tr>
      <w:tr w14:paraId="7BB9E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0B687A80">
            <w:pPr>
              <w:pStyle w:val="41"/>
              <w:rPr>
                <w:rFonts w:hint="eastAsia"/>
              </w:rPr>
            </w:pPr>
            <w:r>
              <w:rPr>
                <w:rFonts w:hint="eastAsia"/>
              </w:rPr>
              <w:t>4</w:t>
            </w:r>
          </w:p>
        </w:tc>
        <w:tc>
          <w:tcPr>
            <w:tcW w:w="564" w:type="pct"/>
            <w:vMerge w:val="restart"/>
            <w:shd w:val="clear" w:color="auto" w:fill="auto"/>
            <w:vAlign w:val="center"/>
          </w:tcPr>
          <w:p w14:paraId="42303CAB">
            <w:pPr>
              <w:pStyle w:val="41"/>
              <w:rPr>
                <w:rFonts w:hint="eastAsia"/>
              </w:rPr>
            </w:pPr>
            <w:r>
              <w:rPr>
                <w:rFonts w:hint="eastAsia"/>
              </w:rPr>
              <w:t>存在围护安全隐患的住宅数量（栋）</w:t>
            </w:r>
          </w:p>
        </w:tc>
        <w:tc>
          <w:tcPr>
            <w:tcW w:w="590" w:type="pct"/>
            <w:vMerge w:val="restart"/>
            <w:shd w:val="clear" w:color="auto" w:fill="auto"/>
            <w:vAlign w:val="center"/>
          </w:tcPr>
          <w:p w14:paraId="4F94407D">
            <w:pPr>
              <w:pStyle w:val="41"/>
              <w:rPr>
                <w:rFonts w:hint="eastAsia"/>
              </w:rPr>
            </w:pPr>
            <w:r>
              <w:rPr>
                <w:rFonts w:hint="eastAsia"/>
              </w:rPr>
              <w:t>958</w:t>
            </w:r>
          </w:p>
        </w:tc>
        <w:tc>
          <w:tcPr>
            <w:tcW w:w="2874" w:type="pct"/>
            <w:shd w:val="clear" w:color="auto" w:fill="auto"/>
            <w:vAlign w:val="center"/>
          </w:tcPr>
          <w:p w14:paraId="057AE97C">
            <w:pPr>
              <w:pStyle w:val="41"/>
              <w:jc w:val="left"/>
              <w:rPr>
                <w:rFonts w:hint="eastAsia"/>
              </w:rPr>
            </w:pPr>
            <w:r>
              <w:rPr>
                <w:rFonts w:hint="eastAsia"/>
              </w:rPr>
              <w:t>4.1外墙装饰材料和保温材料开裂、损坏、脱落的住宅数量</w:t>
            </w:r>
          </w:p>
        </w:tc>
        <w:tc>
          <w:tcPr>
            <w:tcW w:w="682" w:type="pct"/>
            <w:shd w:val="clear" w:color="auto" w:fill="auto"/>
            <w:vAlign w:val="center"/>
          </w:tcPr>
          <w:p w14:paraId="575BE701">
            <w:pPr>
              <w:pStyle w:val="41"/>
              <w:rPr>
                <w:rFonts w:hint="eastAsia"/>
              </w:rPr>
            </w:pPr>
            <w:r>
              <w:rPr>
                <w:rFonts w:hint="eastAsia"/>
              </w:rPr>
              <w:t>514</w:t>
            </w:r>
          </w:p>
        </w:tc>
      </w:tr>
      <w:tr w14:paraId="26B4E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2669FC99">
            <w:pPr>
              <w:pStyle w:val="41"/>
              <w:rPr>
                <w:rFonts w:hint="eastAsia"/>
              </w:rPr>
            </w:pPr>
          </w:p>
        </w:tc>
        <w:tc>
          <w:tcPr>
            <w:tcW w:w="564" w:type="pct"/>
            <w:vMerge w:val="continue"/>
            <w:shd w:val="clear" w:color="auto" w:fill="auto"/>
            <w:vAlign w:val="center"/>
          </w:tcPr>
          <w:p w14:paraId="4B0C4DBA">
            <w:pPr>
              <w:pStyle w:val="41"/>
              <w:rPr>
                <w:rFonts w:hint="eastAsia"/>
              </w:rPr>
            </w:pPr>
          </w:p>
        </w:tc>
        <w:tc>
          <w:tcPr>
            <w:tcW w:w="590" w:type="pct"/>
            <w:vMerge w:val="continue"/>
            <w:shd w:val="clear" w:color="auto" w:fill="auto"/>
            <w:vAlign w:val="center"/>
          </w:tcPr>
          <w:p w14:paraId="320EB1BC">
            <w:pPr>
              <w:pStyle w:val="41"/>
              <w:rPr>
                <w:rFonts w:hint="eastAsia"/>
              </w:rPr>
            </w:pPr>
          </w:p>
        </w:tc>
        <w:tc>
          <w:tcPr>
            <w:tcW w:w="2874" w:type="pct"/>
            <w:shd w:val="clear" w:color="auto" w:fill="auto"/>
            <w:vAlign w:val="center"/>
          </w:tcPr>
          <w:p w14:paraId="78C558FA">
            <w:pPr>
              <w:pStyle w:val="41"/>
              <w:jc w:val="left"/>
              <w:rPr>
                <w:rFonts w:hint="eastAsia"/>
              </w:rPr>
            </w:pPr>
            <w:r>
              <w:rPr>
                <w:rFonts w:hint="eastAsia"/>
              </w:rPr>
              <w:t>4.2外墙悬挂设施不规范（如过大、过高）或损坏松脱的住宅数量</w:t>
            </w:r>
          </w:p>
        </w:tc>
        <w:tc>
          <w:tcPr>
            <w:tcW w:w="682" w:type="pct"/>
            <w:shd w:val="clear" w:color="auto" w:fill="auto"/>
            <w:vAlign w:val="center"/>
          </w:tcPr>
          <w:p w14:paraId="45F36D4D">
            <w:pPr>
              <w:pStyle w:val="41"/>
              <w:rPr>
                <w:rFonts w:hint="eastAsia"/>
              </w:rPr>
            </w:pPr>
            <w:r>
              <w:rPr>
                <w:rFonts w:hint="eastAsia"/>
              </w:rPr>
              <w:t>116</w:t>
            </w:r>
          </w:p>
        </w:tc>
      </w:tr>
      <w:tr w14:paraId="70C2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0614A31A">
            <w:pPr>
              <w:pStyle w:val="41"/>
              <w:rPr>
                <w:rFonts w:hint="eastAsia"/>
              </w:rPr>
            </w:pPr>
          </w:p>
        </w:tc>
        <w:tc>
          <w:tcPr>
            <w:tcW w:w="564" w:type="pct"/>
            <w:vMerge w:val="continue"/>
            <w:shd w:val="clear" w:color="auto" w:fill="auto"/>
            <w:vAlign w:val="center"/>
          </w:tcPr>
          <w:p w14:paraId="60C1E20D">
            <w:pPr>
              <w:pStyle w:val="41"/>
              <w:rPr>
                <w:rFonts w:hint="eastAsia"/>
              </w:rPr>
            </w:pPr>
          </w:p>
        </w:tc>
        <w:tc>
          <w:tcPr>
            <w:tcW w:w="590" w:type="pct"/>
            <w:vMerge w:val="continue"/>
            <w:shd w:val="clear" w:color="auto" w:fill="auto"/>
            <w:vAlign w:val="center"/>
          </w:tcPr>
          <w:p w14:paraId="090A031D">
            <w:pPr>
              <w:pStyle w:val="41"/>
              <w:rPr>
                <w:rFonts w:hint="eastAsia"/>
              </w:rPr>
            </w:pPr>
          </w:p>
        </w:tc>
        <w:tc>
          <w:tcPr>
            <w:tcW w:w="2874" w:type="pct"/>
            <w:shd w:val="clear" w:color="auto" w:fill="auto"/>
            <w:vAlign w:val="center"/>
          </w:tcPr>
          <w:p w14:paraId="602622B6">
            <w:pPr>
              <w:pStyle w:val="41"/>
              <w:jc w:val="left"/>
              <w:rPr>
                <w:rFonts w:hint="eastAsia"/>
              </w:rPr>
            </w:pPr>
            <w:r>
              <w:rPr>
                <w:rFonts w:hint="eastAsia"/>
              </w:rPr>
              <w:t>4.3门窗玻璃存在破损、脱落的住宅数量</w:t>
            </w:r>
          </w:p>
        </w:tc>
        <w:tc>
          <w:tcPr>
            <w:tcW w:w="682" w:type="pct"/>
            <w:shd w:val="clear" w:color="auto" w:fill="auto"/>
            <w:vAlign w:val="center"/>
          </w:tcPr>
          <w:p w14:paraId="320E7C48">
            <w:pPr>
              <w:pStyle w:val="41"/>
              <w:rPr>
                <w:rFonts w:hint="eastAsia"/>
              </w:rPr>
            </w:pPr>
            <w:r>
              <w:rPr>
                <w:rFonts w:hint="eastAsia"/>
              </w:rPr>
              <w:t>97</w:t>
            </w:r>
          </w:p>
        </w:tc>
      </w:tr>
      <w:tr w14:paraId="3E750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748E01D8">
            <w:pPr>
              <w:pStyle w:val="41"/>
              <w:rPr>
                <w:rFonts w:hint="eastAsia"/>
              </w:rPr>
            </w:pPr>
          </w:p>
        </w:tc>
        <w:tc>
          <w:tcPr>
            <w:tcW w:w="564" w:type="pct"/>
            <w:vMerge w:val="continue"/>
            <w:shd w:val="clear" w:color="auto" w:fill="auto"/>
            <w:vAlign w:val="center"/>
          </w:tcPr>
          <w:p w14:paraId="06E9BBAD">
            <w:pPr>
              <w:pStyle w:val="41"/>
              <w:rPr>
                <w:rFonts w:hint="eastAsia"/>
              </w:rPr>
            </w:pPr>
          </w:p>
        </w:tc>
        <w:tc>
          <w:tcPr>
            <w:tcW w:w="590" w:type="pct"/>
            <w:vMerge w:val="continue"/>
            <w:shd w:val="clear" w:color="auto" w:fill="auto"/>
            <w:vAlign w:val="center"/>
          </w:tcPr>
          <w:p w14:paraId="4FD1873B">
            <w:pPr>
              <w:pStyle w:val="41"/>
              <w:rPr>
                <w:rFonts w:hint="eastAsia"/>
              </w:rPr>
            </w:pPr>
          </w:p>
        </w:tc>
        <w:tc>
          <w:tcPr>
            <w:tcW w:w="2874" w:type="pct"/>
            <w:shd w:val="clear" w:color="auto" w:fill="auto"/>
            <w:vAlign w:val="center"/>
          </w:tcPr>
          <w:p w14:paraId="343DC2CB">
            <w:pPr>
              <w:pStyle w:val="41"/>
              <w:jc w:val="left"/>
              <w:rPr>
                <w:rFonts w:hint="eastAsia"/>
              </w:rPr>
            </w:pPr>
            <w:r>
              <w:rPr>
                <w:rFonts w:hint="eastAsia"/>
              </w:rPr>
              <w:t>4.4屋面排水不畅、漏水的住宅数量</w:t>
            </w:r>
          </w:p>
        </w:tc>
        <w:tc>
          <w:tcPr>
            <w:tcW w:w="682" w:type="pct"/>
            <w:shd w:val="clear" w:color="auto" w:fill="auto"/>
            <w:vAlign w:val="center"/>
          </w:tcPr>
          <w:p w14:paraId="4066AFDA">
            <w:pPr>
              <w:pStyle w:val="41"/>
              <w:rPr>
                <w:rFonts w:hint="eastAsia"/>
              </w:rPr>
            </w:pPr>
            <w:r>
              <w:rPr>
                <w:rFonts w:hint="eastAsia"/>
              </w:rPr>
              <w:t>96</w:t>
            </w:r>
          </w:p>
        </w:tc>
      </w:tr>
      <w:tr w14:paraId="15A15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2B19DA9C">
            <w:pPr>
              <w:pStyle w:val="41"/>
              <w:rPr>
                <w:rFonts w:hint="eastAsia"/>
              </w:rPr>
            </w:pPr>
          </w:p>
        </w:tc>
        <w:tc>
          <w:tcPr>
            <w:tcW w:w="564" w:type="pct"/>
            <w:vMerge w:val="continue"/>
            <w:shd w:val="clear" w:color="auto" w:fill="auto"/>
            <w:vAlign w:val="center"/>
          </w:tcPr>
          <w:p w14:paraId="19E45EF4">
            <w:pPr>
              <w:pStyle w:val="41"/>
              <w:rPr>
                <w:rFonts w:hint="eastAsia"/>
              </w:rPr>
            </w:pPr>
          </w:p>
        </w:tc>
        <w:tc>
          <w:tcPr>
            <w:tcW w:w="590" w:type="pct"/>
            <w:vMerge w:val="continue"/>
            <w:shd w:val="clear" w:color="auto" w:fill="auto"/>
            <w:vAlign w:val="center"/>
          </w:tcPr>
          <w:p w14:paraId="691B66AB">
            <w:pPr>
              <w:pStyle w:val="41"/>
              <w:rPr>
                <w:rFonts w:hint="eastAsia"/>
              </w:rPr>
            </w:pPr>
          </w:p>
        </w:tc>
        <w:tc>
          <w:tcPr>
            <w:tcW w:w="2874" w:type="pct"/>
            <w:shd w:val="clear" w:color="auto" w:fill="auto"/>
            <w:vAlign w:val="center"/>
          </w:tcPr>
          <w:p w14:paraId="5B3E9885">
            <w:pPr>
              <w:pStyle w:val="41"/>
              <w:jc w:val="left"/>
              <w:rPr>
                <w:rFonts w:hint="eastAsia"/>
              </w:rPr>
            </w:pPr>
            <w:r>
              <w:rPr>
                <w:rFonts w:hint="eastAsia"/>
              </w:rPr>
              <w:t>4.5外墙内侧、地下室渗水漏水的住宅数量</w:t>
            </w:r>
          </w:p>
        </w:tc>
        <w:tc>
          <w:tcPr>
            <w:tcW w:w="682" w:type="pct"/>
            <w:shd w:val="clear" w:color="auto" w:fill="auto"/>
            <w:vAlign w:val="center"/>
          </w:tcPr>
          <w:p w14:paraId="0B6DFD76">
            <w:pPr>
              <w:pStyle w:val="41"/>
              <w:rPr>
                <w:rFonts w:hint="eastAsia"/>
              </w:rPr>
            </w:pPr>
            <w:r>
              <w:rPr>
                <w:rFonts w:hint="eastAsia"/>
              </w:rPr>
              <w:t>211</w:t>
            </w:r>
          </w:p>
        </w:tc>
      </w:tr>
      <w:tr w14:paraId="29CE3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69415037">
            <w:pPr>
              <w:pStyle w:val="41"/>
              <w:rPr>
                <w:rFonts w:hint="eastAsia"/>
              </w:rPr>
            </w:pPr>
            <w:r>
              <w:rPr>
                <w:rFonts w:hint="eastAsia"/>
              </w:rPr>
              <w:t>5</w:t>
            </w:r>
          </w:p>
        </w:tc>
        <w:tc>
          <w:tcPr>
            <w:tcW w:w="564" w:type="pct"/>
            <w:vMerge w:val="restart"/>
            <w:shd w:val="clear" w:color="auto" w:fill="auto"/>
            <w:vAlign w:val="center"/>
          </w:tcPr>
          <w:p w14:paraId="09AF3516">
            <w:pPr>
              <w:pStyle w:val="41"/>
              <w:rPr>
                <w:rFonts w:hint="eastAsia"/>
              </w:rPr>
            </w:pPr>
            <w:r>
              <w:rPr>
                <w:rFonts w:hint="eastAsia"/>
              </w:rPr>
              <w:t>非成套住宅数量（栋）</w:t>
            </w:r>
          </w:p>
        </w:tc>
        <w:tc>
          <w:tcPr>
            <w:tcW w:w="590" w:type="pct"/>
            <w:vMerge w:val="restart"/>
            <w:shd w:val="clear" w:color="auto" w:fill="auto"/>
            <w:vAlign w:val="center"/>
          </w:tcPr>
          <w:p w14:paraId="21943E13">
            <w:pPr>
              <w:pStyle w:val="41"/>
              <w:rPr>
                <w:rFonts w:hint="eastAsia"/>
              </w:rPr>
            </w:pPr>
            <w:r>
              <w:rPr>
                <w:rFonts w:hint="eastAsia"/>
              </w:rPr>
              <w:t>5</w:t>
            </w:r>
          </w:p>
        </w:tc>
        <w:tc>
          <w:tcPr>
            <w:tcW w:w="2874" w:type="pct"/>
            <w:shd w:val="clear" w:color="auto" w:fill="auto"/>
            <w:vAlign w:val="center"/>
          </w:tcPr>
          <w:p w14:paraId="4F1E1167">
            <w:pPr>
              <w:pStyle w:val="41"/>
              <w:jc w:val="left"/>
              <w:rPr>
                <w:rFonts w:hint="eastAsia"/>
              </w:rPr>
            </w:pPr>
            <w:r>
              <w:rPr>
                <w:rFonts w:hint="eastAsia"/>
              </w:rPr>
              <w:t>5.1没有独立厨房、卫生间等基本功能空间的住宅数量</w:t>
            </w:r>
          </w:p>
        </w:tc>
        <w:tc>
          <w:tcPr>
            <w:tcW w:w="682" w:type="pct"/>
            <w:shd w:val="clear" w:color="auto" w:fill="auto"/>
            <w:vAlign w:val="center"/>
          </w:tcPr>
          <w:p w14:paraId="4F8E8697">
            <w:pPr>
              <w:pStyle w:val="41"/>
              <w:rPr>
                <w:rFonts w:hint="eastAsia"/>
              </w:rPr>
            </w:pPr>
            <w:r>
              <w:rPr>
                <w:rFonts w:hint="eastAsia"/>
              </w:rPr>
              <w:t>4</w:t>
            </w:r>
          </w:p>
        </w:tc>
      </w:tr>
      <w:tr w14:paraId="75778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67324CDB">
            <w:pPr>
              <w:pStyle w:val="41"/>
              <w:rPr>
                <w:rFonts w:hint="eastAsia"/>
              </w:rPr>
            </w:pPr>
          </w:p>
        </w:tc>
        <w:tc>
          <w:tcPr>
            <w:tcW w:w="564" w:type="pct"/>
            <w:vMerge w:val="continue"/>
            <w:shd w:val="clear" w:color="auto" w:fill="auto"/>
            <w:vAlign w:val="center"/>
          </w:tcPr>
          <w:p w14:paraId="0FBB6718">
            <w:pPr>
              <w:pStyle w:val="41"/>
              <w:rPr>
                <w:rFonts w:hint="eastAsia"/>
              </w:rPr>
            </w:pPr>
          </w:p>
        </w:tc>
        <w:tc>
          <w:tcPr>
            <w:tcW w:w="590" w:type="pct"/>
            <w:vMerge w:val="continue"/>
            <w:shd w:val="clear" w:color="auto" w:fill="auto"/>
            <w:vAlign w:val="center"/>
          </w:tcPr>
          <w:p w14:paraId="236ECF06">
            <w:pPr>
              <w:pStyle w:val="41"/>
              <w:rPr>
                <w:rFonts w:hint="eastAsia"/>
              </w:rPr>
            </w:pPr>
          </w:p>
        </w:tc>
        <w:tc>
          <w:tcPr>
            <w:tcW w:w="2874" w:type="pct"/>
            <w:shd w:val="clear" w:color="auto" w:fill="auto"/>
            <w:vAlign w:val="center"/>
          </w:tcPr>
          <w:p w14:paraId="6D08E1B5">
            <w:pPr>
              <w:pStyle w:val="41"/>
              <w:jc w:val="left"/>
              <w:rPr>
                <w:rFonts w:hint="eastAsia"/>
              </w:rPr>
            </w:pPr>
            <w:r>
              <w:rPr>
                <w:rFonts w:hint="eastAsia"/>
              </w:rPr>
              <w:t>5.2既有住宅在采光、通风等性能方面不达标的住宅数量</w:t>
            </w:r>
          </w:p>
        </w:tc>
        <w:tc>
          <w:tcPr>
            <w:tcW w:w="682" w:type="pct"/>
            <w:shd w:val="clear" w:color="auto" w:fill="auto"/>
            <w:vAlign w:val="center"/>
          </w:tcPr>
          <w:p w14:paraId="08C7D65E">
            <w:pPr>
              <w:pStyle w:val="41"/>
              <w:rPr>
                <w:rFonts w:hint="eastAsia"/>
              </w:rPr>
            </w:pPr>
            <w:r>
              <w:rPr>
                <w:rFonts w:hint="eastAsia"/>
              </w:rPr>
              <w:t>1</w:t>
            </w:r>
          </w:p>
        </w:tc>
      </w:tr>
      <w:tr w14:paraId="31F7F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047B63BC">
            <w:pPr>
              <w:pStyle w:val="41"/>
              <w:rPr>
                <w:rFonts w:hint="eastAsia"/>
              </w:rPr>
            </w:pPr>
            <w:r>
              <w:rPr>
                <w:rFonts w:hint="eastAsia"/>
              </w:rPr>
              <w:t>6</w:t>
            </w:r>
          </w:p>
        </w:tc>
        <w:tc>
          <w:tcPr>
            <w:tcW w:w="564" w:type="pct"/>
            <w:vMerge w:val="restart"/>
            <w:shd w:val="clear" w:color="auto" w:fill="auto"/>
            <w:vAlign w:val="center"/>
          </w:tcPr>
          <w:p w14:paraId="0CADCC96">
            <w:pPr>
              <w:pStyle w:val="41"/>
              <w:rPr>
                <w:rFonts w:hint="eastAsia"/>
              </w:rPr>
            </w:pPr>
            <w:r>
              <w:rPr>
                <w:rFonts w:hint="eastAsia"/>
              </w:rPr>
              <w:t>☆存在管线管道破损的住宅数量（栋）</w:t>
            </w:r>
          </w:p>
        </w:tc>
        <w:tc>
          <w:tcPr>
            <w:tcW w:w="590" w:type="pct"/>
            <w:vMerge w:val="restart"/>
            <w:shd w:val="clear" w:color="auto" w:fill="auto"/>
            <w:vAlign w:val="center"/>
          </w:tcPr>
          <w:p w14:paraId="028E4D32">
            <w:pPr>
              <w:pStyle w:val="41"/>
              <w:rPr>
                <w:rFonts w:hint="eastAsia"/>
              </w:rPr>
            </w:pPr>
            <w:r>
              <w:rPr>
                <w:rFonts w:hint="eastAsia"/>
              </w:rPr>
              <w:t>387</w:t>
            </w:r>
          </w:p>
        </w:tc>
        <w:tc>
          <w:tcPr>
            <w:tcW w:w="2874" w:type="pct"/>
            <w:shd w:val="clear" w:color="auto" w:fill="auto"/>
            <w:vAlign w:val="center"/>
          </w:tcPr>
          <w:p w14:paraId="28341B35">
            <w:pPr>
              <w:pStyle w:val="41"/>
              <w:jc w:val="left"/>
              <w:rPr>
                <w:rFonts w:hint="eastAsia"/>
              </w:rPr>
            </w:pPr>
            <w:r>
              <w:rPr>
                <w:rFonts w:hint="eastAsia"/>
              </w:rPr>
              <w:t>6.1给水管线跑冒滴漏、排水管线老化破损、渗漏堵塞的住宅数量</w:t>
            </w:r>
          </w:p>
        </w:tc>
        <w:tc>
          <w:tcPr>
            <w:tcW w:w="682" w:type="pct"/>
            <w:shd w:val="clear" w:color="auto" w:fill="auto"/>
            <w:vAlign w:val="center"/>
          </w:tcPr>
          <w:p w14:paraId="720481E4">
            <w:pPr>
              <w:pStyle w:val="41"/>
              <w:rPr>
                <w:rFonts w:hint="eastAsia"/>
              </w:rPr>
            </w:pPr>
            <w:r>
              <w:rPr>
                <w:rFonts w:hint="eastAsia"/>
              </w:rPr>
              <w:t>158</w:t>
            </w:r>
          </w:p>
        </w:tc>
      </w:tr>
      <w:tr w14:paraId="79C60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11B81F7C">
            <w:pPr>
              <w:pStyle w:val="41"/>
              <w:rPr>
                <w:rFonts w:hint="eastAsia"/>
              </w:rPr>
            </w:pPr>
          </w:p>
        </w:tc>
        <w:tc>
          <w:tcPr>
            <w:tcW w:w="564" w:type="pct"/>
            <w:vMerge w:val="continue"/>
            <w:shd w:val="clear" w:color="auto" w:fill="auto"/>
            <w:vAlign w:val="center"/>
          </w:tcPr>
          <w:p w14:paraId="5F9C88C0">
            <w:pPr>
              <w:pStyle w:val="41"/>
              <w:rPr>
                <w:rFonts w:hint="eastAsia"/>
              </w:rPr>
            </w:pPr>
          </w:p>
        </w:tc>
        <w:tc>
          <w:tcPr>
            <w:tcW w:w="590" w:type="pct"/>
            <w:vMerge w:val="continue"/>
            <w:shd w:val="clear" w:color="auto" w:fill="auto"/>
            <w:vAlign w:val="center"/>
          </w:tcPr>
          <w:p w14:paraId="13370A24">
            <w:pPr>
              <w:pStyle w:val="41"/>
              <w:rPr>
                <w:rFonts w:hint="eastAsia"/>
              </w:rPr>
            </w:pPr>
          </w:p>
        </w:tc>
        <w:tc>
          <w:tcPr>
            <w:tcW w:w="2874" w:type="pct"/>
            <w:shd w:val="clear" w:color="auto" w:fill="auto"/>
            <w:vAlign w:val="center"/>
          </w:tcPr>
          <w:p w14:paraId="418CB921">
            <w:pPr>
              <w:pStyle w:val="41"/>
              <w:jc w:val="left"/>
              <w:rPr>
                <w:rFonts w:hint="eastAsia"/>
              </w:rPr>
            </w:pPr>
            <w:r>
              <w:rPr>
                <w:rFonts w:hint="eastAsia"/>
              </w:rPr>
              <w:t>6.2因供暖管道漏水、压力不足等原因导致采暖季温度不达标的住宅数量</w:t>
            </w:r>
          </w:p>
        </w:tc>
        <w:tc>
          <w:tcPr>
            <w:tcW w:w="682" w:type="pct"/>
            <w:shd w:val="clear" w:color="auto" w:fill="auto"/>
            <w:vAlign w:val="center"/>
          </w:tcPr>
          <w:p w14:paraId="4EA70DB7">
            <w:pPr>
              <w:pStyle w:val="41"/>
              <w:rPr>
                <w:rFonts w:hint="eastAsia"/>
              </w:rPr>
            </w:pPr>
            <w:r>
              <w:rPr>
                <w:rFonts w:hint="eastAsia"/>
              </w:rPr>
              <w:t>109</w:t>
            </w:r>
          </w:p>
        </w:tc>
      </w:tr>
      <w:tr w14:paraId="2A0DB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C0BDC86">
            <w:pPr>
              <w:pStyle w:val="41"/>
              <w:rPr>
                <w:rFonts w:hint="eastAsia"/>
              </w:rPr>
            </w:pPr>
          </w:p>
        </w:tc>
        <w:tc>
          <w:tcPr>
            <w:tcW w:w="564" w:type="pct"/>
            <w:vMerge w:val="continue"/>
            <w:shd w:val="clear" w:color="auto" w:fill="auto"/>
            <w:vAlign w:val="center"/>
          </w:tcPr>
          <w:p w14:paraId="2E17C2B1">
            <w:pPr>
              <w:pStyle w:val="41"/>
              <w:rPr>
                <w:rFonts w:hint="eastAsia"/>
              </w:rPr>
            </w:pPr>
          </w:p>
        </w:tc>
        <w:tc>
          <w:tcPr>
            <w:tcW w:w="590" w:type="pct"/>
            <w:vMerge w:val="continue"/>
            <w:shd w:val="clear" w:color="auto" w:fill="auto"/>
            <w:vAlign w:val="center"/>
          </w:tcPr>
          <w:p w14:paraId="6094DB1D">
            <w:pPr>
              <w:pStyle w:val="41"/>
              <w:rPr>
                <w:rFonts w:hint="eastAsia"/>
              </w:rPr>
            </w:pPr>
          </w:p>
        </w:tc>
        <w:tc>
          <w:tcPr>
            <w:tcW w:w="2874" w:type="pct"/>
            <w:shd w:val="clear" w:color="auto" w:fill="auto"/>
            <w:vAlign w:val="center"/>
          </w:tcPr>
          <w:p w14:paraId="49A6C712">
            <w:pPr>
              <w:pStyle w:val="41"/>
              <w:jc w:val="left"/>
              <w:rPr>
                <w:rFonts w:hint="eastAsia"/>
              </w:rPr>
            </w:pPr>
            <w:r>
              <w:rPr>
                <w:rFonts w:hint="eastAsia"/>
              </w:rPr>
              <w:t>6.3电力电信管线老化破损及裸露、私搭乱接的住宅数量</w:t>
            </w:r>
          </w:p>
        </w:tc>
        <w:tc>
          <w:tcPr>
            <w:tcW w:w="682" w:type="pct"/>
            <w:shd w:val="clear" w:color="auto" w:fill="auto"/>
            <w:vAlign w:val="center"/>
          </w:tcPr>
          <w:p w14:paraId="1E2FC7B8">
            <w:pPr>
              <w:pStyle w:val="41"/>
              <w:rPr>
                <w:rFonts w:hint="eastAsia"/>
              </w:rPr>
            </w:pPr>
            <w:r>
              <w:rPr>
                <w:rFonts w:hint="eastAsia"/>
              </w:rPr>
              <w:t>347</w:t>
            </w:r>
          </w:p>
        </w:tc>
      </w:tr>
      <w:tr w14:paraId="0907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6A49D1E2">
            <w:pPr>
              <w:pStyle w:val="41"/>
              <w:rPr>
                <w:rFonts w:hint="eastAsia"/>
              </w:rPr>
            </w:pPr>
            <w:r>
              <w:rPr>
                <w:rFonts w:hint="eastAsia"/>
              </w:rPr>
              <w:t>7</w:t>
            </w:r>
          </w:p>
        </w:tc>
        <w:tc>
          <w:tcPr>
            <w:tcW w:w="564" w:type="pct"/>
            <w:vMerge w:val="restart"/>
            <w:shd w:val="clear" w:color="auto" w:fill="auto"/>
            <w:vAlign w:val="center"/>
          </w:tcPr>
          <w:p w14:paraId="2D05BE1E">
            <w:pPr>
              <w:pStyle w:val="41"/>
              <w:rPr>
                <w:rFonts w:hint="eastAsia"/>
              </w:rPr>
            </w:pPr>
            <w:r>
              <w:rPr>
                <w:rFonts w:hint="eastAsia"/>
              </w:rPr>
              <w:t>☆入户水质不达标的住宅数量（栋）</w:t>
            </w:r>
          </w:p>
        </w:tc>
        <w:tc>
          <w:tcPr>
            <w:tcW w:w="590" w:type="pct"/>
            <w:vMerge w:val="restart"/>
            <w:shd w:val="clear" w:color="auto" w:fill="auto"/>
            <w:vAlign w:val="center"/>
          </w:tcPr>
          <w:p w14:paraId="505B57C5">
            <w:pPr>
              <w:pStyle w:val="41"/>
              <w:rPr>
                <w:rFonts w:hint="eastAsia"/>
              </w:rPr>
            </w:pPr>
            <w:r>
              <w:rPr>
                <w:rFonts w:hint="eastAsia"/>
              </w:rPr>
              <w:t>0</w:t>
            </w:r>
          </w:p>
        </w:tc>
        <w:tc>
          <w:tcPr>
            <w:tcW w:w="2874" w:type="pct"/>
            <w:shd w:val="clear" w:color="auto" w:fill="auto"/>
            <w:vAlign w:val="center"/>
          </w:tcPr>
          <w:p w14:paraId="5B42F65C">
            <w:pPr>
              <w:pStyle w:val="41"/>
              <w:jc w:val="left"/>
              <w:rPr>
                <w:rFonts w:hint="eastAsia"/>
              </w:rPr>
            </w:pPr>
            <w:r>
              <w:rPr>
                <w:rFonts w:hint="eastAsia"/>
              </w:rPr>
              <w:t>7.1管道等供水设施不符合卫生和安全规范等，导致户内龙头水质污染的住宅数量。</w:t>
            </w:r>
          </w:p>
        </w:tc>
        <w:tc>
          <w:tcPr>
            <w:tcW w:w="682" w:type="pct"/>
            <w:shd w:val="clear" w:color="auto" w:fill="auto"/>
            <w:vAlign w:val="center"/>
          </w:tcPr>
          <w:p w14:paraId="32F20070">
            <w:pPr>
              <w:pStyle w:val="41"/>
              <w:rPr>
                <w:rFonts w:hint="eastAsia"/>
              </w:rPr>
            </w:pPr>
            <w:r>
              <w:rPr>
                <w:rFonts w:hint="eastAsia"/>
              </w:rPr>
              <w:t>0</w:t>
            </w:r>
          </w:p>
        </w:tc>
      </w:tr>
      <w:tr w14:paraId="59018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03BC74B0">
            <w:pPr>
              <w:pStyle w:val="41"/>
              <w:rPr>
                <w:rFonts w:hint="eastAsia"/>
              </w:rPr>
            </w:pPr>
          </w:p>
        </w:tc>
        <w:tc>
          <w:tcPr>
            <w:tcW w:w="564" w:type="pct"/>
            <w:vMerge w:val="continue"/>
            <w:shd w:val="clear" w:color="auto" w:fill="auto"/>
            <w:vAlign w:val="center"/>
          </w:tcPr>
          <w:p w14:paraId="6FD527AD">
            <w:pPr>
              <w:pStyle w:val="41"/>
              <w:rPr>
                <w:rFonts w:hint="eastAsia"/>
              </w:rPr>
            </w:pPr>
          </w:p>
        </w:tc>
        <w:tc>
          <w:tcPr>
            <w:tcW w:w="590" w:type="pct"/>
            <w:vMerge w:val="continue"/>
            <w:shd w:val="clear" w:color="auto" w:fill="auto"/>
            <w:vAlign w:val="center"/>
          </w:tcPr>
          <w:p w14:paraId="5F600A56">
            <w:pPr>
              <w:pStyle w:val="41"/>
              <w:rPr>
                <w:rFonts w:hint="eastAsia"/>
              </w:rPr>
            </w:pPr>
          </w:p>
        </w:tc>
        <w:tc>
          <w:tcPr>
            <w:tcW w:w="2874" w:type="pct"/>
            <w:shd w:val="clear" w:color="auto" w:fill="auto"/>
            <w:vAlign w:val="center"/>
          </w:tcPr>
          <w:p w14:paraId="02797411">
            <w:pPr>
              <w:pStyle w:val="41"/>
              <w:jc w:val="left"/>
              <w:rPr>
                <w:rFonts w:hint="eastAsia"/>
              </w:rPr>
            </w:pPr>
            <w:r>
              <w:rPr>
                <w:rFonts w:hint="eastAsia"/>
              </w:rPr>
              <w:t>7.2经专业机构检测，不满足生活饮用水水质标准住宅数量。</w:t>
            </w:r>
          </w:p>
        </w:tc>
        <w:tc>
          <w:tcPr>
            <w:tcW w:w="682" w:type="pct"/>
            <w:shd w:val="clear" w:color="auto" w:fill="auto"/>
            <w:vAlign w:val="center"/>
          </w:tcPr>
          <w:p w14:paraId="08665618">
            <w:pPr>
              <w:pStyle w:val="41"/>
              <w:rPr>
                <w:rFonts w:hint="eastAsia"/>
              </w:rPr>
            </w:pPr>
            <w:r>
              <w:rPr>
                <w:rFonts w:hint="eastAsia"/>
              </w:rPr>
              <w:t>0</w:t>
            </w:r>
          </w:p>
        </w:tc>
      </w:tr>
      <w:tr w14:paraId="2A9AC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2A9B4EC8">
            <w:pPr>
              <w:pStyle w:val="41"/>
              <w:rPr>
                <w:rFonts w:hint="eastAsia"/>
              </w:rPr>
            </w:pPr>
            <w:r>
              <w:rPr>
                <w:rFonts w:hint="eastAsia"/>
              </w:rPr>
              <w:t>8</w:t>
            </w:r>
          </w:p>
        </w:tc>
        <w:tc>
          <w:tcPr>
            <w:tcW w:w="564" w:type="pct"/>
            <w:vMerge w:val="restart"/>
            <w:shd w:val="clear" w:color="auto" w:fill="auto"/>
            <w:vAlign w:val="center"/>
          </w:tcPr>
          <w:p w14:paraId="232A0D73">
            <w:pPr>
              <w:pStyle w:val="41"/>
              <w:rPr>
                <w:rFonts w:hint="eastAsia"/>
              </w:rPr>
            </w:pPr>
            <w:r>
              <w:rPr>
                <w:rFonts w:hint="eastAsia"/>
              </w:rPr>
              <w:t>需要进行适老化改造的住宅数量（栋）</w:t>
            </w:r>
          </w:p>
        </w:tc>
        <w:tc>
          <w:tcPr>
            <w:tcW w:w="590" w:type="pct"/>
            <w:vMerge w:val="restart"/>
            <w:shd w:val="clear" w:color="auto" w:fill="auto"/>
            <w:vAlign w:val="center"/>
          </w:tcPr>
          <w:p w14:paraId="1F52B07F">
            <w:pPr>
              <w:pStyle w:val="41"/>
              <w:rPr>
                <w:rFonts w:hint="eastAsia"/>
              </w:rPr>
            </w:pPr>
            <w:r>
              <w:rPr>
                <w:rFonts w:hint="eastAsia"/>
              </w:rPr>
              <w:t>767</w:t>
            </w:r>
          </w:p>
        </w:tc>
        <w:tc>
          <w:tcPr>
            <w:tcW w:w="2874" w:type="pct"/>
            <w:shd w:val="clear" w:color="auto" w:fill="auto"/>
            <w:vAlign w:val="center"/>
          </w:tcPr>
          <w:p w14:paraId="4249C90F">
            <w:pPr>
              <w:pStyle w:val="41"/>
              <w:jc w:val="left"/>
              <w:rPr>
                <w:rFonts w:hint="eastAsia"/>
              </w:rPr>
            </w:pPr>
            <w:r>
              <w:rPr>
                <w:rFonts w:hint="eastAsia"/>
              </w:rPr>
              <w:t>8.1多层住宅中建成时未安装电梯，具备加装电梯条件但尚未进行加装改造的住宅数量</w:t>
            </w:r>
          </w:p>
        </w:tc>
        <w:tc>
          <w:tcPr>
            <w:tcW w:w="682" w:type="pct"/>
            <w:shd w:val="clear" w:color="auto" w:fill="auto"/>
            <w:vAlign w:val="center"/>
          </w:tcPr>
          <w:p w14:paraId="23B324E2">
            <w:pPr>
              <w:pStyle w:val="41"/>
              <w:rPr>
                <w:rFonts w:hint="eastAsia"/>
              </w:rPr>
            </w:pPr>
            <w:r>
              <w:rPr>
                <w:rFonts w:hint="eastAsia"/>
              </w:rPr>
              <w:t>282</w:t>
            </w:r>
          </w:p>
        </w:tc>
      </w:tr>
      <w:tr w14:paraId="5A63B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0E3E5D5B">
            <w:pPr>
              <w:pStyle w:val="41"/>
              <w:rPr>
                <w:rFonts w:hint="eastAsia"/>
              </w:rPr>
            </w:pPr>
          </w:p>
        </w:tc>
        <w:tc>
          <w:tcPr>
            <w:tcW w:w="564" w:type="pct"/>
            <w:vMerge w:val="continue"/>
            <w:shd w:val="clear" w:color="auto" w:fill="auto"/>
            <w:vAlign w:val="center"/>
          </w:tcPr>
          <w:p w14:paraId="099034E4">
            <w:pPr>
              <w:pStyle w:val="41"/>
              <w:rPr>
                <w:rFonts w:hint="eastAsia"/>
              </w:rPr>
            </w:pPr>
          </w:p>
        </w:tc>
        <w:tc>
          <w:tcPr>
            <w:tcW w:w="590" w:type="pct"/>
            <w:vMerge w:val="continue"/>
            <w:shd w:val="clear" w:color="auto" w:fill="auto"/>
            <w:vAlign w:val="center"/>
          </w:tcPr>
          <w:p w14:paraId="7C49D795">
            <w:pPr>
              <w:pStyle w:val="41"/>
              <w:rPr>
                <w:rFonts w:hint="eastAsia"/>
              </w:rPr>
            </w:pPr>
          </w:p>
        </w:tc>
        <w:tc>
          <w:tcPr>
            <w:tcW w:w="2874" w:type="pct"/>
            <w:shd w:val="clear" w:color="auto" w:fill="auto"/>
            <w:vAlign w:val="center"/>
          </w:tcPr>
          <w:p w14:paraId="37E05748">
            <w:pPr>
              <w:pStyle w:val="41"/>
              <w:jc w:val="left"/>
              <w:rPr>
                <w:rFonts w:hint="eastAsia"/>
              </w:rPr>
            </w:pPr>
            <w:r>
              <w:rPr>
                <w:rFonts w:hint="eastAsia"/>
              </w:rPr>
              <w:t>8.2住宅单元出入口和通道未进行无障碍改造、地面防滑处理的住宅数量</w:t>
            </w:r>
          </w:p>
        </w:tc>
        <w:tc>
          <w:tcPr>
            <w:tcW w:w="682" w:type="pct"/>
            <w:shd w:val="clear" w:color="auto" w:fill="auto"/>
            <w:vAlign w:val="center"/>
          </w:tcPr>
          <w:p w14:paraId="34812B37">
            <w:pPr>
              <w:pStyle w:val="41"/>
              <w:rPr>
                <w:rFonts w:hint="eastAsia"/>
              </w:rPr>
            </w:pPr>
            <w:r>
              <w:rPr>
                <w:rFonts w:hint="eastAsia"/>
              </w:rPr>
              <w:t>584</w:t>
            </w:r>
          </w:p>
        </w:tc>
      </w:tr>
      <w:tr w14:paraId="79567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D7512F4">
            <w:pPr>
              <w:pStyle w:val="41"/>
              <w:rPr>
                <w:rFonts w:hint="eastAsia"/>
              </w:rPr>
            </w:pPr>
          </w:p>
        </w:tc>
        <w:tc>
          <w:tcPr>
            <w:tcW w:w="564" w:type="pct"/>
            <w:vMerge w:val="continue"/>
            <w:shd w:val="clear" w:color="auto" w:fill="auto"/>
            <w:vAlign w:val="center"/>
          </w:tcPr>
          <w:p w14:paraId="4F64F90D">
            <w:pPr>
              <w:pStyle w:val="41"/>
              <w:rPr>
                <w:rFonts w:hint="eastAsia"/>
              </w:rPr>
            </w:pPr>
          </w:p>
        </w:tc>
        <w:tc>
          <w:tcPr>
            <w:tcW w:w="590" w:type="pct"/>
            <w:vMerge w:val="continue"/>
            <w:shd w:val="clear" w:color="auto" w:fill="auto"/>
            <w:vAlign w:val="center"/>
          </w:tcPr>
          <w:p w14:paraId="6FB33C77">
            <w:pPr>
              <w:pStyle w:val="41"/>
              <w:rPr>
                <w:rFonts w:hint="eastAsia"/>
              </w:rPr>
            </w:pPr>
          </w:p>
        </w:tc>
        <w:tc>
          <w:tcPr>
            <w:tcW w:w="2874" w:type="pct"/>
            <w:shd w:val="clear" w:color="auto" w:fill="auto"/>
            <w:vAlign w:val="center"/>
          </w:tcPr>
          <w:p w14:paraId="4A238BC7">
            <w:pPr>
              <w:pStyle w:val="41"/>
              <w:jc w:val="left"/>
              <w:rPr>
                <w:rFonts w:hint="eastAsia"/>
              </w:rPr>
            </w:pPr>
            <w:r>
              <w:rPr>
                <w:rFonts w:hint="eastAsia"/>
              </w:rPr>
              <w:t>8.3楼梯间未沿墙加装扶手的住宅数量</w:t>
            </w:r>
          </w:p>
        </w:tc>
        <w:tc>
          <w:tcPr>
            <w:tcW w:w="682" w:type="pct"/>
            <w:shd w:val="clear" w:color="auto" w:fill="auto"/>
            <w:vAlign w:val="center"/>
          </w:tcPr>
          <w:p w14:paraId="50B63685">
            <w:pPr>
              <w:pStyle w:val="41"/>
              <w:rPr>
                <w:rFonts w:hint="eastAsia"/>
              </w:rPr>
            </w:pPr>
            <w:r>
              <w:rPr>
                <w:rFonts w:hint="eastAsia"/>
              </w:rPr>
              <w:t>492</w:t>
            </w:r>
          </w:p>
        </w:tc>
      </w:tr>
      <w:tr w14:paraId="4B20B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04E163F4">
            <w:pPr>
              <w:pStyle w:val="41"/>
              <w:rPr>
                <w:rFonts w:hint="eastAsia"/>
              </w:rPr>
            </w:pPr>
          </w:p>
        </w:tc>
        <w:tc>
          <w:tcPr>
            <w:tcW w:w="564" w:type="pct"/>
            <w:vMerge w:val="continue"/>
            <w:shd w:val="clear" w:color="auto" w:fill="auto"/>
            <w:vAlign w:val="center"/>
          </w:tcPr>
          <w:p w14:paraId="55C44229">
            <w:pPr>
              <w:pStyle w:val="41"/>
              <w:rPr>
                <w:rFonts w:hint="eastAsia"/>
              </w:rPr>
            </w:pPr>
          </w:p>
        </w:tc>
        <w:tc>
          <w:tcPr>
            <w:tcW w:w="590" w:type="pct"/>
            <w:vMerge w:val="continue"/>
            <w:shd w:val="clear" w:color="auto" w:fill="auto"/>
            <w:vAlign w:val="center"/>
          </w:tcPr>
          <w:p w14:paraId="652AF369">
            <w:pPr>
              <w:pStyle w:val="41"/>
              <w:rPr>
                <w:rFonts w:hint="eastAsia"/>
              </w:rPr>
            </w:pPr>
          </w:p>
        </w:tc>
        <w:tc>
          <w:tcPr>
            <w:tcW w:w="2874" w:type="pct"/>
            <w:shd w:val="clear" w:color="auto" w:fill="auto"/>
            <w:vAlign w:val="center"/>
          </w:tcPr>
          <w:p w14:paraId="3BC8FF27">
            <w:pPr>
              <w:pStyle w:val="41"/>
              <w:jc w:val="left"/>
              <w:rPr>
                <w:rFonts w:hint="eastAsia"/>
              </w:rPr>
            </w:pPr>
            <w:r>
              <w:rPr>
                <w:rFonts w:hint="eastAsia"/>
              </w:rPr>
              <w:t>8.4特殊困难老年人家庭未实施适老化改造的住宅数量</w:t>
            </w:r>
          </w:p>
        </w:tc>
        <w:tc>
          <w:tcPr>
            <w:tcW w:w="682" w:type="pct"/>
            <w:shd w:val="clear" w:color="auto" w:fill="auto"/>
            <w:vAlign w:val="center"/>
          </w:tcPr>
          <w:p w14:paraId="28F1463F">
            <w:pPr>
              <w:pStyle w:val="41"/>
              <w:rPr>
                <w:rFonts w:hint="eastAsia"/>
              </w:rPr>
            </w:pPr>
            <w:r>
              <w:rPr>
                <w:rFonts w:hint="eastAsia"/>
              </w:rPr>
              <w:t>128</w:t>
            </w:r>
          </w:p>
        </w:tc>
      </w:tr>
      <w:tr w14:paraId="3EE7B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shd w:val="clear" w:color="auto" w:fill="auto"/>
            <w:vAlign w:val="center"/>
          </w:tcPr>
          <w:p w14:paraId="416148FC">
            <w:pPr>
              <w:pStyle w:val="41"/>
              <w:rPr>
                <w:rFonts w:hint="eastAsia"/>
              </w:rPr>
            </w:pPr>
            <w:r>
              <w:rPr>
                <w:rFonts w:hint="eastAsia"/>
              </w:rPr>
              <w:t>9</w:t>
            </w:r>
          </w:p>
        </w:tc>
        <w:tc>
          <w:tcPr>
            <w:tcW w:w="564" w:type="pct"/>
            <w:shd w:val="clear" w:color="auto" w:fill="auto"/>
            <w:vAlign w:val="center"/>
          </w:tcPr>
          <w:p w14:paraId="4C39BCB2">
            <w:pPr>
              <w:pStyle w:val="41"/>
              <w:rPr>
                <w:rFonts w:hint="eastAsia"/>
              </w:rPr>
            </w:pPr>
            <w:r>
              <w:rPr>
                <w:rFonts w:hint="eastAsia"/>
              </w:rPr>
              <w:t>需要进行节能改造的住宅数量（栋）</w:t>
            </w:r>
          </w:p>
        </w:tc>
        <w:tc>
          <w:tcPr>
            <w:tcW w:w="590" w:type="pct"/>
            <w:shd w:val="clear" w:color="auto" w:fill="auto"/>
            <w:vAlign w:val="center"/>
          </w:tcPr>
          <w:p w14:paraId="5E08C7A3">
            <w:pPr>
              <w:pStyle w:val="41"/>
              <w:rPr>
                <w:rFonts w:hint="eastAsia"/>
              </w:rPr>
            </w:pPr>
            <w:r>
              <w:rPr>
                <w:rFonts w:hint="eastAsia"/>
              </w:rPr>
              <w:t>91</w:t>
            </w:r>
          </w:p>
        </w:tc>
        <w:tc>
          <w:tcPr>
            <w:tcW w:w="2874" w:type="pct"/>
            <w:shd w:val="clear" w:color="auto" w:fill="auto"/>
            <w:vAlign w:val="center"/>
          </w:tcPr>
          <w:p w14:paraId="11DFA34A">
            <w:pPr>
              <w:pStyle w:val="41"/>
              <w:jc w:val="left"/>
              <w:rPr>
                <w:rFonts w:hint="eastAsia"/>
              </w:rPr>
            </w:pPr>
            <w:r>
              <w:rPr>
                <w:rFonts w:hint="eastAsia"/>
              </w:rPr>
              <w:t>9.1具备节能改造价值但尚未进行节能改造的住宅数量</w:t>
            </w:r>
          </w:p>
        </w:tc>
        <w:tc>
          <w:tcPr>
            <w:tcW w:w="682" w:type="pct"/>
            <w:shd w:val="clear" w:color="auto" w:fill="auto"/>
            <w:vAlign w:val="center"/>
          </w:tcPr>
          <w:p w14:paraId="4B881703">
            <w:pPr>
              <w:pStyle w:val="41"/>
              <w:rPr>
                <w:rFonts w:hint="eastAsia"/>
              </w:rPr>
            </w:pPr>
            <w:r>
              <w:rPr>
                <w:rFonts w:hint="eastAsia"/>
              </w:rPr>
              <w:t>91</w:t>
            </w:r>
          </w:p>
        </w:tc>
      </w:tr>
      <w:tr w14:paraId="2B38C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restart"/>
            <w:shd w:val="clear" w:color="auto" w:fill="auto"/>
            <w:vAlign w:val="center"/>
          </w:tcPr>
          <w:p w14:paraId="59C01482">
            <w:pPr>
              <w:pStyle w:val="41"/>
              <w:rPr>
                <w:rFonts w:hint="eastAsia"/>
              </w:rPr>
            </w:pPr>
            <w:r>
              <w:rPr>
                <w:rFonts w:hint="eastAsia"/>
              </w:rPr>
              <w:t>10</w:t>
            </w:r>
          </w:p>
        </w:tc>
        <w:tc>
          <w:tcPr>
            <w:tcW w:w="564" w:type="pct"/>
            <w:vMerge w:val="restart"/>
            <w:shd w:val="clear" w:color="auto" w:fill="auto"/>
            <w:vAlign w:val="center"/>
          </w:tcPr>
          <w:p w14:paraId="38DFACFF">
            <w:pPr>
              <w:pStyle w:val="41"/>
              <w:rPr>
                <w:rFonts w:hint="eastAsia"/>
              </w:rPr>
            </w:pPr>
            <w:r>
              <w:rPr>
                <w:rFonts w:hint="eastAsia"/>
              </w:rPr>
              <w:t>需要进行数字化改造的住宅数量（栋）</w:t>
            </w:r>
          </w:p>
        </w:tc>
        <w:tc>
          <w:tcPr>
            <w:tcW w:w="590" w:type="pct"/>
            <w:vMerge w:val="restart"/>
            <w:shd w:val="clear" w:color="auto" w:fill="auto"/>
            <w:vAlign w:val="center"/>
          </w:tcPr>
          <w:p w14:paraId="77FC9072">
            <w:pPr>
              <w:pStyle w:val="41"/>
              <w:rPr>
                <w:rFonts w:hint="eastAsia"/>
              </w:rPr>
            </w:pPr>
            <w:r>
              <w:rPr>
                <w:rFonts w:hint="eastAsia"/>
              </w:rPr>
              <w:t>1499</w:t>
            </w:r>
          </w:p>
        </w:tc>
        <w:tc>
          <w:tcPr>
            <w:tcW w:w="2874" w:type="pct"/>
            <w:shd w:val="clear" w:color="auto" w:fill="auto"/>
            <w:vAlign w:val="center"/>
          </w:tcPr>
          <w:p w14:paraId="2F3E4F24">
            <w:pPr>
              <w:pStyle w:val="41"/>
              <w:jc w:val="left"/>
              <w:rPr>
                <w:rFonts w:hint="eastAsia"/>
              </w:rPr>
            </w:pPr>
            <w:r>
              <w:rPr>
                <w:rFonts w:hint="eastAsia"/>
              </w:rPr>
              <w:t>10.1住宅网络基础设施未覆盖，不具备光纤入户条件的住宅数量</w:t>
            </w:r>
          </w:p>
        </w:tc>
        <w:tc>
          <w:tcPr>
            <w:tcW w:w="682" w:type="pct"/>
            <w:shd w:val="clear" w:color="auto" w:fill="auto"/>
            <w:vAlign w:val="center"/>
          </w:tcPr>
          <w:p w14:paraId="046ED6F2">
            <w:pPr>
              <w:pStyle w:val="41"/>
              <w:rPr>
                <w:rFonts w:hint="eastAsia"/>
              </w:rPr>
            </w:pPr>
            <w:r>
              <w:rPr>
                <w:rFonts w:hint="eastAsia"/>
              </w:rPr>
              <w:t>54</w:t>
            </w:r>
          </w:p>
        </w:tc>
      </w:tr>
      <w:tr w14:paraId="7E265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3BDB14BF">
            <w:pPr>
              <w:pStyle w:val="41"/>
              <w:rPr>
                <w:rFonts w:hint="eastAsia"/>
              </w:rPr>
            </w:pPr>
          </w:p>
        </w:tc>
        <w:tc>
          <w:tcPr>
            <w:tcW w:w="564" w:type="pct"/>
            <w:vMerge w:val="continue"/>
            <w:shd w:val="clear" w:color="auto" w:fill="auto"/>
            <w:vAlign w:val="center"/>
          </w:tcPr>
          <w:p w14:paraId="5EB7C431">
            <w:pPr>
              <w:pStyle w:val="41"/>
              <w:rPr>
                <w:rFonts w:hint="eastAsia"/>
              </w:rPr>
            </w:pPr>
          </w:p>
        </w:tc>
        <w:tc>
          <w:tcPr>
            <w:tcW w:w="590" w:type="pct"/>
            <w:vMerge w:val="continue"/>
            <w:shd w:val="clear" w:color="auto" w:fill="auto"/>
            <w:vAlign w:val="center"/>
          </w:tcPr>
          <w:p w14:paraId="4AEE7FB7">
            <w:pPr>
              <w:pStyle w:val="41"/>
              <w:rPr>
                <w:rFonts w:hint="eastAsia"/>
              </w:rPr>
            </w:pPr>
          </w:p>
        </w:tc>
        <w:tc>
          <w:tcPr>
            <w:tcW w:w="2874" w:type="pct"/>
            <w:shd w:val="clear" w:color="auto" w:fill="auto"/>
            <w:vAlign w:val="center"/>
          </w:tcPr>
          <w:p w14:paraId="3AA6693F">
            <w:pPr>
              <w:pStyle w:val="41"/>
              <w:jc w:val="left"/>
              <w:rPr>
                <w:rFonts w:hint="eastAsia"/>
              </w:rPr>
            </w:pPr>
            <w:r>
              <w:rPr>
                <w:rFonts w:hint="eastAsia"/>
              </w:rPr>
              <w:t>10.2住宅公共空间未安装楼宇入侵报警、视频监控等安防检测设备的住宅数量</w:t>
            </w:r>
          </w:p>
        </w:tc>
        <w:tc>
          <w:tcPr>
            <w:tcW w:w="682" w:type="pct"/>
            <w:shd w:val="clear" w:color="auto" w:fill="auto"/>
            <w:vAlign w:val="center"/>
          </w:tcPr>
          <w:p w14:paraId="1D206098">
            <w:pPr>
              <w:pStyle w:val="41"/>
              <w:rPr>
                <w:rFonts w:hint="eastAsia"/>
              </w:rPr>
            </w:pPr>
            <w:r>
              <w:rPr>
                <w:rFonts w:hint="eastAsia"/>
              </w:rPr>
              <w:t>627</w:t>
            </w:r>
          </w:p>
        </w:tc>
      </w:tr>
      <w:tr w14:paraId="0FE5D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20FF0A00">
            <w:pPr>
              <w:pStyle w:val="41"/>
              <w:rPr>
                <w:rFonts w:hint="eastAsia"/>
              </w:rPr>
            </w:pPr>
          </w:p>
        </w:tc>
        <w:tc>
          <w:tcPr>
            <w:tcW w:w="564" w:type="pct"/>
            <w:vMerge w:val="continue"/>
            <w:shd w:val="clear" w:color="auto" w:fill="auto"/>
            <w:vAlign w:val="center"/>
          </w:tcPr>
          <w:p w14:paraId="732F7159">
            <w:pPr>
              <w:pStyle w:val="41"/>
              <w:rPr>
                <w:rFonts w:hint="eastAsia"/>
              </w:rPr>
            </w:pPr>
          </w:p>
        </w:tc>
        <w:tc>
          <w:tcPr>
            <w:tcW w:w="590" w:type="pct"/>
            <w:vMerge w:val="continue"/>
            <w:shd w:val="clear" w:color="auto" w:fill="auto"/>
            <w:vAlign w:val="center"/>
          </w:tcPr>
          <w:p w14:paraId="7E1C4AE1">
            <w:pPr>
              <w:pStyle w:val="41"/>
              <w:rPr>
                <w:rFonts w:hint="eastAsia"/>
              </w:rPr>
            </w:pPr>
          </w:p>
        </w:tc>
        <w:tc>
          <w:tcPr>
            <w:tcW w:w="2874" w:type="pct"/>
            <w:shd w:val="clear" w:color="auto" w:fill="auto"/>
            <w:vAlign w:val="center"/>
          </w:tcPr>
          <w:p w14:paraId="1E719B24">
            <w:pPr>
              <w:pStyle w:val="41"/>
              <w:jc w:val="left"/>
              <w:rPr>
                <w:rFonts w:hint="eastAsia"/>
              </w:rPr>
            </w:pPr>
            <w:r>
              <w:rPr>
                <w:rFonts w:hint="eastAsia"/>
              </w:rPr>
              <w:t>10.3高层住宅的楼梯间、走道、候梯厅、门厅等公共部位未安装烟感报警器的住宅数量</w:t>
            </w:r>
          </w:p>
        </w:tc>
        <w:tc>
          <w:tcPr>
            <w:tcW w:w="682" w:type="pct"/>
            <w:shd w:val="clear" w:color="auto" w:fill="auto"/>
            <w:vAlign w:val="center"/>
          </w:tcPr>
          <w:p w14:paraId="0759823B">
            <w:pPr>
              <w:pStyle w:val="41"/>
              <w:rPr>
                <w:rFonts w:hint="eastAsia"/>
              </w:rPr>
            </w:pPr>
            <w:r>
              <w:rPr>
                <w:rFonts w:hint="eastAsia"/>
              </w:rPr>
              <w:t>264</w:t>
            </w:r>
          </w:p>
        </w:tc>
      </w:tr>
      <w:tr w14:paraId="604D6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 w:type="pct"/>
            <w:vMerge w:val="continue"/>
            <w:shd w:val="clear" w:color="auto" w:fill="auto"/>
            <w:vAlign w:val="center"/>
          </w:tcPr>
          <w:p w14:paraId="7F57F270">
            <w:pPr>
              <w:pStyle w:val="41"/>
              <w:rPr>
                <w:rFonts w:hint="eastAsia"/>
              </w:rPr>
            </w:pPr>
          </w:p>
        </w:tc>
        <w:tc>
          <w:tcPr>
            <w:tcW w:w="564" w:type="pct"/>
            <w:vMerge w:val="continue"/>
            <w:shd w:val="clear" w:color="auto" w:fill="auto"/>
            <w:vAlign w:val="center"/>
          </w:tcPr>
          <w:p w14:paraId="6BFCB98E">
            <w:pPr>
              <w:pStyle w:val="41"/>
              <w:rPr>
                <w:rFonts w:hint="eastAsia"/>
              </w:rPr>
            </w:pPr>
          </w:p>
        </w:tc>
        <w:tc>
          <w:tcPr>
            <w:tcW w:w="590" w:type="pct"/>
            <w:vMerge w:val="continue"/>
            <w:shd w:val="clear" w:color="auto" w:fill="auto"/>
            <w:vAlign w:val="center"/>
          </w:tcPr>
          <w:p w14:paraId="59677AFD">
            <w:pPr>
              <w:pStyle w:val="41"/>
              <w:rPr>
                <w:rFonts w:hint="eastAsia"/>
              </w:rPr>
            </w:pPr>
          </w:p>
        </w:tc>
        <w:tc>
          <w:tcPr>
            <w:tcW w:w="2874" w:type="pct"/>
            <w:shd w:val="clear" w:color="auto" w:fill="auto"/>
            <w:vAlign w:val="center"/>
          </w:tcPr>
          <w:p w14:paraId="71E6263B">
            <w:pPr>
              <w:pStyle w:val="41"/>
              <w:jc w:val="left"/>
              <w:rPr>
                <w:rFonts w:hint="eastAsia"/>
              </w:rPr>
            </w:pPr>
            <w:r>
              <w:rPr>
                <w:rFonts w:hint="eastAsia"/>
              </w:rPr>
              <w:t>10.4未安装家庭健康紧急呼叫系统的住宅数量</w:t>
            </w:r>
          </w:p>
        </w:tc>
        <w:tc>
          <w:tcPr>
            <w:tcW w:w="682" w:type="pct"/>
            <w:shd w:val="clear" w:color="auto" w:fill="auto"/>
            <w:vAlign w:val="center"/>
          </w:tcPr>
          <w:p w14:paraId="25559BF9">
            <w:pPr>
              <w:pStyle w:val="41"/>
              <w:rPr>
                <w:rFonts w:hint="eastAsia"/>
              </w:rPr>
            </w:pPr>
            <w:r>
              <w:rPr>
                <w:rFonts w:hint="eastAsia"/>
              </w:rPr>
              <w:t>1431</w:t>
            </w:r>
          </w:p>
        </w:tc>
      </w:tr>
    </w:tbl>
    <w:p w14:paraId="138454B4">
      <w:pPr>
        <w:pStyle w:val="3"/>
        <w:rPr>
          <w:rFonts w:hint="eastAsia"/>
        </w:rPr>
      </w:pPr>
      <w:bookmarkStart w:id="45" w:name="_Toc30024"/>
      <w:r>
        <w:rPr>
          <w:rFonts w:hint="eastAsia"/>
        </w:rPr>
        <w:t>二、社区维度</w:t>
      </w:r>
      <w:bookmarkEnd w:id="45"/>
    </w:p>
    <w:p w14:paraId="56B23968">
      <w:pPr>
        <w:ind w:firstLine="640"/>
        <w:rPr>
          <w:rFonts w:hint="eastAsia"/>
        </w:rPr>
      </w:pPr>
      <w:r>
        <w:rPr>
          <w:rFonts w:hint="eastAsia"/>
        </w:rPr>
        <w:t>基于社区维度设施完善、环境宜居、管理健全3个方面的12个指标分析，其中婴幼儿照护设施、停车泊位、新能源汽车充电桩、电动自行车充电桩、物业管理有待加强。</w:t>
      </w:r>
    </w:p>
    <w:p w14:paraId="0E513795">
      <w:pPr>
        <w:ind w:firstLine="640"/>
        <w:rPr>
          <w:rFonts w:hint="eastAsia"/>
        </w:rPr>
      </w:pPr>
      <w:r>
        <w:rPr>
          <w:rFonts w:hint="eastAsia"/>
        </w:rPr>
        <w:t>一是婴幼儿照护设施不足。未配建婴幼儿照护设施的社区占比56%，主要分布在广阳区和安次区。主要原因是近几年各级规划部门才将托育服务纳入城市总体规划，街道社区规模已基本成型，老旧社区在现有条件下增加也比较困难。</w:t>
      </w:r>
    </w:p>
    <w:p w14:paraId="5CCDF8B6">
      <w:pPr>
        <w:ind w:firstLine="640"/>
        <w:rPr>
          <w:rFonts w:hint="eastAsia"/>
        </w:rPr>
      </w:pPr>
      <w:r>
        <w:rPr>
          <w:rFonts w:hint="eastAsia"/>
        </w:rPr>
        <w:t>二是停车泊位不足。有停车泊位缺口的社区占比44%，其中广阳区34个社区，安次区21个社区，开发区2个社区均存在停车缺口，部分路段存在违规停车及占用消防通道现象，影响生命线通道的功能畅通。问题的原因是小区规划时未预留充足的停车泊位，无法满足现在日益增长的停车需求。</w:t>
      </w:r>
    </w:p>
    <w:p w14:paraId="64CB570D">
      <w:pPr>
        <w:ind w:firstLine="640"/>
        <w:rPr>
          <w:rFonts w:hint="eastAsia"/>
        </w:rPr>
      </w:pPr>
      <w:r>
        <w:rPr>
          <w:rFonts w:hint="eastAsia"/>
        </w:rPr>
        <w:t>三是有新能源汽车充电桩缺口的社区占比44.7%，未安装新能源汽车充电桩的小区数量202个，占全部小区总数的25.9%，不满足社区新能源汽车充电诉求。老旧小区还存在电容不够、无停车空间安装的问题。</w:t>
      </w:r>
    </w:p>
    <w:p w14:paraId="67D76E01">
      <w:pPr>
        <w:ind w:firstLine="640"/>
        <w:rPr>
          <w:rFonts w:hint="eastAsia"/>
        </w:rPr>
      </w:pPr>
      <w:r>
        <w:rPr>
          <w:rFonts w:hint="eastAsia"/>
        </w:rPr>
        <w:t>四是电动自行车充电设施不足。有电动自行车充电设施缺口的社区占比48.9%，有电动自行车充电设施缺口的小区有254个，占全部小区总数的32.5%，主要分布在广阳区的42个社区203个小区中，居民对电动自行车充电设施需求较大，但缺少设施。老旧小区还存在电容不够、无空间安装、缺少雨棚、飞线充电的问题。</w:t>
      </w:r>
    </w:p>
    <w:p w14:paraId="4EA405DD">
      <w:pPr>
        <w:ind w:firstLine="640"/>
        <w:rPr>
          <w:rFonts w:hint="eastAsia"/>
        </w:rPr>
      </w:pPr>
      <w:r>
        <w:rPr>
          <w:rFonts w:hint="eastAsia"/>
        </w:rPr>
        <w:t>五是物业管理不足。未实施物业管理的社区占比42.3%，未实施物业管理的小区有182个，占全部小区总数的23.3%，主要分布在广阳区35个社区168个小区中，主要为小区自治，由门卫负责安全或社区代为管理，找专人做卫生清洁。</w:t>
      </w:r>
    </w:p>
    <w:p w14:paraId="0581BF8A">
      <w:pPr>
        <w:pStyle w:val="3"/>
        <w:rPr>
          <w:rFonts w:hint="eastAsia"/>
        </w:rPr>
      </w:pPr>
      <w:bookmarkStart w:id="46" w:name="_Toc127"/>
      <w:r>
        <w:rPr>
          <w:rFonts w:hint="eastAsia"/>
        </w:rPr>
        <w:t>三、街区维度</w:t>
      </w:r>
      <w:bookmarkEnd w:id="46"/>
    </w:p>
    <w:p w14:paraId="5D9DB2D9">
      <w:pPr>
        <w:ind w:firstLine="640"/>
        <w:rPr>
          <w:rFonts w:hint="eastAsia"/>
        </w:rPr>
      </w:pPr>
      <w:r>
        <w:rPr>
          <w:rFonts w:hint="eastAsia"/>
        </w:rPr>
        <w:t>街区维度包括功能完善、整洁有序、特色活力3个二级维度、8个指标，其中中学服务设施、公园绿化活动场地有待完善，乱停放车辆问题有待加强管理。</w:t>
      </w:r>
    </w:p>
    <w:p w14:paraId="05E324FF">
      <w:pPr>
        <w:pStyle w:val="48"/>
        <w:outlineLvl w:val="9"/>
        <w:rPr>
          <w:rFonts w:hint="eastAsia"/>
        </w:rPr>
      </w:pPr>
      <w:r>
        <w:rPr>
          <w:rFonts w:hint="eastAsia"/>
        </w:rPr>
        <w:t>街区维度指标评价结果表</w:t>
      </w:r>
    </w:p>
    <w:tbl>
      <w:tblPr>
        <w:tblStyle w:val="2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4"/>
        <w:gridCol w:w="857"/>
        <w:gridCol w:w="4634"/>
        <w:gridCol w:w="1318"/>
      </w:tblGrid>
      <w:tr w14:paraId="71168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shd w:val="clear" w:color="auto" w:fill="auto"/>
            <w:noWrap/>
            <w:vAlign w:val="center"/>
          </w:tcPr>
          <w:p w14:paraId="760F0F45">
            <w:pPr>
              <w:pStyle w:val="41"/>
              <w:rPr>
                <w:rFonts w:hint="eastAsia" w:ascii="方正黑体_GBK" w:hAnsi="方正黑体_GBK" w:eastAsia="方正黑体_GBK" w:cs="方正黑体_GBK"/>
              </w:rPr>
            </w:pPr>
            <w:r>
              <w:rPr>
                <w:rFonts w:hint="eastAsia" w:ascii="方正黑体_GBK" w:hAnsi="方正黑体_GBK" w:eastAsia="方正黑体_GBK" w:cs="方正黑体_GBK"/>
              </w:rPr>
              <w:t>二级维度</w:t>
            </w:r>
          </w:p>
        </w:tc>
        <w:tc>
          <w:tcPr>
            <w:tcW w:w="504" w:type="pct"/>
            <w:shd w:val="clear" w:color="auto" w:fill="auto"/>
            <w:noWrap/>
            <w:vAlign w:val="center"/>
          </w:tcPr>
          <w:p w14:paraId="3AC9B298">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序号</w:t>
            </w:r>
          </w:p>
        </w:tc>
        <w:tc>
          <w:tcPr>
            <w:tcW w:w="2724" w:type="pct"/>
            <w:shd w:val="clear" w:color="auto" w:fill="auto"/>
            <w:noWrap/>
            <w:vAlign w:val="center"/>
          </w:tcPr>
          <w:p w14:paraId="66D533AE">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指标名称</w:t>
            </w:r>
          </w:p>
        </w:tc>
        <w:tc>
          <w:tcPr>
            <w:tcW w:w="774" w:type="pct"/>
            <w:shd w:val="clear" w:color="auto" w:fill="auto"/>
            <w:noWrap/>
            <w:vAlign w:val="center"/>
          </w:tcPr>
          <w:p w14:paraId="1C2C7879">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指标结果</w:t>
            </w:r>
          </w:p>
        </w:tc>
      </w:tr>
      <w:tr w14:paraId="0EFE3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restart"/>
            <w:shd w:val="clear" w:color="auto" w:fill="auto"/>
            <w:vAlign w:val="center"/>
          </w:tcPr>
          <w:p w14:paraId="0756ABA2">
            <w:pPr>
              <w:pStyle w:val="41"/>
              <w:rPr>
                <w:rFonts w:hint="eastAsia"/>
              </w:rPr>
            </w:pPr>
            <w:r>
              <w:rPr>
                <w:rFonts w:hint="eastAsia"/>
              </w:rPr>
              <w:t>功能完善</w:t>
            </w:r>
          </w:p>
        </w:tc>
        <w:tc>
          <w:tcPr>
            <w:tcW w:w="504" w:type="pct"/>
            <w:shd w:val="clear" w:color="auto" w:fill="auto"/>
            <w:vAlign w:val="center"/>
          </w:tcPr>
          <w:p w14:paraId="230323D2">
            <w:pPr>
              <w:pStyle w:val="41"/>
              <w:rPr>
                <w:rFonts w:hint="eastAsia"/>
              </w:rPr>
            </w:pPr>
            <w:r>
              <w:rPr>
                <w:rFonts w:hint="eastAsia"/>
              </w:rPr>
              <w:t>23</w:t>
            </w:r>
          </w:p>
        </w:tc>
        <w:tc>
          <w:tcPr>
            <w:tcW w:w="2724" w:type="pct"/>
            <w:shd w:val="clear" w:color="auto" w:fill="auto"/>
            <w:vAlign w:val="center"/>
          </w:tcPr>
          <w:p w14:paraId="4A81EB15">
            <w:pPr>
              <w:pStyle w:val="41"/>
              <w:rPr>
                <w:rFonts w:hint="eastAsia"/>
              </w:rPr>
            </w:pPr>
            <w:r>
              <w:rPr>
                <w:rFonts w:hint="eastAsia"/>
              </w:rPr>
              <w:t>中学服务半径覆盖率（%）</w:t>
            </w:r>
          </w:p>
        </w:tc>
        <w:tc>
          <w:tcPr>
            <w:tcW w:w="774" w:type="pct"/>
            <w:shd w:val="clear" w:color="auto" w:fill="auto"/>
            <w:noWrap/>
            <w:vAlign w:val="center"/>
          </w:tcPr>
          <w:p w14:paraId="75245C84">
            <w:pPr>
              <w:pStyle w:val="41"/>
              <w:rPr>
                <w:rFonts w:hint="eastAsia"/>
              </w:rPr>
            </w:pPr>
            <w:r>
              <w:rPr>
                <w:rFonts w:hint="eastAsia"/>
              </w:rPr>
              <w:t>48.85%</w:t>
            </w:r>
          </w:p>
        </w:tc>
      </w:tr>
      <w:tr w14:paraId="5D5E3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continue"/>
            <w:shd w:val="clear" w:color="auto" w:fill="auto"/>
            <w:vAlign w:val="center"/>
          </w:tcPr>
          <w:p w14:paraId="49828FEF">
            <w:pPr>
              <w:pStyle w:val="41"/>
              <w:rPr>
                <w:rFonts w:hint="eastAsia"/>
              </w:rPr>
            </w:pPr>
          </w:p>
        </w:tc>
        <w:tc>
          <w:tcPr>
            <w:tcW w:w="504" w:type="pct"/>
            <w:shd w:val="clear" w:color="auto" w:fill="auto"/>
            <w:vAlign w:val="center"/>
          </w:tcPr>
          <w:p w14:paraId="30D8AEAC">
            <w:pPr>
              <w:pStyle w:val="41"/>
              <w:rPr>
                <w:rFonts w:hint="eastAsia"/>
              </w:rPr>
            </w:pPr>
            <w:r>
              <w:rPr>
                <w:rFonts w:hint="eastAsia"/>
              </w:rPr>
              <w:t>24</w:t>
            </w:r>
          </w:p>
        </w:tc>
        <w:tc>
          <w:tcPr>
            <w:tcW w:w="2724" w:type="pct"/>
            <w:shd w:val="clear" w:color="auto" w:fill="auto"/>
            <w:vAlign w:val="center"/>
          </w:tcPr>
          <w:p w14:paraId="03B1D714">
            <w:pPr>
              <w:pStyle w:val="41"/>
              <w:rPr>
                <w:rFonts w:hint="eastAsia"/>
              </w:rPr>
            </w:pPr>
            <w:r>
              <w:rPr>
                <w:rFonts w:hint="eastAsia"/>
              </w:rPr>
              <w:t>未达标配建多功能运动场地的数量（个）</w:t>
            </w:r>
          </w:p>
        </w:tc>
        <w:tc>
          <w:tcPr>
            <w:tcW w:w="774" w:type="pct"/>
            <w:shd w:val="clear" w:color="auto" w:fill="auto"/>
            <w:noWrap/>
            <w:vAlign w:val="center"/>
          </w:tcPr>
          <w:p w14:paraId="5894BE88">
            <w:pPr>
              <w:pStyle w:val="41"/>
              <w:rPr>
                <w:rFonts w:hint="eastAsia"/>
              </w:rPr>
            </w:pPr>
            <w:r>
              <w:rPr>
                <w:rFonts w:hint="eastAsia"/>
              </w:rPr>
              <w:t>43</w:t>
            </w:r>
          </w:p>
        </w:tc>
      </w:tr>
      <w:tr w14:paraId="6BC72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continue"/>
            <w:shd w:val="clear" w:color="auto" w:fill="auto"/>
            <w:vAlign w:val="center"/>
          </w:tcPr>
          <w:p w14:paraId="037B6541">
            <w:pPr>
              <w:pStyle w:val="41"/>
              <w:rPr>
                <w:rFonts w:hint="eastAsia"/>
              </w:rPr>
            </w:pPr>
          </w:p>
        </w:tc>
        <w:tc>
          <w:tcPr>
            <w:tcW w:w="504" w:type="pct"/>
            <w:shd w:val="clear" w:color="auto" w:fill="auto"/>
            <w:vAlign w:val="center"/>
          </w:tcPr>
          <w:p w14:paraId="2FE81727">
            <w:pPr>
              <w:pStyle w:val="41"/>
              <w:rPr>
                <w:rFonts w:hint="eastAsia"/>
              </w:rPr>
            </w:pPr>
            <w:r>
              <w:rPr>
                <w:rFonts w:hint="eastAsia"/>
              </w:rPr>
              <w:t>25</w:t>
            </w:r>
          </w:p>
        </w:tc>
        <w:tc>
          <w:tcPr>
            <w:tcW w:w="2724" w:type="pct"/>
            <w:shd w:val="clear" w:color="auto" w:fill="auto"/>
            <w:vAlign w:val="center"/>
          </w:tcPr>
          <w:p w14:paraId="75CCF0E8">
            <w:pPr>
              <w:pStyle w:val="41"/>
              <w:rPr>
                <w:rFonts w:hint="eastAsia"/>
              </w:rPr>
            </w:pPr>
            <w:r>
              <w:rPr>
                <w:rFonts w:hint="eastAsia"/>
              </w:rPr>
              <w:t>未达标配建文化活动中心的数量（个）</w:t>
            </w:r>
          </w:p>
        </w:tc>
        <w:tc>
          <w:tcPr>
            <w:tcW w:w="774" w:type="pct"/>
            <w:shd w:val="clear" w:color="auto" w:fill="auto"/>
            <w:noWrap/>
            <w:vAlign w:val="center"/>
          </w:tcPr>
          <w:p w14:paraId="5242E7E5">
            <w:pPr>
              <w:pStyle w:val="41"/>
              <w:rPr>
                <w:rFonts w:hint="eastAsia"/>
              </w:rPr>
            </w:pPr>
            <w:r>
              <w:rPr>
                <w:rFonts w:hint="eastAsia"/>
              </w:rPr>
              <w:t>10</w:t>
            </w:r>
          </w:p>
        </w:tc>
      </w:tr>
      <w:tr w14:paraId="78CE7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continue"/>
            <w:shd w:val="clear" w:color="auto" w:fill="auto"/>
            <w:vAlign w:val="center"/>
          </w:tcPr>
          <w:p w14:paraId="51377079">
            <w:pPr>
              <w:pStyle w:val="41"/>
              <w:rPr>
                <w:rFonts w:hint="eastAsia"/>
              </w:rPr>
            </w:pPr>
          </w:p>
        </w:tc>
        <w:tc>
          <w:tcPr>
            <w:tcW w:w="504" w:type="pct"/>
            <w:shd w:val="clear" w:color="auto" w:fill="auto"/>
            <w:vAlign w:val="center"/>
          </w:tcPr>
          <w:p w14:paraId="56E2A9FF">
            <w:pPr>
              <w:pStyle w:val="41"/>
              <w:rPr>
                <w:rFonts w:hint="eastAsia"/>
              </w:rPr>
            </w:pPr>
            <w:r>
              <w:rPr>
                <w:rFonts w:hint="eastAsia"/>
              </w:rPr>
              <w:t>26</w:t>
            </w:r>
          </w:p>
        </w:tc>
        <w:tc>
          <w:tcPr>
            <w:tcW w:w="2724" w:type="pct"/>
            <w:shd w:val="clear" w:color="auto" w:fill="auto"/>
            <w:vAlign w:val="center"/>
          </w:tcPr>
          <w:p w14:paraId="50A085E2">
            <w:pPr>
              <w:pStyle w:val="41"/>
              <w:rPr>
                <w:rFonts w:hint="eastAsia"/>
              </w:rPr>
            </w:pPr>
            <w:r>
              <w:rPr>
                <w:rFonts w:hint="eastAsia"/>
              </w:rPr>
              <w:t>☆公园绿化活动场地服务半径覆盖率（%）</w:t>
            </w:r>
          </w:p>
        </w:tc>
        <w:tc>
          <w:tcPr>
            <w:tcW w:w="774" w:type="pct"/>
            <w:shd w:val="clear" w:color="auto" w:fill="auto"/>
            <w:noWrap/>
            <w:vAlign w:val="center"/>
          </w:tcPr>
          <w:p w14:paraId="393D1EAC">
            <w:pPr>
              <w:pStyle w:val="41"/>
              <w:rPr>
                <w:rFonts w:hint="eastAsia"/>
              </w:rPr>
            </w:pPr>
            <w:r>
              <w:rPr>
                <w:rFonts w:hint="eastAsia"/>
              </w:rPr>
              <w:t>75.33%</w:t>
            </w:r>
          </w:p>
        </w:tc>
      </w:tr>
      <w:tr w14:paraId="7C0FB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shd w:val="clear" w:color="auto" w:fill="auto"/>
            <w:vAlign w:val="center"/>
          </w:tcPr>
          <w:p w14:paraId="22ED7364">
            <w:pPr>
              <w:pStyle w:val="41"/>
              <w:rPr>
                <w:rFonts w:hint="eastAsia"/>
              </w:rPr>
            </w:pPr>
            <w:r>
              <w:rPr>
                <w:rFonts w:hint="eastAsia"/>
              </w:rPr>
              <w:t>整洁有序</w:t>
            </w:r>
          </w:p>
        </w:tc>
        <w:tc>
          <w:tcPr>
            <w:tcW w:w="504" w:type="pct"/>
            <w:shd w:val="clear" w:color="auto" w:fill="auto"/>
            <w:vAlign w:val="center"/>
          </w:tcPr>
          <w:p w14:paraId="0A708B30">
            <w:pPr>
              <w:pStyle w:val="41"/>
              <w:rPr>
                <w:rFonts w:hint="eastAsia"/>
              </w:rPr>
            </w:pPr>
            <w:r>
              <w:rPr>
                <w:rFonts w:hint="eastAsia"/>
              </w:rPr>
              <w:t>27</w:t>
            </w:r>
          </w:p>
        </w:tc>
        <w:tc>
          <w:tcPr>
            <w:tcW w:w="2724" w:type="pct"/>
            <w:shd w:val="clear" w:color="auto" w:fill="auto"/>
            <w:vAlign w:val="center"/>
          </w:tcPr>
          <w:p w14:paraId="1A986B55">
            <w:pPr>
              <w:pStyle w:val="41"/>
              <w:rPr>
                <w:rFonts w:hint="eastAsia"/>
              </w:rPr>
            </w:pPr>
            <w:r>
              <w:rPr>
                <w:rFonts w:hint="eastAsia"/>
              </w:rPr>
              <w:t>☆存在乱停放车辆问题的道路数量（条）</w:t>
            </w:r>
          </w:p>
        </w:tc>
        <w:tc>
          <w:tcPr>
            <w:tcW w:w="774" w:type="pct"/>
            <w:shd w:val="clear" w:color="auto" w:fill="auto"/>
            <w:noWrap/>
            <w:vAlign w:val="center"/>
          </w:tcPr>
          <w:p w14:paraId="645A6CE0">
            <w:pPr>
              <w:pStyle w:val="41"/>
              <w:rPr>
                <w:rFonts w:hint="eastAsia"/>
              </w:rPr>
            </w:pPr>
            <w:r>
              <w:rPr>
                <w:rFonts w:hint="eastAsia"/>
              </w:rPr>
              <w:t>27</w:t>
            </w:r>
          </w:p>
        </w:tc>
      </w:tr>
      <w:tr w14:paraId="0A5B0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restart"/>
            <w:shd w:val="clear" w:color="auto" w:fill="auto"/>
            <w:vAlign w:val="center"/>
          </w:tcPr>
          <w:p w14:paraId="01970340">
            <w:pPr>
              <w:pStyle w:val="41"/>
              <w:rPr>
                <w:rFonts w:hint="eastAsia"/>
              </w:rPr>
            </w:pPr>
            <w:r>
              <w:rPr>
                <w:rFonts w:hint="eastAsia"/>
              </w:rPr>
              <w:t>特色活力</w:t>
            </w:r>
          </w:p>
        </w:tc>
        <w:tc>
          <w:tcPr>
            <w:tcW w:w="504" w:type="pct"/>
            <w:shd w:val="clear" w:color="auto" w:fill="auto"/>
            <w:vAlign w:val="center"/>
          </w:tcPr>
          <w:p w14:paraId="19645058">
            <w:pPr>
              <w:pStyle w:val="41"/>
              <w:rPr>
                <w:rFonts w:hint="eastAsia"/>
              </w:rPr>
            </w:pPr>
            <w:r>
              <w:rPr>
                <w:rFonts w:hint="eastAsia"/>
              </w:rPr>
              <w:t>28</w:t>
            </w:r>
          </w:p>
        </w:tc>
        <w:tc>
          <w:tcPr>
            <w:tcW w:w="2724" w:type="pct"/>
            <w:shd w:val="clear" w:color="auto" w:fill="auto"/>
            <w:vAlign w:val="center"/>
          </w:tcPr>
          <w:p w14:paraId="386B0C3F">
            <w:pPr>
              <w:pStyle w:val="41"/>
              <w:rPr>
                <w:rFonts w:hint="eastAsia"/>
              </w:rPr>
            </w:pPr>
            <w:r>
              <w:rPr>
                <w:rFonts w:hint="eastAsia"/>
              </w:rPr>
              <w:t>需要更新改造的老旧商业街数量（个）</w:t>
            </w:r>
          </w:p>
        </w:tc>
        <w:tc>
          <w:tcPr>
            <w:tcW w:w="774" w:type="pct"/>
            <w:shd w:val="clear" w:color="auto" w:fill="auto"/>
            <w:noWrap/>
            <w:vAlign w:val="center"/>
          </w:tcPr>
          <w:p w14:paraId="7DC1AEC7">
            <w:pPr>
              <w:pStyle w:val="41"/>
              <w:rPr>
                <w:rFonts w:hint="eastAsia"/>
              </w:rPr>
            </w:pPr>
            <w:r>
              <w:rPr>
                <w:rFonts w:hint="eastAsia"/>
              </w:rPr>
              <w:t>0</w:t>
            </w:r>
          </w:p>
        </w:tc>
      </w:tr>
      <w:tr w14:paraId="753F4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continue"/>
            <w:shd w:val="clear" w:color="auto" w:fill="auto"/>
            <w:vAlign w:val="center"/>
          </w:tcPr>
          <w:p w14:paraId="6050AE18">
            <w:pPr>
              <w:pStyle w:val="41"/>
              <w:rPr>
                <w:rFonts w:hint="eastAsia"/>
              </w:rPr>
            </w:pPr>
          </w:p>
        </w:tc>
        <w:tc>
          <w:tcPr>
            <w:tcW w:w="504" w:type="pct"/>
            <w:shd w:val="clear" w:color="auto" w:fill="auto"/>
            <w:vAlign w:val="center"/>
          </w:tcPr>
          <w:p w14:paraId="1233AFFB">
            <w:pPr>
              <w:pStyle w:val="41"/>
              <w:rPr>
                <w:rFonts w:hint="eastAsia"/>
              </w:rPr>
            </w:pPr>
            <w:r>
              <w:rPr>
                <w:rFonts w:hint="eastAsia"/>
              </w:rPr>
              <w:t>29</w:t>
            </w:r>
          </w:p>
        </w:tc>
        <w:tc>
          <w:tcPr>
            <w:tcW w:w="2724" w:type="pct"/>
            <w:shd w:val="clear" w:color="auto" w:fill="auto"/>
            <w:vAlign w:val="center"/>
          </w:tcPr>
          <w:p w14:paraId="63F2DAD1">
            <w:pPr>
              <w:pStyle w:val="41"/>
              <w:rPr>
                <w:rFonts w:hint="eastAsia"/>
              </w:rPr>
            </w:pPr>
            <w:r>
              <w:rPr>
                <w:rFonts w:hint="eastAsia"/>
              </w:rPr>
              <w:t>需要更新改造的老旧厂区数量（个）</w:t>
            </w:r>
          </w:p>
        </w:tc>
        <w:tc>
          <w:tcPr>
            <w:tcW w:w="774" w:type="pct"/>
            <w:shd w:val="clear" w:color="auto" w:fill="auto"/>
            <w:noWrap/>
            <w:vAlign w:val="center"/>
          </w:tcPr>
          <w:p w14:paraId="76C16B53">
            <w:pPr>
              <w:pStyle w:val="41"/>
              <w:rPr>
                <w:rFonts w:hint="eastAsia"/>
              </w:rPr>
            </w:pPr>
            <w:r>
              <w:rPr>
                <w:rFonts w:hint="eastAsia"/>
              </w:rPr>
              <w:t>0</w:t>
            </w:r>
          </w:p>
        </w:tc>
      </w:tr>
      <w:tr w14:paraId="57517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96" w:type="pct"/>
            <w:vMerge w:val="continue"/>
            <w:shd w:val="clear" w:color="auto" w:fill="auto"/>
            <w:vAlign w:val="center"/>
          </w:tcPr>
          <w:p w14:paraId="16E5BE0D">
            <w:pPr>
              <w:pStyle w:val="41"/>
              <w:rPr>
                <w:rFonts w:hint="eastAsia"/>
              </w:rPr>
            </w:pPr>
          </w:p>
        </w:tc>
        <w:tc>
          <w:tcPr>
            <w:tcW w:w="504" w:type="pct"/>
            <w:shd w:val="clear" w:color="auto" w:fill="auto"/>
            <w:vAlign w:val="center"/>
          </w:tcPr>
          <w:p w14:paraId="06B8C514">
            <w:pPr>
              <w:pStyle w:val="41"/>
              <w:rPr>
                <w:rFonts w:hint="eastAsia"/>
              </w:rPr>
            </w:pPr>
            <w:r>
              <w:rPr>
                <w:rFonts w:hint="eastAsia"/>
              </w:rPr>
              <w:t>30</w:t>
            </w:r>
          </w:p>
        </w:tc>
        <w:tc>
          <w:tcPr>
            <w:tcW w:w="2724" w:type="pct"/>
            <w:shd w:val="clear" w:color="auto" w:fill="auto"/>
            <w:vAlign w:val="center"/>
          </w:tcPr>
          <w:p w14:paraId="796D4743">
            <w:pPr>
              <w:pStyle w:val="41"/>
              <w:rPr>
                <w:rFonts w:hint="eastAsia"/>
              </w:rPr>
            </w:pPr>
            <w:r>
              <w:rPr>
                <w:rFonts w:hint="eastAsia"/>
              </w:rPr>
              <w:t>☆需要更新改造的老旧街区数量（个）</w:t>
            </w:r>
          </w:p>
        </w:tc>
        <w:tc>
          <w:tcPr>
            <w:tcW w:w="774" w:type="pct"/>
            <w:shd w:val="clear" w:color="auto" w:fill="auto"/>
            <w:noWrap/>
            <w:vAlign w:val="center"/>
          </w:tcPr>
          <w:p w14:paraId="7053BB9D">
            <w:pPr>
              <w:pStyle w:val="41"/>
              <w:rPr>
                <w:rFonts w:hint="eastAsia"/>
              </w:rPr>
            </w:pPr>
            <w:r>
              <w:rPr>
                <w:rFonts w:hint="eastAsia"/>
              </w:rPr>
              <w:t>0</w:t>
            </w:r>
          </w:p>
        </w:tc>
      </w:tr>
    </w:tbl>
    <w:p w14:paraId="6ADB97C9">
      <w:pPr>
        <w:ind w:firstLine="640"/>
        <w:rPr>
          <w:rFonts w:hint="eastAsia"/>
        </w:rPr>
      </w:pPr>
      <w:r>
        <w:rPr>
          <w:rFonts w:hint="eastAsia"/>
        </w:rPr>
        <w:t>从各街道评价结果来看：</w:t>
      </w:r>
    </w:p>
    <w:p w14:paraId="055AE2EC">
      <w:pPr>
        <w:ind w:firstLine="640"/>
        <w:rPr>
          <w:rFonts w:hint="eastAsia"/>
        </w:rPr>
      </w:pPr>
      <w:r>
        <w:rPr>
          <w:rFonts w:hint="eastAsia"/>
        </w:rPr>
        <w:t>新源道街道在中学服务设施、多功能运动场地、公园绿化活动场地等方面结果较好，但存在乱停放车辆问题。</w:t>
      </w:r>
    </w:p>
    <w:p w14:paraId="0AC0369A">
      <w:pPr>
        <w:ind w:firstLine="640"/>
        <w:rPr>
          <w:rFonts w:hint="eastAsia"/>
        </w:rPr>
      </w:pPr>
      <w:r>
        <w:rPr>
          <w:rFonts w:hint="eastAsia"/>
        </w:rPr>
        <w:t>南尖塔镇公园绿化活动场地、多功能运动场地建设较好。</w:t>
      </w:r>
    </w:p>
    <w:p w14:paraId="0AFB74A3">
      <w:pPr>
        <w:ind w:firstLine="640"/>
        <w:rPr>
          <w:rFonts w:hint="eastAsia"/>
        </w:rPr>
      </w:pPr>
      <w:r>
        <w:rPr>
          <w:rFonts w:hint="eastAsia"/>
        </w:rPr>
        <w:t>银河北路街道在文化活动中心、公园绿化活动场地建设等方面表现较好，但中学服务范围有待扩大，乱停放车辆问题需要整治。</w:t>
      </w:r>
    </w:p>
    <w:p w14:paraId="6BB637A7">
      <w:pPr>
        <w:ind w:firstLine="640"/>
        <w:rPr>
          <w:rFonts w:hint="eastAsia"/>
        </w:rPr>
      </w:pPr>
      <w:r>
        <w:rPr>
          <w:rFonts w:hint="eastAsia"/>
        </w:rPr>
        <w:t>解放道街道在文化活动中心建设等方面表现较好，多功能运动场地需进一步建设。</w:t>
      </w:r>
    </w:p>
    <w:p w14:paraId="4881E27A">
      <w:pPr>
        <w:ind w:firstLine="640"/>
        <w:rPr>
          <w:rFonts w:hint="eastAsia"/>
        </w:rPr>
      </w:pPr>
      <w:r>
        <w:rPr>
          <w:rFonts w:hint="eastAsia"/>
        </w:rPr>
        <w:t>新开路街道在文化活动中心建设等方面表现较好，车辆停放治理方面略有成效。</w:t>
      </w:r>
    </w:p>
    <w:p w14:paraId="39DA2FDF">
      <w:pPr>
        <w:ind w:firstLine="640"/>
        <w:rPr>
          <w:rFonts w:hint="eastAsia"/>
        </w:rPr>
      </w:pPr>
      <w:r>
        <w:rPr>
          <w:rFonts w:hint="eastAsia"/>
        </w:rPr>
        <w:t>北旺镇在中学服务设施、多功能运动场地、文化活动中心建设等方面需要加强。</w:t>
      </w:r>
    </w:p>
    <w:p w14:paraId="026B57C8">
      <w:pPr>
        <w:ind w:firstLine="640"/>
        <w:rPr>
          <w:rFonts w:hint="eastAsia"/>
        </w:rPr>
      </w:pPr>
      <w:r>
        <w:rPr>
          <w:rFonts w:hint="eastAsia"/>
        </w:rPr>
        <w:t>光明西路街道乱停放车辆问题需整治。</w:t>
      </w:r>
    </w:p>
    <w:p w14:paraId="6B1337FF">
      <w:pPr>
        <w:ind w:firstLine="640"/>
        <w:rPr>
          <w:rFonts w:hint="eastAsia"/>
        </w:rPr>
      </w:pPr>
      <w:r>
        <w:rPr>
          <w:rFonts w:hint="eastAsia"/>
        </w:rPr>
        <w:t>永华道街道公园绿化活动场地、中学服务设施建设较好，文化活动中心需进一步建设，乱停放车辆问题需加强整治。</w:t>
      </w:r>
    </w:p>
    <w:p w14:paraId="5B580F26">
      <w:pPr>
        <w:ind w:firstLine="640"/>
        <w:rPr>
          <w:rFonts w:hint="eastAsia"/>
        </w:rPr>
      </w:pPr>
      <w:r>
        <w:rPr>
          <w:rFonts w:hint="eastAsia"/>
        </w:rPr>
        <w:t>银河南路街道在文化活动中心、多功能运动场地建设等方面表现较好。</w:t>
      </w:r>
    </w:p>
    <w:p w14:paraId="5C4A09BB">
      <w:pPr>
        <w:ind w:firstLine="640"/>
        <w:rPr>
          <w:rFonts w:hint="eastAsia"/>
        </w:rPr>
      </w:pPr>
      <w:r>
        <w:rPr>
          <w:rFonts w:hint="eastAsia"/>
        </w:rPr>
        <w:t>北史家务镇中学服务设施较为完善。</w:t>
      </w:r>
    </w:p>
    <w:p w14:paraId="1F643E7A">
      <w:pPr>
        <w:ind w:firstLine="640"/>
        <w:rPr>
          <w:rFonts w:hint="eastAsia"/>
        </w:rPr>
      </w:pPr>
      <w:r>
        <w:rPr>
          <w:rFonts w:hint="eastAsia"/>
        </w:rPr>
        <w:t>龙河高新区车辆停放管控较好。</w:t>
      </w:r>
    </w:p>
    <w:p w14:paraId="63BD853E">
      <w:pPr>
        <w:ind w:firstLine="640"/>
        <w:rPr>
          <w:rFonts w:hint="eastAsia"/>
        </w:rPr>
      </w:pPr>
      <w:r>
        <w:rPr>
          <w:rFonts w:hint="eastAsia"/>
        </w:rPr>
        <w:t>杨税务镇车辆停放治理较好，但中学服务设施、公园绿化活动场地建设有待加强。</w:t>
      </w:r>
    </w:p>
    <w:p w14:paraId="78AD7AD4">
      <w:pPr>
        <w:ind w:firstLine="640"/>
        <w:rPr>
          <w:rFonts w:hint="eastAsia"/>
        </w:rPr>
      </w:pPr>
      <w:r>
        <w:rPr>
          <w:rFonts w:hint="eastAsia"/>
        </w:rPr>
        <w:t>开发区车辆停放管控较好，在中学服务设施、多功能运动场地、文化活动中心、公园绿化活动场地等方面均需加强建设。</w:t>
      </w:r>
    </w:p>
    <w:p w14:paraId="324E1904">
      <w:pPr>
        <w:ind w:firstLine="640"/>
        <w:rPr>
          <w:rFonts w:hint="eastAsia"/>
        </w:rPr>
      </w:pPr>
    </w:p>
    <w:p w14:paraId="79228DFC">
      <w:pPr>
        <w:pStyle w:val="48"/>
        <w:outlineLvl w:val="9"/>
        <w:rPr>
          <w:rFonts w:hint="eastAsia"/>
        </w:rPr>
      </w:pPr>
      <w:r>
        <w:rPr>
          <w:rFonts w:hint="eastAsia"/>
        </w:rPr>
        <w:t>街区维度各街道评价结果</w:t>
      </w:r>
    </w:p>
    <w:tbl>
      <w:tblPr>
        <w:tblStyle w:val="29"/>
        <w:tblW w:w="538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96"/>
        <w:gridCol w:w="330"/>
        <w:gridCol w:w="1960"/>
        <w:gridCol w:w="355"/>
        <w:gridCol w:w="430"/>
        <w:gridCol w:w="529"/>
        <w:gridCol w:w="533"/>
        <w:gridCol w:w="536"/>
        <w:gridCol w:w="436"/>
        <w:gridCol w:w="467"/>
        <w:gridCol w:w="472"/>
        <w:gridCol w:w="522"/>
        <w:gridCol w:w="474"/>
        <w:gridCol w:w="395"/>
        <w:gridCol w:w="354"/>
        <w:gridCol w:w="326"/>
        <w:gridCol w:w="328"/>
      </w:tblGrid>
      <w:tr w14:paraId="773DB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restart"/>
            <w:shd w:val="clear" w:color="auto" w:fill="auto"/>
            <w:noWrap/>
            <w:vAlign w:val="center"/>
          </w:tcPr>
          <w:p w14:paraId="3DADED17">
            <w:pPr>
              <w:pStyle w:val="41"/>
              <w:rPr>
                <w:rFonts w:hint="eastAsia" w:ascii="方正黑体_GBK" w:hAnsi="方正黑体_GBK" w:eastAsia="方正黑体_GBK" w:cs="方正黑体_GBK"/>
              </w:rPr>
            </w:pPr>
            <w:r>
              <w:rPr>
                <w:rFonts w:hint="eastAsia" w:ascii="方正黑体_GBK" w:hAnsi="方正黑体_GBK" w:eastAsia="方正黑体_GBK" w:cs="方正黑体_GBK"/>
              </w:rPr>
              <w:t>二级维度</w:t>
            </w:r>
          </w:p>
        </w:tc>
        <w:tc>
          <w:tcPr>
            <w:tcW w:w="184" w:type="pct"/>
            <w:vMerge w:val="restart"/>
            <w:shd w:val="clear" w:color="auto" w:fill="auto"/>
            <w:noWrap/>
            <w:vAlign w:val="center"/>
          </w:tcPr>
          <w:p w14:paraId="546D5E9A">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序号</w:t>
            </w:r>
          </w:p>
        </w:tc>
        <w:tc>
          <w:tcPr>
            <w:tcW w:w="1094" w:type="pct"/>
            <w:vMerge w:val="restart"/>
            <w:shd w:val="clear" w:color="auto" w:fill="auto"/>
            <w:noWrap/>
            <w:vAlign w:val="center"/>
          </w:tcPr>
          <w:p w14:paraId="02D30C38">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指标名称</w:t>
            </w:r>
          </w:p>
        </w:tc>
        <w:tc>
          <w:tcPr>
            <w:tcW w:w="1837" w:type="pct"/>
            <w:gridSpan w:val="7"/>
            <w:shd w:val="clear" w:color="auto" w:fill="auto"/>
            <w:vAlign w:val="center"/>
          </w:tcPr>
          <w:p w14:paraId="758884C0">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广阳区</w:t>
            </w:r>
          </w:p>
        </w:tc>
        <w:tc>
          <w:tcPr>
            <w:tcW w:w="1422" w:type="pct"/>
            <w:gridSpan w:val="6"/>
            <w:shd w:val="clear" w:color="auto" w:fill="auto"/>
            <w:vAlign w:val="center"/>
          </w:tcPr>
          <w:p w14:paraId="1159B3BD">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安次区</w:t>
            </w:r>
          </w:p>
        </w:tc>
        <w:tc>
          <w:tcPr>
            <w:tcW w:w="183" w:type="pct"/>
            <w:shd w:val="clear" w:color="auto" w:fill="auto"/>
            <w:vAlign w:val="center"/>
          </w:tcPr>
          <w:p w14:paraId="39511920">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开发区</w:t>
            </w:r>
          </w:p>
        </w:tc>
      </w:tr>
      <w:tr w14:paraId="63A1D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noWrap/>
            <w:vAlign w:val="center"/>
          </w:tcPr>
          <w:p w14:paraId="1549E2DD">
            <w:pPr>
              <w:pStyle w:val="41"/>
              <w:rPr>
                <w:rFonts w:hint="eastAsia" w:ascii="方正黑体_GBK" w:hAnsi="方正黑体_GBK" w:eastAsia="方正黑体_GBK" w:cs="方正黑体_GBK"/>
              </w:rPr>
            </w:pPr>
          </w:p>
        </w:tc>
        <w:tc>
          <w:tcPr>
            <w:tcW w:w="184" w:type="pct"/>
            <w:vMerge w:val="continue"/>
            <w:shd w:val="clear" w:color="auto" w:fill="auto"/>
            <w:noWrap/>
            <w:vAlign w:val="center"/>
          </w:tcPr>
          <w:p w14:paraId="4E90F5CD">
            <w:pPr>
              <w:pStyle w:val="41"/>
              <w:rPr>
                <w:rFonts w:hint="eastAsia" w:ascii="方正黑体_GBK" w:hAnsi="方正黑体_GBK" w:eastAsia="方正黑体_GBK" w:cs="方正黑体_GBK"/>
              </w:rPr>
            </w:pPr>
          </w:p>
        </w:tc>
        <w:tc>
          <w:tcPr>
            <w:tcW w:w="1094" w:type="pct"/>
            <w:vMerge w:val="continue"/>
            <w:shd w:val="clear" w:color="auto" w:fill="auto"/>
            <w:noWrap/>
            <w:vAlign w:val="center"/>
          </w:tcPr>
          <w:p w14:paraId="2A32982F">
            <w:pPr>
              <w:pStyle w:val="41"/>
              <w:rPr>
                <w:rFonts w:hint="eastAsia" w:ascii="方正黑体_GBK" w:hAnsi="方正黑体_GBK" w:eastAsia="方正黑体_GBK" w:cs="方正黑体_GBK"/>
              </w:rPr>
            </w:pPr>
          </w:p>
        </w:tc>
        <w:tc>
          <w:tcPr>
            <w:tcW w:w="198" w:type="pct"/>
            <w:shd w:val="clear" w:color="auto" w:fill="auto"/>
            <w:vAlign w:val="center"/>
          </w:tcPr>
          <w:p w14:paraId="72050D53">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新源道街道</w:t>
            </w:r>
          </w:p>
        </w:tc>
        <w:tc>
          <w:tcPr>
            <w:tcW w:w="240" w:type="pct"/>
            <w:shd w:val="clear" w:color="auto" w:fill="auto"/>
            <w:vAlign w:val="center"/>
          </w:tcPr>
          <w:p w14:paraId="46DD299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南尖塔镇</w:t>
            </w:r>
          </w:p>
        </w:tc>
        <w:tc>
          <w:tcPr>
            <w:tcW w:w="296" w:type="pct"/>
            <w:shd w:val="clear" w:color="auto" w:fill="auto"/>
            <w:vAlign w:val="center"/>
          </w:tcPr>
          <w:p w14:paraId="2D90F97E">
            <w:pPr>
              <w:pStyle w:val="41"/>
              <w:rPr>
                <w:rFonts w:hint="eastAsia" w:ascii="方正黑体_GBK" w:hAnsi="方正黑体_GBK" w:eastAsia="方正黑体_GBK" w:cs="方正黑体_GBK"/>
              </w:rPr>
            </w:pPr>
            <w:r>
              <w:rPr>
                <w:rFonts w:hint="eastAsia" w:ascii="方正黑体_GBK" w:hAnsi="方正黑体_GBK" w:eastAsia="方正黑体_GBK" w:cs="方正黑体_GBK"/>
              </w:rPr>
              <w:t>爱民东道街道</w:t>
            </w:r>
          </w:p>
        </w:tc>
        <w:tc>
          <w:tcPr>
            <w:tcW w:w="298" w:type="pct"/>
            <w:shd w:val="clear" w:color="auto" w:fill="auto"/>
            <w:vAlign w:val="center"/>
          </w:tcPr>
          <w:p w14:paraId="2DC031BD">
            <w:pPr>
              <w:pStyle w:val="41"/>
              <w:rPr>
                <w:rFonts w:hint="eastAsia" w:ascii="方正黑体_GBK" w:hAnsi="方正黑体_GBK" w:eastAsia="方正黑体_GBK" w:cs="方正黑体_GBK"/>
              </w:rPr>
            </w:pPr>
            <w:r>
              <w:rPr>
                <w:rFonts w:hint="eastAsia" w:ascii="方正黑体_GBK" w:hAnsi="方正黑体_GBK" w:eastAsia="方正黑体_GBK" w:cs="方正黑体_GBK"/>
              </w:rPr>
              <w:t>银河北路街道</w:t>
            </w:r>
          </w:p>
        </w:tc>
        <w:tc>
          <w:tcPr>
            <w:tcW w:w="300" w:type="pct"/>
            <w:shd w:val="clear" w:color="auto" w:fill="auto"/>
            <w:vAlign w:val="center"/>
          </w:tcPr>
          <w:p w14:paraId="4140E6C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解放道街道</w:t>
            </w:r>
          </w:p>
        </w:tc>
        <w:tc>
          <w:tcPr>
            <w:tcW w:w="244" w:type="pct"/>
            <w:shd w:val="clear" w:color="auto" w:fill="auto"/>
            <w:vAlign w:val="center"/>
          </w:tcPr>
          <w:p w14:paraId="71E1D580">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新开路街道</w:t>
            </w:r>
          </w:p>
        </w:tc>
        <w:tc>
          <w:tcPr>
            <w:tcW w:w="258" w:type="pct"/>
            <w:shd w:val="clear" w:color="auto" w:fill="auto"/>
            <w:vAlign w:val="center"/>
          </w:tcPr>
          <w:p w14:paraId="7FC889B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北旺镇</w:t>
            </w:r>
          </w:p>
        </w:tc>
        <w:tc>
          <w:tcPr>
            <w:tcW w:w="264" w:type="pct"/>
            <w:shd w:val="clear" w:color="auto" w:fill="auto"/>
            <w:vAlign w:val="center"/>
          </w:tcPr>
          <w:p w14:paraId="4B57C87C">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光明西路街道</w:t>
            </w:r>
          </w:p>
        </w:tc>
        <w:tc>
          <w:tcPr>
            <w:tcW w:w="292" w:type="pct"/>
            <w:shd w:val="clear" w:color="auto" w:fill="auto"/>
            <w:vAlign w:val="center"/>
          </w:tcPr>
          <w:p w14:paraId="01B30DE6">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永华道街道</w:t>
            </w:r>
          </w:p>
        </w:tc>
        <w:tc>
          <w:tcPr>
            <w:tcW w:w="265" w:type="pct"/>
            <w:shd w:val="clear" w:color="auto" w:fill="auto"/>
            <w:vAlign w:val="center"/>
          </w:tcPr>
          <w:p w14:paraId="4D28E3A8">
            <w:pPr>
              <w:pStyle w:val="41"/>
              <w:rPr>
                <w:rFonts w:hint="eastAsia" w:ascii="方正黑体_GBK" w:hAnsi="方正黑体_GBK" w:eastAsia="方正黑体_GBK" w:cs="方正黑体_GBK"/>
              </w:rPr>
            </w:pPr>
            <w:r>
              <w:rPr>
                <w:rFonts w:hint="eastAsia" w:ascii="方正黑体_GBK" w:hAnsi="方正黑体_GBK" w:eastAsia="方正黑体_GBK" w:cs="方正黑体_GBK"/>
              </w:rPr>
              <w:t>银河南路街道</w:t>
            </w:r>
          </w:p>
        </w:tc>
        <w:tc>
          <w:tcPr>
            <w:tcW w:w="221" w:type="pct"/>
            <w:shd w:val="clear" w:color="auto" w:fill="auto"/>
            <w:vAlign w:val="center"/>
          </w:tcPr>
          <w:p w14:paraId="34B2793A">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北史家务镇</w:t>
            </w:r>
          </w:p>
        </w:tc>
        <w:tc>
          <w:tcPr>
            <w:tcW w:w="198" w:type="pct"/>
            <w:shd w:val="clear" w:color="auto" w:fill="auto"/>
            <w:vAlign w:val="center"/>
          </w:tcPr>
          <w:p w14:paraId="3DE184B5">
            <w:pPr>
              <w:pStyle w:val="41"/>
              <w:rPr>
                <w:rFonts w:hint="eastAsia" w:ascii="方正黑体_GBK" w:hAnsi="方正黑体_GBK" w:eastAsia="方正黑体_GBK" w:cs="方正黑体_GBK"/>
              </w:rPr>
            </w:pPr>
            <w:r>
              <w:rPr>
                <w:rFonts w:hint="eastAsia" w:ascii="方正黑体_GBK" w:hAnsi="方正黑体_GBK" w:eastAsia="方正黑体_GBK" w:cs="方正黑体_GBK"/>
              </w:rPr>
              <w:t>龙河高新区</w:t>
            </w:r>
          </w:p>
        </w:tc>
        <w:tc>
          <w:tcPr>
            <w:tcW w:w="180" w:type="pct"/>
            <w:shd w:val="clear" w:color="auto" w:fill="auto"/>
            <w:vAlign w:val="center"/>
          </w:tcPr>
          <w:p w14:paraId="0FACD70B">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杨税务镇</w:t>
            </w:r>
          </w:p>
        </w:tc>
        <w:tc>
          <w:tcPr>
            <w:tcW w:w="183" w:type="pct"/>
            <w:shd w:val="clear" w:color="auto" w:fill="auto"/>
            <w:vAlign w:val="center"/>
          </w:tcPr>
          <w:p w14:paraId="74C278D1">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开发区</w:t>
            </w:r>
          </w:p>
        </w:tc>
      </w:tr>
      <w:tr w14:paraId="44C3D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restart"/>
            <w:shd w:val="clear" w:color="auto" w:fill="auto"/>
            <w:vAlign w:val="center"/>
          </w:tcPr>
          <w:p w14:paraId="51BA5289">
            <w:pPr>
              <w:pStyle w:val="41"/>
              <w:rPr>
                <w:rFonts w:hint="eastAsia"/>
              </w:rPr>
            </w:pPr>
            <w:r>
              <w:rPr>
                <w:rFonts w:hint="eastAsia"/>
              </w:rPr>
              <w:t>功能完善</w:t>
            </w:r>
          </w:p>
        </w:tc>
        <w:tc>
          <w:tcPr>
            <w:tcW w:w="184" w:type="pct"/>
            <w:shd w:val="clear" w:color="auto" w:fill="auto"/>
            <w:vAlign w:val="center"/>
          </w:tcPr>
          <w:p w14:paraId="73FD35B9">
            <w:pPr>
              <w:pStyle w:val="41"/>
              <w:rPr>
                <w:rFonts w:hint="eastAsia"/>
              </w:rPr>
            </w:pPr>
            <w:r>
              <w:rPr>
                <w:rFonts w:hint="eastAsia"/>
              </w:rPr>
              <w:t>23</w:t>
            </w:r>
          </w:p>
        </w:tc>
        <w:tc>
          <w:tcPr>
            <w:tcW w:w="1094" w:type="pct"/>
            <w:shd w:val="clear" w:color="auto" w:fill="auto"/>
            <w:vAlign w:val="center"/>
          </w:tcPr>
          <w:p w14:paraId="5402DFE2">
            <w:pPr>
              <w:pStyle w:val="41"/>
              <w:rPr>
                <w:rFonts w:hint="eastAsia"/>
              </w:rPr>
            </w:pPr>
            <w:r>
              <w:rPr>
                <w:rFonts w:hint="eastAsia"/>
              </w:rPr>
              <w:t>中学服务半径覆盖率（%）</w:t>
            </w:r>
          </w:p>
        </w:tc>
        <w:tc>
          <w:tcPr>
            <w:tcW w:w="198" w:type="pct"/>
            <w:shd w:val="clear" w:color="auto" w:fill="auto"/>
            <w:noWrap/>
            <w:vAlign w:val="center"/>
          </w:tcPr>
          <w:p w14:paraId="0D53CDAD">
            <w:pPr>
              <w:pStyle w:val="41"/>
              <w:jc w:val="both"/>
              <w:rPr>
                <w:rFonts w:hint="eastAsia"/>
              </w:rPr>
            </w:pPr>
            <w:r>
              <w:rPr>
                <w:rFonts w:hint="eastAsia"/>
              </w:rPr>
              <w:t>√</w:t>
            </w:r>
          </w:p>
        </w:tc>
        <w:tc>
          <w:tcPr>
            <w:tcW w:w="240" w:type="pct"/>
            <w:shd w:val="clear" w:color="auto" w:fill="auto"/>
            <w:noWrap/>
            <w:vAlign w:val="center"/>
          </w:tcPr>
          <w:p w14:paraId="630620E4">
            <w:pPr>
              <w:pStyle w:val="41"/>
              <w:rPr>
                <w:rFonts w:hint="eastAsia"/>
              </w:rPr>
            </w:pPr>
          </w:p>
        </w:tc>
        <w:tc>
          <w:tcPr>
            <w:tcW w:w="296" w:type="pct"/>
            <w:shd w:val="clear" w:color="auto" w:fill="auto"/>
            <w:noWrap/>
            <w:vAlign w:val="center"/>
          </w:tcPr>
          <w:p w14:paraId="7D28A9C2">
            <w:pPr>
              <w:pStyle w:val="41"/>
              <w:rPr>
                <w:rFonts w:hint="eastAsia"/>
              </w:rPr>
            </w:pPr>
          </w:p>
        </w:tc>
        <w:tc>
          <w:tcPr>
            <w:tcW w:w="298" w:type="pct"/>
            <w:shd w:val="clear" w:color="auto" w:fill="auto"/>
            <w:noWrap/>
            <w:vAlign w:val="center"/>
          </w:tcPr>
          <w:p w14:paraId="1C057D00">
            <w:pPr>
              <w:pStyle w:val="41"/>
              <w:jc w:val="both"/>
              <w:rPr>
                <w:rFonts w:hint="eastAsia"/>
              </w:rPr>
            </w:pPr>
            <w:r>
              <w:rPr>
                <w:rFonts w:hint="eastAsia"/>
              </w:rPr>
              <w:t>●</w:t>
            </w:r>
          </w:p>
        </w:tc>
        <w:tc>
          <w:tcPr>
            <w:tcW w:w="300" w:type="pct"/>
            <w:shd w:val="clear" w:color="auto" w:fill="auto"/>
            <w:noWrap/>
            <w:vAlign w:val="center"/>
          </w:tcPr>
          <w:p w14:paraId="199936DA">
            <w:pPr>
              <w:pStyle w:val="41"/>
              <w:rPr>
                <w:rFonts w:hint="eastAsia"/>
              </w:rPr>
            </w:pPr>
          </w:p>
        </w:tc>
        <w:tc>
          <w:tcPr>
            <w:tcW w:w="244" w:type="pct"/>
            <w:shd w:val="clear" w:color="auto" w:fill="auto"/>
            <w:noWrap/>
            <w:vAlign w:val="center"/>
          </w:tcPr>
          <w:p w14:paraId="25DA1879">
            <w:pPr>
              <w:pStyle w:val="41"/>
              <w:jc w:val="both"/>
              <w:rPr>
                <w:rFonts w:hint="eastAsia"/>
              </w:rPr>
            </w:pPr>
          </w:p>
        </w:tc>
        <w:tc>
          <w:tcPr>
            <w:tcW w:w="258" w:type="pct"/>
            <w:shd w:val="clear" w:color="auto" w:fill="auto"/>
            <w:noWrap/>
            <w:vAlign w:val="center"/>
          </w:tcPr>
          <w:p w14:paraId="3AE9942D">
            <w:pPr>
              <w:pStyle w:val="41"/>
              <w:jc w:val="both"/>
              <w:rPr>
                <w:rFonts w:hint="eastAsia"/>
              </w:rPr>
            </w:pPr>
            <w:r>
              <w:rPr>
                <w:rFonts w:hint="eastAsia"/>
              </w:rPr>
              <w:t>●</w:t>
            </w:r>
          </w:p>
        </w:tc>
        <w:tc>
          <w:tcPr>
            <w:tcW w:w="264" w:type="pct"/>
            <w:shd w:val="clear" w:color="auto" w:fill="auto"/>
            <w:noWrap/>
            <w:vAlign w:val="center"/>
          </w:tcPr>
          <w:p w14:paraId="2DE6615C">
            <w:pPr>
              <w:pStyle w:val="41"/>
              <w:rPr>
                <w:rFonts w:hint="eastAsia"/>
              </w:rPr>
            </w:pPr>
          </w:p>
        </w:tc>
        <w:tc>
          <w:tcPr>
            <w:tcW w:w="292" w:type="pct"/>
            <w:shd w:val="clear" w:color="auto" w:fill="auto"/>
            <w:noWrap/>
            <w:vAlign w:val="center"/>
          </w:tcPr>
          <w:p w14:paraId="7A31C62F">
            <w:pPr>
              <w:pStyle w:val="41"/>
              <w:jc w:val="both"/>
              <w:rPr>
                <w:rFonts w:hint="eastAsia"/>
              </w:rPr>
            </w:pPr>
            <w:r>
              <w:rPr>
                <w:rFonts w:hint="eastAsia"/>
              </w:rPr>
              <w:t>√</w:t>
            </w:r>
          </w:p>
        </w:tc>
        <w:tc>
          <w:tcPr>
            <w:tcW w:w="265" w:type="pct"/>
            <w:shd w:val="clear" w:color="auto" w:fill="auto"/>
            <w:noWrap/>
            <w:vAlign w:val="center"/>
          </w:tcPr>
          <w:p w14:paraId="628CE904">
            <w:pPr>
              <w:pStyle w:val="41"/>
              <w:rPr>
                <w:rFonts w:hint="eastAsia"/>
              </w:rPr>
            </w:pPr>
          </w:p>
        </w:tc>
        <w:tc>
          <w:tcPr>
            <w:tcW w:w="221" w:type="pct"/>
            <w:shd w:val="clear" w:color="auto" w:fill="auto"/>
            <w:noWrap/>
            <w:vAlign w:val="center"/>
          </w:tcPr>
          <w:p w14:paraId="52D426AD">
            <w:pPr>
              <w:pStyle w:val="41"/>
              <w:rPr>
                <w:rFonts w:hint="eastAsia"/>
              </w:rPr>
            </w:pPr>
            <w:r>
              <w:rPr>
                <w:rFonts w:hint="eastAsia"/>
              </w:rPr>
              <w:t>√</w:t>
            </w:r>
          </w:p>
        </w:tc>
        <w:tc>
          <w:tcPr>
            <w:tcW w:w="198" w:type="pct"/>
            <w:shd w:val="clear" w:color="auto" w:fill="auto"/>
            <w:noWrap/>
            <w:vAlign w:val="center"/>
          </w:tcPr>
          <w:p w14:paraId="2FDCAE17">
            <w:pPr>
              <w:pStyle w:val="41"/>
              <w:rPr>
                <w:rFonts w:hint="eastAsia"/>
              </w:rPr>
            </w:pPr>
          </w:p>
        </w:tc>
        <w:tc>
          <w:tcPr>
            <w:tcW w:w="180" w:type="pct"/>
            <w:shd w:val="clear" w:color="auto" w:fill="auto"/>
            <w:noWrap/>
            <w:vAlign w:val="center"/>
          </w:tcPr>
          <w:p w14:paraId="400F69C5">
            <w:pPr>
              <w:pStyle w:val="41"/>
              <w:jc w:val="both"/>
              <w:rPr>
                <w:rFonts w:hint="eastAsia"/>
              </w:rPr>
            </w:pPr>
            <w:r>
              <w:rPr>
                <w:rFonts w:hint="eastAsia"/>
              </w:rPr>
              <w:t>●</w:t>
            </w:r>
          </w:p>
        </w:tc>
        <w:tc>
          <w:tcPr>
            <w:tcW w:w="183" w:type="pct"/>
            <w:shd w:val="clear" w:color="auto" w:fill="auto"/>
            <w:noWrap/>
            <w:vAlign w:val="center"/>
          </w:tcPr>
          <w:p w14:paraId="2A5973FF">
            <w:pPr>
              <w:pStyle w:val="41"/>
              <w:jc w:val="both"/>
              <w:rPr>
                <w:rFonts w:hint="eastAsia"/>
              </w:rPr>
            </w:pPr>
            <w:r>
              <w:rPr>
                <w:rFonts w:hint="eastAsia"/>
              </w:rPr>
              <w:t>●</w:t>
            </w:r>
          </w:p>
        </w:tc>
      </w:tr>
      <w:tr w14:paraId="3732A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vAlign w:val="center"/>
          </w:tcPr>
          <w:p w14:paraId="2839B47A">
            <w:pPr>
              <w:pStyle w:val="41"/>
              <w:rPr>
                <w:rFonts w:hint="eastAsia"/>
              </w:rPr>
            </w:pPr>
          </w:p>
        </w:tc>
        <w:tc>
          <w:tcPr>
            <w:tcW w:w="184" w:type="pct"/>
            <w:shd w:val="clear" w:color="auto" w:fill="auto"/>
            <w:vAlign w:val="center"/>
          </w:tcPr>
          <w:p w14:paraId="48CD753A">
            <w:pPr>
              <w:pStyle w:val="41"/>
              <w:rPr>
                <w:rFonts w:hint="eastAsia"/>
              </w:rPr>
            </w:pPr>
            <w:r>
              <w:rPr>
                <w:rFonts w:hint="eastAsia"/>
              </w:rPr>
              <w:t>24</w:t>
            </w:r>
          </w:p>
        </w:tc>
        <w:tc>
          <w:tcPr>
            <w:tcW w:w="1094" w:type="pct"/>
            <w:shd w:val="clear" w:color="auto" w:fill="auto"/>
            <w:vAlign w:val="center"/>
          </w:tcPr>
          <w:p w14:paraId="0D1701CC">
            <w:pPr>
              <w:pStyle w:val="41"/>
              <w:rPr>
                <w:rFonts w:hint="eastAsia"/>
              </w:rPr>
            </w:pPr>
            <w:r>
              <w:rPr>
                <w:rFonts w:hint="eastAsia"/>
              </w:rPr>
              <w:t>未达标配建多功能运动场地的数量（个）</w:t>
            </w:r>
          </w:p>
        </w:tc>
        <w:tc>
          <w:tcPr>
            <w:tcW w:w="198" w:type="pct"/>
            <w:shd w:val="clear" w:color="auto" w:fill="auto"/>
            <w:noWrap/>
            <w:vAlign w:val="center"/>
          </w:tcPr>
          <w:p w14:paraId="46ACACC6">
            <w:pPr>
              <w:pStyle w:val="41"/>
              <w:rPr>
                <w:rFonts w:hint="eastAsia"/>
              </w:rPr>
            </w:pPr>
            <w:r>
              <w:rPr>
                <w:rFonts w:hint="eastAsia"/>
              </w:rPr>
              <w:t>√</w:t>
            </w:r>
          </w:p>
        </w:tc>
        <w:tc>
          <w:tcPr>
            <w:tcW w:w="240" w:type="pct"/>
            <w:shd w:val="clear" w:color="auto" w:fill="auto"/>
            <w:noWrap/>
            <w:vAlign w:val="center"/>
          </w:tcPr>
          <w:p w14:paraId="696D1493">
            <w:pPr>
              <w:pStyle w:val="41"/>
              <w:rPr>
                <w:rFonts w:hint="eastAsia"/>
              </w:rPr>
            </w:pPr>
            <w:r>
              <w:rPr>
                <w:rFonts w:hint="eastAsia"/>
              </w:rPr>
              <w:t>√</w:t>
            </w:r>
          </w:p>
        </w:tc>
        <w:tc>
          <w:tcPr>
            <w:tcW w:w="296" w:type="pct"/>
            <w:shd w:val="clear" w:color="auto" w:fill="auto"/>
            <w:noWrap/>
            <w:vAlign w:val="center"/>
          </w:tcPr>
          <w:p w14:paraId="18BB33C8">
            <w:pPr>
              <w:pStyle w:val="41"/>
              <w:rPr>
                <w:rFonts w:hint="eastAsia"/>
              </w:rPr>
            </w:pPr>
          </w:p>
        </w:tc>
        <w:tc>
          <w:tcPr>
            <w:tcW w:w="298" w:type="pct"/>
            <w:shd w:val="clear" w:color="auto" w:fill="auto"/>
            <w:noWrap/>
            <w:vAlign w:val="center"/>
          </w:tcPr>
          <w:p w14:paraId="60BE341B">
            <w:pPr>
              <w:pStyle w:val="41"/>
              <w:rPr>
                <w:rFonts w:hint="eastAsia"/>
              </w:rPr>
            </w:pPr>
          </w:p>
        </w:tc>
        <w:tc>
          <w:tcPr>
            <w:tcW w:w="300" w:type="pct"/>
            <w:shd w:val="clear" w:color="auto" w:fill="auto"/>
            <w:noWrap/>
            <w:vAlign w:val="center"/>
          </w:tcPr>
          <w:p w14:paraId="7BE1CF57">
            <w:pPr>
              <w:pStyle w:val="41"/>
              <w:jc w:val="both"/>
              <w:rPr>
                <w:rFonts w:hint="eastAsia"/>
              </w:rPr>
            </w:pPr>
            <w:r>
              <w:rPr>
                <w:rFonts w:hint="eastAsia"/>
              </w:rPr>
              <w:t>●</w:t>
            </w:r>
          </w:p>
        </w:tc>
        <w:tc>
          <w:tcPr>
            <w:tcW w:w="244" w:type="pct"/>
            <w:shd w:val="clear" w:color="auto" w:fill="auto"/>
            <w:noWrap/>
            <w:vAlign w:val="center"/>
          </w:tcPr>
          <w:p w14:paraId="20DC2D26">
            <w:pPr>
              <w:pStyle w:val="41"/>
              <w:rPr>
                <w:rFonts w:hint="eastAsia"/>
              </w:rPr>
            </w:pPr>
          </w:p>
        </w:tc>
        <w:tc>
          <w:tcPr>
            <w:tcW w:w="258" w:type="pct"/>
            <w:shd w:val="clear" w:color="auto" w:fill="auto"/>
            <w:noWrap/>
            <w:vAlign w:val="center"/>
          </w:tcPr>
          <w:p w14:paraId="39BCDE0D">
            <w:pPr>
              <w:pStyle w:val="41"/>
              <w:jc w:val="both"/>
              <w:rPr>
                <w:rFonts w:hint="eastAsia"/>
              </w:rPr>
            </w:pPr>
            <w:r>
              <w:rPr>
                <w:rFonts w:hint="eastAsia"/>
              </w:rPr>
              <w:t>●</w:t>
            </w:r>
          </w:p>
        </w:tc>
        <w:tc>
          <w:tcPr>
            <w:tcW w:w="264" w:type="pct"/>
            <w:shd w:val="clear" w:color="auto" w:fill="auto"/>
            <w:noWrap/>
            <w:vAlign w:val="center"/>
          </w:tcPr>
          <w:p w14:paraId="1D9F6AFF">
            <w:pPr>
              <w:pStyle w:val="41"/>
              <w:rPr>
                <w:rFonts w:hint="eastAsia"/>
              </w:rPr>
            </w:pPr>
          </w:p>
        </w:tc>
        <w:tc>
          <w:tcPr>
            <w:tcW w:w="292" w:type="pct"/>
            <w:shd w:val="clear" w:color="auto" w:fill="auto"/>
            <w:noWrap/>
            <w:vAlign w:val="center"/>
          </w:tcPr>
          <w:p w14:paraId="07D87D0D">
            <w:pPr>
              <w:pStyle w:val="41"/>
              <w:rPr>
                <w:rFonts w:hint="eastAsia"/>
              </w:rPr>
            </w:pPr>
          </w:p>
        </w:tc>
        <w:tc>
          <w:tcPr>
            <w:tcW w:w="265" w:type="pct"/>
            <w:shd w:val="clear" w:color="auto" w:fill="auto"/>
            <w:noWrap/>
            <w:vAlign w:val="center"/>
          </w:tcPr>
          <w:p w14:paraId="174208FB">
            <w:pPr>
              <w:pStyle w:val="41"/>
              <w:rPr>
                <w:rFonts w:hint="eastAsia"/>
              </w:rPr>
            </w:pPr>
            <w:r>
              <w:rPr>
                <w:rFonts w:hint="eastAsia"/>
              </w:rPr>
              <w:t>√</w:t>
            </w:r>
          </w:p>
        </w:tc>
        <w:tc>
          <w:tcPr>
            <w:tcW w:w="221" w:type="pct"/>
            <w:shd w:val="clear" w:color="auto" w:fill="auto"/>
            <w:noWrap/>
            <w:vAlign w:val="center"/>
          </w:tcPr>
          <w:p w14:paraId="5B5F53EF">
            <w:pPr>
              <w:pStyle w:val="41"/>
              <w:rPr>
                <w:rFonts w:hint="eastAsia"/>
              </w:rPr>
            </w:pPr>
          </w:p>
        </w:tc>
        <w:tc>
          <w:tcPr>
            <w:tcW w:w="198" w:type="pct"/>
            <w:shd w:val="clear" w:color="auto" w:fill="auto"/>
            <w:noWrap/>
            <w:vAlign w:val="center"/>
          </w:tcPr>
          <w:p w14:paraId="7323CDFD">
            <w:pPr>
              <w:pStyle w:val="41"/>
              <w:rPr>
                <w:rFonts w:hint="eastAsia"/>
              </w:rPr>
            </w:pPr>
          </w:p>
        </w:tc>
        <w:tc>
          <w:tcPr>
            <w:tcW w:w="180" w:type="pct"/>
            <w:shd w:val="clear" w:color="auto" w:fill="auto"/>
            <w:noWrap/>
            <w:vAlign w:val="center"/>
          </w:tcPr>
          <w:p w14:paraId="3FA25EC4">
            <w:pPr>
              <w:pStyle w:val="41"/>
              <w:rPr>
                <w:rFonts w:hint="eastAsia"/>
              </w:rPr>
            </w:pPr>
          </w:p>
        </w:tc>
        <w:tc>
          <w:tcPr>
            <w:tcW w:w="183" w:type="pct"/>
            <w:shd w:val="clear" w:color="auto" w:fill="auto"/>
            <w:noWrap/>
            <w:vAlign w:val="center"/>
          </w:tcPr>
          <w:p w14:paraId="531A68C8">
            <w:pPr>
              <w:pStyle w:val="41"/>
              <w:jc w:val="both"/>
              <w:rPr>
                <w:rFonts w:hint="eastAsia"/>
              </w:rPr>
            </w:pPr>
            <w:r>
              <w:rPr>
                <w:rFonts w:hint="eastAsia"/>
              </w:rPr>
              <w:t>●</w:t>
            </w:r>
          </w:p>
        </w:tc>
      </w:tr>
      <w:tr w14:paraId="14756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vAlign w:val="center"/>
          </w:tcPr>
          <w:p w14:paraId="2DAB114C">
            <w:pPr>
              <w:pStyle w:val="41"/>
              <w:rPr>
                <w:rFonts w:hint="eastAsia"/>
              </w:rPr>
            </w:pPr>
          </w:p>
        </w:tc>
        <w:tc>
          <w:tcPr>
            <w:tcW w:w="184" w:type="pct"/>
            <w:shd w:val="clear" w:color="auto" w:fill="auto"/>
            <w:vAlign w:val="center"/>
          </w:tcPr>
          <w:p w14:paraId="16C3692D">
            <w:pPr>
              <w:pStyle w:val="41"/>
              <w:rPr>
                <w:rFonts w:hint="eastAsia"/>
              </w:rPr>
            </w:pPr>
            <w:r>
              <w:rPr>
                <w:rFonts w:hint="eastAsia"/>
              </w:rPr>
              <w:t>25</w:t>
            </w:r>
          </w:p>
        </w:tc>
        <w:tc>
          <w:tcPr>
            <w:tcW w:w="1094" w:type="pct"/>
            <w:shd w:val="clear" w:color="auto" w:fill="auto"/>
            <w:vAlign w:val="center"/>
          </w:tcPr>
          <w:p w14:paraId="61A6B1A5">
            <w:pPr>
              <w:pStyle w:val="41"/>
              <w:rPr>
                <w:rFonts w:hint="eastAsia"/>
              </w:rPr>
            </w:pPr>
            <w:r>
              <w:rPr>
                <w:rFonts w:hint="eastAsia"/>
              </w:rPr>
              <w:t>未达标配建文化活动中心的数量（个）</w:t>
            </w:r>
          </w:p>
        </w:tc>
        <w:tc>
          <w:tcPr>
            <w:tcW w:w="198" w:type="pct"/>
            <w:shd w:val="clear" w:color="auto" w:fill="auto"/>
            <w:noWrap/>
            <w:vAlign w:val="center"/>
          </w:tcPr>
          <w:p w14:paraId="52FA0006">
            <w:pPr>
              <w:pStyle w:val="41"/>
              <w:rPr>
                <w:rFonts w:hint="eastAsia"/>
              </w:rPr>
            </w:pPr>
          </w:p>
        </w:tc>
        <w:tc>
          <w:tcPr>
            <w:tcW w:w="240" w:type="pct"/>
            <w:shd w:val="clear" w:color="auto" w:fill="auto"/>
            <w:noWrap/>
            <w:vAlign w:val="center"/>
          </w:tcPr>
          <w:p w14:paraId="5BDFD466">
            <w:pPr>
              <w:pStyle w:val="41"/>
              <w:rPr>
                <w:rFonts w:hint="eastAsia"/>
              </w:rPr>
            </w:pPr>
          </w:p>
        </w:tc>
        <w:tc>
          <w:tcPr>
            <w:tcW w:w="296" w:type="pct"/>
            <w:shd w:val="clear" w:color="auto" w:fill="auto"/>
            <w:noWrap/>
            <w:vAlign w:val="center"/>
          </w:tcPr>
          <w:p w14:paraId="34E42E50">
            <w:pPr>
              <w:pStyle w:val="41"/>
              <w:rPr>
                <w:rFonts w:hint="eastAsia"/>
              </w:rPr>
            </w:pPr>
          </w:p>
        </w:tc>
        <w:tc>
          <w:tcPr>
            <w:tcW w:w="298" w:type="pct"/>
            <w:shd w:val="clear" w:color="auto" w:fill="auto"/>
            <w:noWrap/>
            <w:vAlign w:val="center"/>
          </w:tcPr>
          <w:p w14:paraId="30D18410">
            <w:pPr>
              <w:pStyle w:val="41"/>
              <w:rPr>
                <w:rFonts w:hint="eastAsia"/>
              </w:rPr>
            </w:pPr>
            <w:r>
              <w:rPr>
                <w:rFonts w:hint="eastAsia"/>
              </w:rPr>
              <w:t>√</w:t>
            </w:r>
          </w:p>
        </w:tc>
        <w:tc>
          <w:tcPr>
            <w:tcW w:w="300" w:type="pct"/>
            <w:shd w:val="clear" w:color="auto" w:fill="auto"/>
            <w:noWrap/>
            <w:vAlign w:val="center"/>
          </w:tcPr>
          <w:p w14:paraId="70C41AD9">
            <w:pPr>
              <w:pStyle w:val="41"/>
              <w:rPr>
                <w:rFonts w:hint="eastAsia"/>
              </w:rPr>
            </w:pPr>
            <w:r>
              <w:rPr>
                <w:rFonts w:hint="eastAsia"/>
              </w:rPr>
              <w:t>√</w:t>
            </w:r>
          </w:p>
        </w:tc>
        <w:tc>
          <w:tcPr>
            <w:tcW w:w="244" w:type="pct"/>
            <w:shd w:val="clear" w:color="auto" w:fill="auto"/>
            <w:noWrap/>
            <w:vAlign w:val="center"/>
          </w:tcPr>
          <w:p w14:paraId="2E46EA26">
            <w:pPr>
              <w:pStyle w:val="41"/>
              <w:rPr>
                <w:rFonts w:hint="eastAsia"/>
              </w:rPr>
            </w:pPr>
            <w:r>
              <w:rPr>
                <w:rFonts w:hint="eastAsia"/>
              </w:rPr>
              <w:t>√</w:t>
            </w:r>
          </w:p>
        </w:tc>
        <w:tc>
          <w:tcPr>
            <w:tcW w:w="258" w:type="pct"/>
            <w:shd w:val="clear" w:color="auto" w:fill="auto"/>
            <w:noWrap/>
            <w:vAlign w:val="center"/>
          </w:tcPr>
          <w:p w14:paraId="71917C42">
            <w:pPr>
              <w:pStyle w:val="41"/>
              <w:jc w:val="both"/>
              <w:rPr>
                <w:rFonts w:hint="eastAsia"/>
              </w:rPr>
            </w:pPr>
            <w:r>
              <w:rPr>
                <w:rFonts w:hint="eastAsia"/>
              </w:rPr>
              <w:t>●</w:t>
            </w:r>
          </w:p>
        </w:tc>
        <w:tc>
          <w:tcPr>
            <w:tcW w:w="264" w:type="pct"/>
            <w:shd w:val="clear" w:color="auto" w:fill="auto"/>
            <w:noWrap/>
            <w:vAlign w:val="center"/>
          </w:tcPr>
          <w:p w14:paraId="7558E29D">
            <w:pPr>
              <w:pStyle w:val="41"/>
              <w:rPr>
                <w:rFonts w:hint="eastAsia"/>
              </w:rPr>
            </w:pPr>
          </w:p>
        </w:tc>
        <w:tc>
          <w:tcPr>
            <w:tcW w:w="292" w:type="pct"/>
            <w:shd w:val="clear" w:color="auto" w:fill="auto"/>
            <w:noWrap/>
            <w:vAlign w:val="center"/>
          </w:tcPr>
          <w:p w14:paraId="6DFA9DF0">
            <w:pPr>
              <w:pStyle w:val="41"/>
              <w:jc w:val="both"/>
              <w:rPr>
                <w:rFonts w:hint="eastAsia"/>
              </w:rPr>
            </w:pPr>
            <w:r>
              <w:rPr>
                <w:rFonts w:hint="eastAsia"/>
              </w:rPr>
              <w:t>●</w:t>
            </w:r>
          </w:p>
        </w:tc>
        <w:tc>
          <w:tcPr>
            <w:tcW w:w="265" w:type="pct"/>
            <w:shd w:val="clear" w:color="auto" w:fill="auto"/>
            <w:noWrap/>
            <w:vAlign w:val="center"/>
          </w:tcPr>
          <w:p w14:paraId="4289F899">
            <w:pPr>
              <w:pStyle w:val="41"/>
              <w:rPr>
                <w:rFonts w:hint="eastAsia"/>
              </w:rPr>
            </w:pPr>
            <w:r>
              <w:rPr>
                <w:rFonts w:hint="eastAsia"/>
              </w:rPr>
              <w:t>√</w:t>
            </w:r>
          </w:p>
        </w:tc>
        <w:tc>
          <w:tcPr>
            <w:tcW w:w="221" w:type="pct"/>
            <w:shd w:val="clear" w:color="auto" w:fill="auto"/>
            <w:noWrap/>
            <w:vAlign w:val="center"/>
          </w:tcPr>
          <w:p w14:paraId="4212DB86">
            <w:pPr>
              <w:pStyle w:val="41"/>
              <w:rPr>
                <w:rFonts w:hint="eastAsia"/>
              </w:rPr>
            </w:pPr>
          </w:p>
        </w:tc>
        <w:tc>
          <w:tcPr>
            <w:tcW w:w="198" w:type="pct"/>
            <w:shd w:val="clear" w:color="auto" w:fill="auto"/>
            <w:noWrap/>
            <w:vAlign w:val="center"/>
          </w:tcPr>
          <w:p w14:paraId="687C8AA1">
            <w:pPr>
              <w:pStyle w:val="41"/>
              <w:rPr>
                <w:rFonts w:hint="eastAsia"/>
              </w:rPr>
            </w:pPr>
          </w:p>
        </w:tc>
        <w:tc>
          <w:tcPr>
            <w:tcW w:w="180" w:type="pct"/>
            <w:shd w:val="clear" w:color="auto" w:fill="auto"/>
            <w:noWrap/>
            <w:vAlign w:val="center"/>
          </w:tcPr>
          <w:p w14:paraId="0CDF325C">
            <w:pPr>
              <w:pStyle w:val="41"/>
              <w:rPr>
                <w:rFonts w:hint="eastAsia"/>
              </w:rPr>
            </w:pPr>
          </w:p>
        </w:tc>
        <w:tc>
          <w:tcPr>
            <w:tcW w:w="183" w:type="pct"/>
            <w:shd w:val="clear" w:color="auto" w:fill="auto"/>
            <w:noWrap/>
            <w:vAlign w:val="center"/>
          </w:tcPr>
          <w:p w14:paraId="699BAE2A">
            <w:pPr>
              <w:pStyle w:val="41"/>
              <w:jc w:val="both"/>
              <w:rPr>
                <w:rFonts w:hint="eastAsia"/>
              </w:rPr>
            </w:pPr>
            <w:r>
              <w:rPr>
                <w:rFonts w:hint="eastAsia"/>
              </w:rPr>
              <w:t>●</w:t>
            </w:r>
          </w:p>
        </w:tc>
      </w:tr>
      <w:tr w14:paraId="23C6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vAlign w:val="center"/>
          </w:tcPr>
          <w:p w14:paraId="778A84DA">
            <w:pPr>
              <w:pStyle w:val="41"/>
              <w:rPr>
                <w:rFonts w:hint="eastAsia"/>
              </w:rPr>
            </w:pPr>
          </w:p>
        </w:tc>
        <w:tc>
          <w:tcPr>
            <w:tcW w:w="184" w:type="pct"/>
            <w:shd w:val="clear" w:color="auto" w:fill="auto"/>
            <w:vAlign w:val="center"/>
          </w:tcPr>
          <w:p w14:paraId="181791C3">
            <w:pPr>
              <w:pStyle w:val="41"/>
              <w:rPr>
                <w:rFonts w:hint="eastAsia"/>
              </w:rPr>
            </w:pPr>
            <w:r>
              <w:rPr>
                <w:rFonts w:hint="eastAsia"/>
              </w:rPr>
              <w:t>26</w:t>
            </w:r>
          </w:p>
        </w:tc>
        <w:tc>
          <w:tcPr>
            <w:tcW w:w="1094" w:type="pct"/>
            <w:shd w:val="clear" w:color="auto" w:fill="auto"/>
            <w:vAlign w:val="center"/>
          </w:tcPr>
          <w:p w14:paraId="5B3FB556">
            <w:pPr>
              <w:pStyle w:val="41"/>
              <w:rPr>
                <w:rFonts w:hint="eastAsia"/>
              </w:rPr>
            </w:pPr>
            <w:r>
              <w:rPr>
                <w:rFonts w:hint="eastAsia"/>
              </w:rPr>
              <w:t>☆公园绿化活动场地服务半径覆盖率（%）</w:t>
            </w:r>
          </w:p>
        </w:tc>
        <w:tc>
          <w:tcPr>
            <w:tcW w:w="198" w:type="pct"/>
            <w:shd w:val="clear" w:color="auto" w:fill="auto"/>
            <w:noWrap/>
            <w:vAlign w:val="center"/>
          </w:tcPr>
          <w:p w14:paraId="361C99BB">
            <w:pPr>
              <w:pStyle w:val="41"/>
              <w:rPr>
                <w:rFonts w:hint="eastAsia"/>
              </w:rPr>
            </w:pPr>
            <w:r>
              <w:rPr>
                <w:rFonts w:hint="eastAsia"/>
              </w:rPr>
              <w:t>√</w:t>
            </w:r>
          </w:p>
        </w:tc>
        <w:tc>
          <w:tcPr>
            <w:tcW w:w="240" w:type="pct"/>
            <w:shd w:val="clear" w:color="auto" w:fill="auto"/>
            <w:noWrap/>
            <w:vAlign w:val="center"/>
          </w:tcPr>
          <w:p w14:paraId="02426D95">
            <w:pPr>
              <w:pStyle w:val="41"/>
              <w:rPr>
                <w:rFonts w:hint="eastAsia"/>
              </w:rPr>
            </w:pPr>
            <w:r>
              <w:rPr>
                <w:rFonts w:hint="eastAsia"/>
              </w:rPr>
              <w:t>√</w:t>
            </w:r>
          </w:p>
        </w:tc>
        <w:tc>
          <w:tcPr>
            <w:tcW w:w="296" w:type="pct"/>
            <w:shd w:val="clear" w:color="auto" w:fill="auto"/>
            <w:noWrap/>
            <w:vAlign w:val="center"/>
          </w:tcPr>
          <w:p w14:paraId="4972AE04">
            <w:pPr>
              <w:pStyle w:val="41"/>
              <w:rPr>
                <w:rFonts w:hint="eastAsia"/>
              </w:rPr>
            </w:pPr>
          </w:p>
        </w:tc>
        <w:tc>
          <w:tcPr>
            <w:tcW w:w="298" w:type="pct"/>
            <w:shd w:val="clear" w:color="auto" w:fill="auto"/>
            <w:noWrap/>
            <w:vAlign w:val="center"/>
          </w:tcPr>
          <w:p w14:paraId="4F8AB4D5">
            <w:pPr>
              <w:pStyle w:val="41"/>
              <w:rPr>
                <w:rFonts w:hint="eastAsia"/>
              </w:rPr>
            </w:pPr>
            <w:r>
              <w:rPr>
                <w:rFonts w:hint="eastAsia"/>
              </w:rPr>
              <w:t>√</w:t>
            </w:r>
          </w:p>
        </w:tc>
        <w:tc>
          <w:tcPr>
            <w:tcW w:w="300" w:type="pct"/>
            <w:shd w:val="clear" w:color="auto" w:fill="auto"/>
            <w:noWrap/>
            <w:vAlign w:val="center"/>
          </w:tcPr>
          <w:p w14:paraId="17483702">
            <w:pPr>
              <w:pStyle w:val="41"/>
              <w:rPr>
                <w:rFonts w:hint="eastAsia"/>
              </w:rPr>
            </w:pPr>
          </w:p>
        </w:tc>
        <w:tc>
          <w:tcPr>
            <w:tcW w:w="244" w:type="pct"/>
            <w:shd w:val="clear" w:color="auto" w:fill="auto"/>
            <w:noWrap/>
            <w:vAlign w:val="center"/>
          </w:tcPr>
          <w:p w14:paraId="48730338">
            <w:pPr>
              <w:pStyle w:val="41"/>
              <w:rPr>
                <w:rFonts w:hint="eastAsia"/>
              </w:rPr>
            </w:pPr>
          </w:p>
        </w:tc>
        <w:tc>
          <w:tcPr>
            <w:tcW w:w="258" w:type="pct"/>
            <w:shd w:val="clear" w:color="auto" w:fill="auto"/>
            <w:noWrap/>
            <w:vAlign w:val="center"/>
          </w:tcPr>
          <w:p w14:paraId="7F4F5DB9">
            <w:pPr>
              <w:pStyle w:val="41"/>
              <w:rPr>
                <w:rFonts w:hint="eastAsia"/>
              </w:rPr>
            </w:pPr>
          </w:p>
        </w:tc>
        <w:tc>
          <w:tcPr>
            <w:tcW w:w="264" w:type="pct"/>
            <w:shd w:val="clear" w:color="auto" w:fill="auto"/>
            <w:noWrap/>
            <w:vAlign w:val="center"/>
          </w:tcPr>
          <w:p w14:paraId="22CB6F01">
            <w:pPr>
              <w:pStyle w:val="41"/>
              <w:rPr>
                <w:rFonts w:hint="eastAsia"/>
              </w:rPr>
            </w:pPr>
          </w:p>
        </w:tc>
        <w:tc>
          <w:tcPr>
            <w:tcW w:w="292" w:type="pct"/>
            <w:shd w:val="clear" w:color="auto" w:fill="auto"/>
            <w:noWrap/>
            <w:vAlign w:val="center"/>
          </w:tcPr>
          <w:p w14:paraId="716E494F">
            <w:pPr>
              <w:pStyle w:val="41"/>
              <w:jc w:val="both"/>
              <w:rPr>
                <w:rFonts w:hint="eastAsia"/>
              </w:rPr>
            </w:pPr>
            <w:r>
              <w:rPr>
                <w:rFonts w:hint="eastAsia"/>
              </w:rPr>
              <w:t>√</w:t>
            </w:r>
          </w:p>
        </w:tc>
        <w:tc>
          <w:tcPr>
            <w:tcW w:w="265" w:type="pct"/>
            <w:shd w:val="clear" w:color="auto" w:fill="auto"/>
            <w:noWrap/>
            <w:vAlign w:val="center"/>
          </w:tcPr>
          <w:p w14:paraId="2EFF54A3">
            <w:pPr>
              <w:pStyle w:val="41"/>
              <w:rPr>
                <w:rFonts w:hint="eastAsia"/>
              </w:rPr>
            </w:pPr>
          </w:p>
        </w:tc>
        <w:tc>
          <w:tcPr>
            <w:tcW w:w="221" w:type="pct"/>
            <w:shd w:val="clear" w:color="auto" w:fill="auto"/>
            <w:noWrap/>
            <w:vAlign w:val="center"/>
          </w:tcPr>
          <w:p w14:paraId="145EAB4A">
            <w:pPr>
              <w:pStyle w:val="41"/>
              <w:rPr>
                <w:rFonts w:hint="eastAsia"/>
              </w:rPr>
            </w:pPr>
          </w:p>
        </w:tc>
        <w:tc>
          <w:tcPr>
            <w:tcW w:w="198" w:type="pct"/>
            <w:shd w:val="clear" w:color="auto" w:fill="auto"/>
            <w:noWrap/>
            <w:vAlign w:val="center"/>
          </w:tcPr>
          <w:p w14:paraId="0EDDE098">
            <w:pPr>
              <w:pStyle w:val="41"/>
              <w:rPr>
                <w:rFonts w:hint="eastAsia"/>
              </w:rPr>
            </w:pPr>
          </w:p>
        </w:tc>
        <w:tc>
          <w:tcPr>
            <w:tcW w:w="180" w:type="pct"/>
            <w:shd w:val="clear" w:color="auto" w:fill="auto"/>
            <w:noWrap/>
            <w:vAlign w:val="center"/>
          </w:tcPr>
          <w:p w14:paraId="70FDEF39">
            <w:pPr>
              <w:pStyle w:val="41"/>
              <w:jc w:val="both"/>
              <w:rPr>
                <w:rFonts w:hint="eastAsia"/>
              </w:rPr>
            </w:pPr>
            <w:r>
              <w:rPr>
                <w:rFonts w:hint="eastAsia"/>
              </w:rPr>
              <w:t>●</w:t>
            </w:r>
          </w:p>
        </w:tc>
        <w:tc>
          <w:tcPr>
            <w:tcW w:w="183" w:type="pct"/>
            <w:shd w:val="clear" w:color="auto" w:fill="auto"/>
            <w:noWrap/>
            <w:vAlign w:val="center"/>
          </w:tcPr>
          <w:p w14:paraId="58CF4CE6">
            <w:pPr>
              <w:pStyle w:val="41"/>
              <w:jc w:val="both"/>
              <w:rPr>
                <w:rFonts w:hint="eastAsia"/>
              </w:rPr>
            </w:pPr>
            <w:r>
              <w:rPr>
                <w:rFonts w:hint="eastAsia"/>
              </w:rPr>
              <w:t>●</w:t>
            </w:r>
          </w:p>
        </w:tc>
      </w:tr>
      <w:tr w14:paraId="29517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shd w:val="clear" w:color="auto" w:fill="auto"/>
            <w:vAlign w:val="center"/>
          </w:tcPr>
          <w:p w14:paraId="7E6168A2">
            <w:pPr>
              <w:pStyle w:val="41"/>
              <w:rPr>
                <w:rFonts w:hint="eastAsia"/>
              </w:rPr>
            </w:pPr>
            <w:r>
              <w:rPr>
                <w:rFonts w:hint="eastAsia"/>
              </w:rPr>
              <w:t>整洁有序</w:t>
            </w:r>
          </w:p>
        </w:tc>
        <w:tc>
          <w:tcPr>
            <w:tcW w:w="184" w:type="pct"/>
            <w:shd w:val="clear" w:color="auto" w:fill="auto"/>
            <w:vAlign w:val="center"/>
          </w:tcPr>
          <w:p w14:paraId="79F7FB1F">
            <w:pPr>
              <w:pStyle w:val="41"/>
              <w:rPr>
                <w:rFonts w:hint="eastAsia"/>
              </w:rPr>
            </w:pPr>
            <w:r>
              <w:rPr>
                <w:rFonts w:hint="eastAsia"/>
              </w:rPr>
              <w:t>27</w:t>
            </w:r>
          </w:p>
        </w:tc>
        <w:tc>
          <w:tcPr>
            <w:tcW w:w="1094" w:type="pct"/>
            <w:shd w:val="clear" w:color="auto" w:fill="auto"/>
            <w:vAlign w:val="center"/>
          </w:tcPr>
          <w:p w14:paraId="3969C03C">
            <w:pPr>
              <w:pStyle w:val="41"/>
              <w:rPr>
                <w:rFonts w:hint="eastAsia"/>
              </w:rPr>
            </w:pPr>
            <w:r>
              <w:rPr>
                <w:rFonts w:hint="eastAsia"/>
              </w:rPr>
              <w:t>☆存在乱停放车辆问题的道路数量（条）</w:t>
            </w:r>
          </w:p>
        </w:tc>
        <w:tc>
          <w:tcPr>
            <w:tcW w:w="198" w:type="pct"/>
            <w:shd w:val="clear" w:color="auto" w:fill="auto"/>
            <w:noWrap/>
            <w:vAlign w:val="center"/>
          </w:tcPr>
          <w:p w14:paraId="29008DE6">
            <w:pPr>
              <w:pStyle w:val="41"/>
              <w:jc w:val="both"/>
              <w:rPr>
                <w:rFonts w:hint="eastAsia"/>
              </w:rPr>
            </w:pPr>
            <w:r>
              <w:rPr>
                <w:rFonts w:hint="eastAsia"/>
              </w:rPr>
              <w:t>●</w:t>
            </w:r>
          </w:p>
        </w:tc>
        <w:tc>
          <w:tcPr>
            <w:tcW w:w="240" w:type="pct"/>
            <w:shd w:val="clear" w:color="auto" w:fill="auto"/>
            <w:noWrap/>
            <w:vAlign w:val="center"/>
          </w:tcPr>
          <w:p w14:paraId="15506AB4">
            <w:pPr>
              <w:pStyle w:val="41"/>
              <w:rPr>
                <w:rFonts w:hint="eastAsia"/>
              </w:rPr>
            </w:pPr>
            <w:r>
              <w:rPr>
                <w:rFonts w:hint="eastAsia"/>
              </w:rPr>
              <w:t>√</w:t>
            </w:r>
          </w:p>
        </w:tc>
        <w:tc>
          <w:tcPr>
            <w:tcW w:w="296" w:type="pct"/>
            <w:shd w:val="clear" w:color="auto" w:fill="auto"/>
            <w:noWrap/>
            <w:vAlign w:val="center"/>
          </w:tcPr>
          <w:p w14:paraId="491A2D11">
            <w:pPr>
              <w:pStyle w:val="41"/>
              <w:rPr>
                <w:rFonts w:hint="eastAsia"/>
              </w:rPr>
            </w:pPr>
          </w:p>
        </w:tc>
        <w:tc>
          <w:tcPr>
            <w:tcW w:w="298" w:type="pct"/>
            <w:shd w:val="clear" w:color="auto" w:fill="auto"/>
            <w:noWrap/>
            <w:vAlign w:val="center"/>
          </w:tcPr>
          <w:p w14:paraId="0C3FCF6D">
            <w:pPr>
              <w:pStyle w:val="41"/>
              <w:jc w:val="both"/>
              <w:rPr>
                <w:rFonts w:hint="eastAsia"/>
              </w:rPr>
            </w:pPr>
            <w:r>
              <w:rPr>
                <w:rFonts w:hint="eastAsia"/>
              </w:rPr>
              <w:t>●</w:t>
            </w:r>
          </w:p>
        </w:tc>
        <w:tc>
          <w:tcPr>
            <w:tcW w:w="300" w:type="pct"/>
            <w:shd w:val="clear" w:color="auto" w:fill="auto"/>
            <w:noWrap/>
            <w:vAlign w:val="center"/>
          </w:tcPr>
          <w:p w14:paraId="070551CE">
            <w:pPr>
              <w:pStyle w:val="41"/>
              <w:rPr>
                <w:rFonts w:hint="eastAsia"/>
              </w:rPr>
            </w:pPr>
          </w:p>
        </w:tc>
        <w:tc>
          <w:tcPr>
            <w:tcW w:w="244" w:type="pct"/>
            <w:shd w:val="clear" w:color="auto" w:fill="auto"/>
            <w:noWrap/>
            <w:vAlign w:val="center"/>
          </w:tcPr>
          <w:p w14:paraId="72201111">
            <w:pPr>
              <w:pStyle w:val="41"/>
              <w:rPr>
                <w:rFonts w:hint="eastAsia"/>
              </w:rPr>
            </w:pPr>
            <w:r>
              <w:rPr>
                <w:rFonts w:hint="eastAsia"/>
              </w:rPr>
              <w:t>√</w:t>
            </w:r>
          </w:p>
        </w:tc>
        <w:tc>
          <w:tcPr>
            <w:tcW w:w="258" w:type="pct"/>
            <w:shd w:val="clear" w:color="auto" w:fill="auto"/>
            <w:noWrap/>
            <w:vAlign w:val="center"/>
          </w:tcPr>
          <w:p w14:paraId="533BB315">
            <w:pPr>
              <w:pStyle w:val="41"/>
              <w:rPr>
                <w:rFonts w:hint="eastAsia"/>
              </w:rPr>
            </w:pPr>
          </w:p>
        </w:tc>
        <w:tc>
          <w:tcPr>
            <w:tcW w:w="264" w:type="pct"/>
            <w:shd w:val="clear" w:color="auto" w:fill="auto"/>
            <w:noWrap/>
            <w:vAlign w:val="center"/>
          </w:tcPr>
          <w:p w14:paraId="34521AD9">
            <w:pPr>
              <w:pStyle w:val="41"/>
              <w:jc w:val="both"/>
              <w:rPr>
                <w:rFonts w:hint="eastAsia"/>
              </w:rPr>
            </w:pPr>
            <w:r>
              <w:rPr>
                <w:rFonts w:hint="eastAsia"/>
              </w:rPr>
              <w:t>●</w:t>
            </w:r>
          </w:p>
        </w:tc>
        <w:tc>
          <w:tcPr>
            <w:tcW w:w="292" w:type="pct"/>
            <w:shd w:val="clear" w:color="auto" w:fill="auto"/>
            <w:noWrap/>
            <w:vAlign w:val="center"/>
          </w:tcPr>
          <w:p w14:paraId="4CDCD817">
            <w:pPr>
              <w:pStyle w:val="41"/>
              <w:jc w:val="both"/>
              <w:rPr>
                <w:rFonts w:hint="eastAsia"/>
              </w:rPr>
            </w:pPr>
            <w:r>
              <w:rPr>
                <w:rFonts w:hint="eastAsia"/>
              </w:rPr>
              <w:t>●</w:t>
            </w:r>
          </w:p>
        </w:tc>
        <w:tc>
          <w:tcPr>
            <w:tcW w:w="265" w:type="pct"/>
            <w:shd w:val="clear" w:color="auto" w:fill="auto"/>
            <w:noWrap/>
            <w:vAlign w:val="center"/>
          </w:tcPr>
          <w:p w14:paraId="4F5ABB5A">
            <w:pPr>
              <w:pStyle w:val="41"/>
              <w:rPr>
                <w:rFonts w:hint="eastAsia"/>
              </w:rPr>
            </w:pPr>
          </w:p>
        </w:tc>
        <w:tc>
          <w:tcPr>
            <w:tcW w:w="221" w:type="pct"/>
            <w:shd w:val="clear" w:color="auto" w:fill="auto"/>
            <w:noWrap/>
            <w:vAlign w:val="center"/>
          </w:tcPr>
          <w:p w14:paraId="66D25318">
            <w:pPr>
              <w:pStyle w:val="41"/>
              <w:rPr>
                <w:rFonts w:hint="eastAsia"/>
              </w:rPr>
            </w:pPr>
          </w:p>
        </w:tc>
        <w:tc>
          <w:tcPr>
            <w:tcW w:w="198" w:type="pct"/>
            <w:shd w:val="clear" w:color="auto" w:fill="auto"/>
            <w:noWrap/>
            <w:vAlign w:val="center"/>
          </w:tcPr>
          <w:p w14:paraId="2DCAB309">
            <w:pPr>
              <w:pStyle w:val="41"/>
              <w:rPr>
                <w:rFonts w:hint="eastAsia"/>
              </w:rPr>
            </w:pPr>
            <w:r>
              <w:rPr>
                <w:rFonts w:hint="eastAsia"/>
              </w:rPr>
              <w:t>√</w:t>
            </w:r>
          </w:p>
        </w:tc>
        <w:tc>
          <w:tcPr>
            <w:tcW w:w="180" w:type="pct"/>
            <w:shd w:val="clear" w:color="auto" w:fill="auto"/>
            <w:noWrap/>
            <w:vAlign w:val="center"/>
          </w:tcPr>
          <w:p w14:paraId="544328A6">
            <w:pPr>
              <w:pStyle w:val="41"/>
              <w:rPr>
                <w:rFonts w:hint="eastAsia"/>
              </w:rPr>
            </w:pPr>
            <w:r>
              <w:rPr>
                <w:rFonts w:hint="eastAsia"/>
              </w:rPr>
              <w:t>√</w:t>
            </w:r>
          </w:p>
        </w:tc>
        <w:tc>
          <w:tcPr>
            <w:tcW w:w="183" w:type="pct"/>
            <w:shd w:val="clear" w:color="auto" w:fill="auto"/>
            <w:noWrap/>
            <w:vAlign w:val="center"/>
          </w:tcPr>
          <w:p w14:paraId="2F7B53FA">
            <w:pPr>
              <w:pStyle w:val="41"/>
              <w:rPr>
                <w:rFonts w:hint="eastAsia"/>
              </w:rPr>
            </w:pPr>
            <w:r>
              <w:rPr>
                <w:rFonts w:hint="eastAsia"/>
              </w:rPr>
              <w:t>√</w:t>
            </w:r>
          </w:p>
        </w:tc>
      </w:tr>
      <w:tr w14:paraId="25900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restart"/>
            <w:shd w:val="clear" w:color="auto" w:fill="auto"/>
            <w:vAlign w:val="center"/>
          </w:tcPr>
          <w:p w14:paraId="35823EE7">
            <w:pPr>
              <w:pStyle w:val="41"/>
              <w:rPr>
                <w:rFonts w:hint="eastAsia"/>
              </w:rPr>
            </w:pPr>
            <w:r>
              <w:rPr>
                <w:rFonts w:hint="eastAsia"/>
              </w:rPr>
              <w:t>特色活力</w:t>
            </w:r>
          </w:p>
        </w:tc>
        <w:tc>
          <w:tcPr>
            <w:tcW w:w="184" w:type="pct"/>
            <w:shd w:val="clear" w:color="auto" w:fill="auto"/>
            <w:vAlign w:val="center"/>
          </w:tcPr>
          <w:p w14:paraId="60B3FE94">
            <w:pPr>
              <w:pStyle w:val="41"/>
              <w:rPr>
                <w:rFonts w:hint="eastAsia"/>
              </w:rPr>
            </w:pPr>
            <w:r>
              <w:rPr>
                <w:rFonts w:hint="eastAsia"/>
              </w:rPr>
              <w:t>28</w:t>
            </w:r>
          </w:p>
        </w:tc>
        <w:tc>
          <w:tcPr>
            <w:tcW w:w="1094" w:type="pct"/>
            <w:shd w:val="clear" w:color="auto" w:fill="auto"/>
            <w:vAlign w:val="center"/>
          </w:tcPr>
          <w:p w14:paraId="743A6BB9">
            <w:pPr>
              <w:pStyle w:val="41"/>
              <w:rPr>
                <w:rFonts w:hint="eastAsia"/>
              </w:rPr>
            </w:pPr>
            <w:r>
              <w:rPr>
                <w:rFonts w:hint="eastAsia"/>
              </w:rPr>
              <w:t>需要更新改造的老旧商业街数量（个）</w:t>
            </w:r>
          </w:p>
        </w:tc>
        <w:tc>
          <w:tcPr>
            <w:tcW w:w="198" w:type="pct"/>
            <w:shd w:val="clear" w:color="auto" w:fill="auto"/>
            <w:noWrap/>
            <w:vAlign w:val="center"/>
          </w:tcPr>
          <w:p w14:paraId="004390FF">
            <w:pPr>
              <w:ind w:firstLine="640"/>
              <w:rPr>
                <w:rFonts w:hint="eastAsia"/>
              </w:rPr>
            </w:pPr>
            <w:r>
              <w:rPr>
                <w:rFonts w:hint="eastAsia"/>
              </w:rPr>
              <w:t>——</w:t>
            </w:r>
          </w:p>
        </w:tc>
        <w:tc>
          <w:tcPr>
            <w:tcW w:w="240" w:type="pct"/>
            <w:shd w:val="clear" w:color="auto" w:fill="auto"/>
            <w:noWrap/>
            <w:vAlign w:val="center"/>
          </w:tcPr>
          <w:p w14:paraId="3B1E329F">
            <w:pPr>
              <w:ind w:firstLine="640"/>
              <w:rPr>
                <w:rFonts w:hint="eastAsia"/>
              </w:rPr>
            </w:pPr>
            <w:r>
              <w:rPr>
                <w:rFonts w:hint="eastAsia"/>
              </w:rPr>
              <w:t>——</w:t>
            </w:r>
          </w:p>
        </w:tc>
        <w:tc>
          <w:tcPr>
            <w:tcW w:w="296" w:type="pct"/>
            <w:shd w:val="clear" w:color="auto" w:fill="auto"/>
            <w:noWrap/>
            <w:vAlign w:val="center"/>
          </w:tcPr>
          <w:p w14:paraId="1088C925">
            <w:pPr>
              <w:ind w:firstLine="640"/>
              <w:rPr>
                <w:rFonts w:hint="eastAsia"/>
              </w:rPr>
            </w:pPr>
            <w:r>
              <w:rPr>
                <w:rFonts w:hint="eastAsia"/>
              </w:rPr>
              <w:t>——</w:t>
            </w:r>
          </w:p>
        </w:tc>
        <w:tc>
          <w:tcPr>
            <w:tcW w:w="298" w:type="pct"/>
            <w:shd w:val="clear" w:color="auto" w:fill="auto"/>
            <w:noWrap/>
            <w:vAlign w:val="center"/>
          </w:tcPr>
          <w:p w14:paraId="6A9947F6">
            <w:pPr>
              <w:ind w:firstLine="640"/>
              <w:rPr>
                <w:rFonts w:hint="eastAsia"/>
              </w:rPr>
            </w:pPr>
            <w:r>
              <w:rPr>
                <w:rFonts w:hint="eastAsia"/>
              </w:rPr>
              <w:t>——</w:t>
            </w:r>
          </w:p>
        </w:tc>
        <w:tc>
          <w:tcPr>
            <w:tcW w:w="300" w:type="pct"/>
            <w:shd w:val="clear" w:color="auto" w:fill="auto"/>
            <w:noWrap/>
            <w:vAlign w:val="center"/>
          </w:tcPr>
          <w:p w14:paraId="156A9910">
            <w:pPr>
              <w:ind w:firstLine="640"/>
              <w:rPr>
                <w:rFonts w:hint="eastAsia"/>
              </w:rPr>
            </w:pPr>
            <w:r>
              <w:rPr>
                <w:rFonts w:hint="eastAsia"/>
              </w:rPr>
              <w:t>——</w:t>
            </w:r>
          </w:p>
        </w:tc>
        <w:tc>
          <w:tcPr>
            <w:tcW w:w="244" w:type="pct"/>
            <w:shd w:val="clear" w:color="auto" w:fill="auto"/>
            <w:noWrap/>
            <w:vAlign w:val="center"/>
          </w:tcPr>
          <w:p w14:paraId="357EB57B">
            <w:pPr>
              <w:ind w:firstLine="640"/>
              <w:rPr>
                <w:rFonts w:hint="eastAsia"/>
              </w:rPr>
            </w:pPr>
            <w:r>
              <w:rPr>
                <w:rFonts w:hint="eastAsia"/>
              </w:rPr>
              <w:t>——</w:t>
            </w:r>
          </w:p>
        </w:tc>
        <w:tc>
          <w:tcPr>
            <w:tcW w:w="258" w:type="pct"/>
            <w:shd w:val="clear" w:color="auto" w:fill="auto"/>
            <w:noWrap/>
            <w:vAlign w:val="center"/>
          </w:tcPr>
          <w:p w14:paraId="59051223">
            <w:pPr>
              <w:ind w:firstLine="640"/>
              <w:rPr>
                <w:rFonts w:hint="eastAsia"/>
              </w:rPr>
            </w:pPr>
            <w:r>
              <w:rPr>
                <w:rFonts w:hint="eastAsia"/>
              </w:rPr>
              <w:t>——</w:t>
            </w:r>
          </w:p>
        </w:tc>
        <w:tc>
          <w:tcPr>
            <w:tcW w:w="264" w:type="pct"/>
            <w:shd w:val="clear" w:color="auto" w:fill="auto"/>
            <w:noWrap/>
            <w:vAlign w:val="center"/>
          </w:tcPr>
          <w:p w14:paraId="3295BC7B">
            <w:pPr>
              <w:ind w:firstLine="640"/>
              <w:rPr>
                <w:rFonts w:hint="eastAsia"/>
              </w:rPr>
            </w:pPr>
            <w:r>
              <w:rPr>
                <w:rFonts w:hint="eastAsia"/>
              </w:rPr>
              <w:t>——</w:t>
            </w:r>
          </w:p>
        </w:tc>
        <w:tc>
          <w:tcPr>
            <w:tcW w:w="292" w:type="pct"/>
            <w:shd w:val="clear" w:color="auto" w:fill="auto"/>
            <w:noWrap/>
            <w:vAlign w:val="center"/>
          </w:tcPr>
          <w:p w14:paraId="356C8683">
            <w:pPr>
              <w:ind w:firstLine="640"/>
              <w:rPr>
                <w:rFonts w:hint="eastAsia"/>
              </w:rPr>
            </w:pPr>
            <w:r>
              <w:rPr>
                <w:rFonts w:hint="eastAsia"/>
              </w:rPr>
              <w:t>——</w:t>
            </w:r>
          </w:p>
        </w:tc>
        <w:tc>
          <w:tcPr>
            <w:tcW w:w="265" w:type="pct"/>
            <w:shd w:val="clear" w:color="auto" w:fill="auto"/>
            <w:noWrap/>
            <w:vAlign w:val="center"/>
          </w:tcPr>
          <w:p w14:paraId="1F71228A">
            <w:pPr>
              <w:ind w:firstLine="640"/>
              <w:rPr>
                <w:rFonts w:hint="eastAsia"/>
              </w:rPr>
            </w:pPr>
            <w:r>
              <w:rPr>
                <w:rFonts w:hint="eastAsia"/>
              </w:rPr>
              <w:t>——</w:t>
            </w:r>
          </w:p>
        </w:tc>
        <w:tc>
          <w:tcPr>
            <w:tcW w:w="221" w:type="pct"/>
            <w:shd w:val="clear" w:color="auto" w:fill="auto"/>
            <w:noWrap/>
            <w:vAlign w:val="center"/>
          </w:tcPr>
          <w:p w14:paraId="5246BE88">
            <w:pPr>
              <w:ind w:firstLine="640"/>
              <w:rPr>
                <w:rFonts w:hint="eastAsia"/>
              </w:rPr>
            </w:pPr>
            <w:r>
              <w:rPr>
                <w:rFonts w:hint="eastAsia"/>
              </w:rPr>
              <w:t>——</w:t>
            </w:r>
          </w:p>
        </w:tc>
        <w:tc>
          <w:tcPr>
            <w:tcW w:w="198" w:type="pct"/>
            <w:shd w:val="clear" w:color="auto" w:fill="auto"/>
            <w:noWrap/>
            <w:vAlign w:val="center"/>
          </w:tcPr>
          <w:p w14:paraId="7F083C4C">
            <w:pPr>
              <w:ind w:firstLine="640"/>
              <w:rPr>
                <w:rFonts w:hint="eastAsia"/>
              </w:rPr>
            </w:pPr>
            <w:r>
              <w:rPr>
                <w:rFonts w:hint="eastAsia"/>
              </w:rPr>
              <w:t>——</w:t>
            </w:r>
          </w:p>
        </w:tc>
        <w:tc>
          <w:tcPr>
            <w:tcW w:w="180" w:type="pct"/>
            <w:shd w:val="clear" w:color="auto" w:fill="auto"/>
            <w:noWrap/>
            <w:vAlign w:val="center"/>
          </w:tcPr>
          <w:p w14:paraId="79FE2817">
            <w:pPr>
              <w:ind w:firstLine="640"/>
              <w:rPr>
                <w:rFonts w:hint="eastAsia"/>
              </w:rPr>
            </w:pPr>
            <w:r>
              <w:rPr>
                <w:rFonts w:hint="eastAsia"/>
              </w:rPr>
              <w:t>——</w:t>
            </w:r>
          </w:p>
        </w:tc>
        <w:tc>
          <w:tcPr>
            <w:tcW w:w="183" w:type="pct"/>
            <w:shd w:val="clear" w:color="auto" w:fill="auto"/>
            <w:noWrap/>
            <w:vAlign w:val="center"/>
          </w:tcPr>
          <w:p w14:paraId="2654FD8F">
            <w:pPr>
              <w:ind w:firstLine="640"/>
              <w:rPr>
                <w:rFonts w:hint="eastAsia"/>
              </w:rPr>
            </w:pPr>
            <w:r>
              <w:rPr>
                <w:rFonts w:hint="eastAsia"/>
              </w:rPr>
              <w:t>——</w:t>
            </w:r>
          </w:p>
        </w:tc>
      </w:tr>
      <w:tr w14:paraId="3EBA6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vAlign w:val="center"/>
          </w:tcPr>
          <w:p w14:paraId="223D45A7">
            <w:pPr>
              <w:pStyle w:val="41"/>
              <w:rPr>
                <w:rFonts w:hint="eastAsia"/>
              </w:rPr>
            </w:pPr>
          </w:p>
        </w:tc>
        <w:tc>
          <w:tcPr>
            <w:tcW w:w="184" w:type="pct"/>
            <w:shd w:val="clear" w:color="auto" w:fill="auto"/>
            <w:vAlign w:val="center"/>
          </w:tcPr>
          <w:p w14:paraId="23A5CA65">
            <w:pPr>
              <w:pStyle w:val="41"/>
              <w:rPr>
                <w:rFonts w:hint="eastAsia"/>
              </w:rPr>
            </w:pPr>
            <w:r>
              <w:rPr>
                <w:rFonts w:hint="eastAsia"/>
              </w:rPr>
              <w:t>29</w:t>
            </w:r>
          </w:p>
        </w:tc>
        <w:tc>
          <w:tcPr>
            <w:tcW w:w="1094" w:type="pct"/>
            <w:shd w:val="clear" w:color="auto" w:fill="auto"/>
            <w:vAlign w:val="center"/>
          </w:tcPr>
          <w:p w14:paraId="2A525D68">
            <w:pPr>
              <w:pStyle w:val="41"/>
              <w:rPr>
                <w:rFonts w:hint="eastAsia"/>
              </w:rPr>
            </w:pPr>
            <w:r>
              <w:rPr>
                <w:rFonts w:hint="eastAsia"/>
              </w:rPr>
              <w:t>需要更新改造的老旧厂区数量（个）</w:t>
            </w:r>
          </w:p>
        </w:tc>
        <w:tc>
          <w:tcPr>
            <w:tcW w:w="198" w:type="pct"/>
            <w:shd w:val="clear" w:color="auto" w:fill="auto"/>
            <w:noWrap/>
            <w:vAlign w:val="center"/>
          </w:tcPr>
          <w:p w14:paraId="34D63B05">
            <w:pPr>
              <w:ind w:firstLine="640"/>
              <w:rPr>
                <w:rFonts w:hint="eastAsia"/>
              </w:rPr>
            </w:pPr>
            <w:r>
              <w:rPr>
                <w:rFonts w:hint="eastAsia"/>
              </w:rPr>
              <w:t>——</w:t>
            </w:r>
          </w:p>
        </w:tc>
        <w:tc>
          <w:tcPr>
            <w:tcW w:w="240" w:type="pct"/>
            <w:shd w:val="clear" w:color="auto" w:fill="auto"/>
            <w:noWrap/>
            <w:vAlign w:val="center"/>
          </w:tcPr>
          <w:p w14:paraId="19A2F94C">
            <w:pPr>
              <w:ind w:firstLine="640"/>
              <w:rPr>
                <w:rFonts w:hint="eastAsia"/>
              </w:rPr>
            </w:pPr>
            <w:r>
              <w:rPr>
                <w:rFonts w:hint="eastAsia"/>
              </w:rPr>
              <w:t>——</w:t>
            </w:r>
          </w:p>
        </w:tc>
        <w:tc>
          <w:tcPr>
            <w:tcW w:w="296" w:type="pct"/>
            <w:shd w:val="clear" w:color="auto" w:fill="auto"/>
            <w:noWrap/>
            <w:vAlign w:val="center"/>
          </w:tcPr>
          <w:p w14:paraId="1C42A138">
            <w:pPr>
              <w:ind w:firstLine="640"/>
              <w:rPr>
                <w:rFonts w:hint="eastAsia"/>
              </w:rPr>
            </w:pPr>
            <w:r>
              <w:rPr>
                <w:rFonts w:hint="eastAsia"/>
              </w:rPr>
              <w:t>——</w:t>
            </w:r>
          </w:p>
        </w:tc>
        <w:tc>
          <w:tcPr>
            <w:tcW w:w="298" w:type="pct"/>
            <w:shd w:val="clear" w:color="auto" w:fill="auto"/>
            <w:noWrap/>
            <w:vAlign w:val="center"/>
          </w:tcPr>
          <w:p w14:paraId="432F9532">
            <w:pPr>
              <w:ind w:firstLine="640"/>
              <w:rPr>
                <w:rFonts w:hint="eastAsia"/>
              </w:rPr>
            </w:pPr>
            <w:r>
              <w:rPr>
                <w:rFonts w:hint="eastAsia"/>
              </w:rPr>
              <w:t>——</w:t>
            </w:r>
          </w:p>
        </w:tc>
        <w:tc>
          <w:tcPr>
            <w:tcW w:w="300" w:type="pct"/>
            <w:shd w:val="clear" w:color="auto" w:fill="auto"/>
            <w:noWrap/>
            <w:vAlign w:val="center"/>
          </w:tcPr>
          <w:p w14:paraId="137B6D51">
            <w:pPr>
              <w:ind w:firstLine="640"/>
              <w:rPr>
                <w:rFonts w:hint="eastAsia"/>
              </w:rPr>
            </w:pPr>
            <w:r>
              <w:rPr>
                <w:rFonts w:hint="eastAsia"/>
              </w:rPr>
              <w:t>——</w:t>
            </w:r>
          </w:p>
        </w:tc>
        <w:tc>
          <w:tcPr>
            <w:tcW w:w="244" w:type="pct"/>
            <w:shd w:val="clear" w:color="auto" w:fill="auto"/>
            <w:noWrap/>
            <w:vAlign w:val="center"/>
          </w:tcPr>
          <w:p w14:paraId="011D8137">
            <w:pPr>
              <w:ind w:firstLine="640"/>
              <w:rPr>
                <w:rFonts w:hint="eastAsia"/>
              </w:rPr>
            </w:pPr>
            <w:r>
              <w:rPr>
                <w:rFonts w:hint="eastAsia"/>
              </w:rPr>
              <w:t>——</w:t>
            </w:r>
          </w:p>
        </w:tc>
        <w:tc>
          <w:tcPr>
            <w:tcW w:w="258" w:type="pct"/>
            <w:shd w:val="clear" w:color="auto" w:fill="auto"/>
            <w:noWrap/>
            <w:vAlign w:val="center"/>
          </w:tcPr>
          <w:p w14:paraId="63F2C4B7">
            <w:pPr>
              <w:ind w:firstLine="640"/>
              <w:rPr>
                <w:rFonts w:hint="eastAsia"/>
              </w:rPr>
            </w:pPr>
            <w:r>
              <w:rPr>
                <w:rFonts w:hint="eastAsia"/>
              </w:rPr>
              <w:t>——</w:t>
            </w:r>
          </w:p>
        </w:tc>
        <w:tc>
          <w:tcPr>
            <w:tcW w:w="264" w:type="pct"/>
            <w:shd w:val="clear" w:color="auto" w:fill="auto"/>
            <w:noWrap/>
            <w:vAlign w:val="center"/>
          </w:tcPr>
          <w:p w14:paraId="737180FD">
            <w:pPr>
              <w:ind w:firstLine="640"/>
              <w:rPr>
                <w:rFonts w:hint="eastAsia"/>
              </w:rPr>
            </w:pPr>
            <w:r>
              <w:rPr>
                <w:rFonts w:hint="eastAsia"/>
              </w:rPr>
              <w:t>——</w:t>
            </w:r>
          </w:p>
        </w:tc>
        <w:tc>
          <w:tcPr>
            <w:tcW w:w="292" w:type="pct"/>
            <w:shd w:val="clear" w:color="auto" w:fill="auto"/>
            <w:noWrap/>
            <w:vAlign w:val="center"/>
          </w:tcPr>
          <w:p w14:paraId="646E4D6A">
            <w:pPr>
              <w:ind w:firstLine="640"/>
              <w:rPr>
                <w:rFonts w:hint="eastAsia"/>
              </w:rPr>
            </w:pPr>
            <w:r>
              <w:rPr>
                <w:rFonts w:hint="eastAsia"/>
              </w:rPr>
              <w:t>——</w:t>
            </w:r>
          </w:p>
        </w:tc>
        <w:tc>
          <w:tcPr>
            <w:tcW w:w="265" w:type="pct"/>
            <w:shd w:val="clear" w:color="auto" w:fill="auto"/>
            <w:noWrap/>
            <w:vAlign w:val="center"/>
          </w:tcPr>
          <w:p w14:paraId="769CBDBC">
            <w:pPr>
              <w:ind w:firstLine="640"/>
              <w:rPr>
                <w:rFonts w:hint="eastAsia"/>
              </w:rPr>
            </w:pPr>
            <w:r>
              <w:rPr>
                <w:rFonts w:hint="eastAsia"/>
              </w:rPr>
              <w:t>——</w:t>
            </w:r>
          </w:p>
        </w:tc>
        <w:tc>
          <w:tcPr>
            <w:tcW w:w="221" w:type="pct"/>
            <w:shd w:val="clear" w:color="auto" w:fill="auto"/>
            <w:noWrap/>
            <w:vAlign w:val="center"/>
          </w:tcPr>
          <w:p w14:paraId="7627DA84">
            <w:pPr>
              <w:ind w:firstLine="640"/>
              <w:rPr>
                <w:rFonts w:hint="eastAsia"/>
              </w:rPr>
            </w:pPr>
            <w:r>
              <w:rPr>
                <w:rFonts w:hint="eastAsia"/>
              </w:rPr>
              <w:t>——</w:t>
            </w:r>
          </w:p>
        </w:tc>
        <w:tc>
          <w:tcPr>
            <w:tcW w:w="198" w:type="pct"/>
            <w:shd w:val="clear" w:color="auto" w:fill="auto"/>
            <w:noWrap/>
            <w:vAlign w:val="center"/>
          </w:tcPr>
          <w:p w14:paraId="71F6F8A7">
            <w:pPr>
              <w:ind w:firstLine="640"/>
              <w:rPr>
                <w:rFonts w:hint="eastAsia"/>
              </w:rPr>
            </w:pPr>
            <w:r>
              <w:rPr>
                <w:rFonts w:hint="eastAsia"/>
              </w:rPr>
              <w:t>——</w:t>
            </w:r>
          </w:p>
        </w:tc>
        <w:tc>
          <w:tcPr>
            <w:tcW w:w="180" w:type="pct"/>
            <w:shd w:val="clear" w:color="auto" w:fill="auto"/>
            <w:noWrap/>
            <w:vAlign w:val="center"/>
          </w:tcPr>
          <w:p w14:paraId="2AAE24DE">
            <w:pPr>
              <w:ind w:firstLine="640"/>
              <w:rPr>
                <w:rFonts w:hint="eastAsia"/>
              </w:rPr>
            </w:pPr>
            <w:r>
              <w:rPr>
                <w:rFonts w:hint="eastAsia"/>
              </w:rPr>
              <w:t>——</w:t>
            </w:r>
          </w:p>
        </w:tc>
        <w:tc>
          <w:tcPr>
            <w:tcW w:w="183" w:type="pct"/>
            <w:shd w:val="clear" w:color="auto" w:fill="auto"/>
            <w:noWrap/>
            <w:vAlign w:val="center"/>
          </w:tcPr>
          <w:p w14:paraId="75C91869">
            <w:pPr>
              <w:ind w:firstLine="640"/>
              <w:rPr>
                <w:rFonts w:hint="eastAsia"/>
              </w:rPr>
            </w:pPr>
            <w:r>
              <w:rPr>
                <w:rFonts w:hint="eastAsia"/>
              </w:rPr>
              <w:t>——</w:t>
            </w:r>
          </w:p>
        </w:tc>
      </w:tr>
      <w:tr w14:paraId="17B1E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277" w:type="pct"/>
            <w:vMerge w:val="continue"/>
            <w:shd w:val="clear" w:color="auto" w:fill="auto"/>
            <w:vAlign w:val="center"/>
          </w:tcPr>
          <w:p w14:paraId="0F9E8839">
            <w:pPr>
              <w:pStyle w:val="41"/>
              <w:rPr>
                <w:rFonts w:hint="eastAsia"/>
              </w:rPr>
            </w:pPr>
          </w:p>
        </w:tc>
        <w:tc>
          <w:tcPr>
            <w:tcW w:w="184" w:type="pct"/>
            <w:shd w:val="clear" w:color="auto" w:fill="auto"/>
            <w:vAlign w:val="center"/>
          </w:tcPr>
          <w:p w14:paraId="4FDC9938">
            <w:pPr>
              <w:pStyle w:val="41"/>
              <w:rPr>
                <w:rFonts w:hint="eastAsia"/>
              </w:rPr>
            </w:pPr>
            <w:r>
              <w:rPr>
                <w:rFonts w:hint="eastAsia"/>
              </w:rPr>
              <w:t>30</w:t>
            </w:r>
          </w:p>
        </w:tc>
        <w:tc>
          <w:tcPr>
            <w:tcW w:w="1094" w:type="pct"/>
            <w:shd w:val="clear" w:color="auto" w:fill="auto"/>
            <w:vAlign w:val="center"/>
          </w:tcPr>
          <w:p w14:paraId="5CEEE11E">
            <w:pPr>
              <w:pStyle w:val="41"/>
              <w:rPr>
                <w:rFonts w:hint="eastAsia"/>
              </w:rPr>
            </w:pPr>
            <w:r>
              <w:rPr>
                <w:rFonts w:hint="eastAsia"/>
              </w:rPr>
              <w:t>☆需要更新改造的老旧街区数量（个）</w:t>
            </w:r>
          </w:p>
        </w:tc>
        <w:tc>
          <w:tcPr>
            <w:tcW w:w="198" w:type="pct"/>
            <w:shd w:val="clear" w:color="auto" w:fill="auto"/>
            <w:noWrap/>
            <w:vAlign w:val="center"/>
          </w:tcPr>
          <w:p w14:paraId="533F2BB1">
            <w:pPr>
              <w:ind w:firstLine="640"/>
              <w:rPr>
                <w:rFonts w:hint="eastAsia"/>
              </w:rPr>
            </w:pPr>
            <w:r>
              <w:rPr>
                <w:rFonts w:hint="eastAsia"/>
              </w:rPr>
              <w:t>——</w:t>
            </w:r>
          </w:p>
        </w:tc>
        <w:tc>
          <w:tcPr>
            <w:tcW w:w="240" w:type="pct"/>
            <w:shd w:val="clear" w:color="auto" w:fill="auto"/>
            <w:noWrap/>
            <w:vAlign w:val="center"/>
          </w:tcPr>
          <w:p w14:paraId="397BFF71">
            <w:pPr>
              <w:ind w:firstLine="640"/>
              <w:rPr>
                <w:rFonts w:hint="eastAsia"/>
              </w:rPr>
            </w:pPr>
            <w:r>
              <w:rPr>
                <w:rFonts w:hint="eastAsia"/>
              </w:rPr>
              <w:t>——</w:t>
            </w:r>
          </w:p>
        </w:tc>
        <w:tc>
          <w:tcPr>
            <w:tcW w:w="296" w:type="pct"/>
            <w:shd w:val="clear" w:color="auto" w:fill="auto"/>
            <w:noWrap/>
            <w:vAlign w:val="center"/>
          </w:tcPr>
          <w:p w14:paraId="6503593B">
            <w:pPr>
              <w:ind w:firstLine="640"/>
              <w:rPr>
                <w:rFonts w:hint="eastAsia"/>
              </w:rPr>
            </w:pPr>
            <w:r>
              <w:rPr>
                <w:rFonts w:hint="eastAsia"/>
              </w:rPr>
              <w:t>——</w:t>
            </w:r>
          </w:p>
        </w:tc>
        <w:tc>
          <w:tcPr>
            <w:tcW w:w="298" w:type="pct"/>
            <w:shd w:val="clear" w:color="auto" w:fill="auto"/>
            <w:noWrap/>
            <w:vAlign w:val="center"/>
          </w:tcPr>
          <w:p w14:paraId="4C831BB4">
            <w:pPr>
              <w:ind w:firstLine="640"/>
              <w:rPr>
                <w:rFonts w:hint="eastAsia"/>
              </w:rPr>
            </w:pPr>
            <w:r>
              <w:rPr>
                <w:rFonts w:hint="eastAsia"/>
              </w:rPr>
              <w:t>——</w:t>
            </w:r>
          </w:p>
        </w:tc>
        <w:tc>
          <w:tcPr>
            <w:tcW w:w="300" w:type="pct"/>
            <w:shd w:val="clear" w:color="auto" w:fill="auto"/>
            <w:noWrap/>
            <w:vAlign w:val="center"/>
          </w:tcPr>
          <w:p w14:paraId="5CCA981D">
            <w:pPr>
              <w:ind w:firstLine="640"/>
              <w:rPr>
                <w:rFonts w:hint="eastAsia"/>
              </w:rPr>
            </w:pPr>
            <w:r>
              <w:rPr>
                <w:rFonts w:hint="eastAsia"/>
              </w:rPr>
              <w:t>——</w:t>
            </w:r>
          </w:p>
        </w:tc>
        <w:tc>
          <w:tcPr>
            <w:tcW w:w="244" w:type="pct"/>
            <w:shd w:val="clear" w:color="auto" w:fill="auto"/>
            <w:noWrap/>
            <w:vAlign w:val="center"/>
          </w:tcPr>
          <w:p w14:paraId="633A7490">
            <w:pPr>
              <w:ind w:firstLine="640"/>
              <w:rPr>
                <w:rFonts w:hint="eastAsia"/>
              </w:rPr>
            </w:pPr>
            <w:r>
              <w:rPr>
                <w:rFonts w:hint="eastAsia"/>
              </w:rPr>
              <w:t>——</w:t>
            </w:r>
          </w:p>
        </w:tc>
        <w:tc>
          <w:tcPr>
            <w:tcW w:w="258" w:type="pct"/>
            <w:shd w:val="clear" w:color="auto" w:fill="auto"/>
            <w:noWrap/>
            <w:vAlign w:val="center"/>
          </w:tcPr>
          <w:p w14:paraId="5496A4F5">
            <w:pPr>
              <w:ind w:firstLine="640"/>
              <w:rPr>
                <w:rFonts w:hint="eastAsia"/>
              </w:rPr>
            </w:pPr>
            <w:r>
              <w:rPr>
                <w:rFonts w:hint="eastAsia"/>
              </w:rPr>
              <w:t>——</w:t>
            </w:r>
          </w:p>
        </w:tc>
        <w:tc>
          <w:tcPr>
            <w:tcW w:w="264" w:type="pct"/>
            <w:shd w:val="clear" w:color="auto" w:fill="auto"/>
            <w:noWrap/>
            <w:vAlign w:val="center"/>
          </w:tcPr>
          <w:p w14:paraId="32433361">
            <w:pPr>
              <w:ind w:firstLine="640"/>
              <w:rPr>
                <w:rFonts w:hint="eastAsia"/>
              </w:rPr>
            </w:pPr>
            <w:r>
              <w:rPr>
                <w:rFonts w:hint="eastAsia"/>
              </w:rPr>
              <w:t>——</w:t>
            </w:r>
          </w:p>
        </w:tc>
        <w:tc>
          <w:tcPr>
            <w:tcW w:w="292" w:type="pct"/>
            <w:shd w:val="clear" w:color="auto" w:fill="auto"/>
            <w:noWrap/>
            <w:vAlign w:val="center"/>
          </w:tcPr>
          <w:p w14:paraId="5716EB0D">
            <w:pPr>
              <w:ind w:firstLine="640"/>
              <w:rPr>
                <w:rFonts w:hint="eastAsia"/>
              </w:rPr>
            </w:pPr>
            <w:r>
              <w:rPr>
                <w:rFonts w:hint="eastAsia"/>
              </w:rPr>
              <w:t>——</w:t>
            </w:r>
          </w:p>
        </w:tc>
        <w:tc>
          <w:tcPr>
            <w:tcW w:w="265" w:type="pct"/>
            <w:shd w:val="clear" w:color="auto" w:fill="auto"/>
            <w:noWrap/>
            <w:vAlign w:val="center"/>
          </w:tcPr>
          <w:p w14:paraId="25443142">
            <w:pPr>
              <w:ind w:firstLine="640"/>
              <w:rPr>
                <w:rFonts w:hint="eastAsia"/>
              </w:rPr>
            </w:pPr>
            <w:r>
              <w:rPr>
                <w:rFonts w:hint="eastAsia"/>
              </w:rPr>
              <w:t>——</w:t>
            </w:r>
          </w:p>
        </w:tc>
        <w:tc>
          <w:tcPr>
            <w:tcW w:w="221" w:type="pct"/>
            <w:shd w:val="clear" w:color="auto" w:fill="auto"/>
            <w:noWrap/>
            <w:vAlign w:val="center"/>
          </w:tcPr>
          <w:p w14:paraId="44227B28">
            <w:pPr>
              <w:ind w:firstLine="640"/>
              <w:rPr>
                <w:rFonts w:hint="eastAsia"/>
              </w:rPr>
            </w:pPr>
            <w:r>
              <w:rPr>
                <w:rFonts w:hint="eastAsia"/>
              </w:rPr>
              <w:t>——</w:t>
            </w:r>
          </w:p>
        </w:tc>
        <w:tc>
          <w:tcPr>
            <w:tcW w:w="198" w:type="pct"/>
            <w:shd w:val="clear" w:color="auto" w:fill="auto"/>
            <w:noWrap/>
            <w:vAlign w:val="center"/>
          </w:tcPr>
          <w:p w14:paraId="79DB80A0">
            <w:pPr>
              <w:ind w:firstLine="640"/>
              <w:rPr>
                <w:rFonts w:hint="eastAsia"/>
              </w:rPr>
            </w:pPr>
            <w:r>
              <w:rPr>
                <w:rFonts w:hint="eastAsia"/>
              </w:rPr>
              <w:t>——</w:t>
            </w:r>
          </w:p>
        </w:tc>
        <w:tc>
          <w:tcPr>
            <w:tcW w:w="180" w:type="pct"/>
            <w:shd w:val="clear" w:color="auto" w:fill="auto"/>
            <w:noWrap/>
            <w:vAlign w:val="center"/>
          </w:tcPr>
          <w:p w14:paraId="74E264D2">
            <w:pPr>
              <w:ind w:firstLine="640"/>
              <w:rPr>
                <w:rFonts w:hint="eastAsia"/>
              </w:rPr>
            </w:pPr>
            <w:r>
              <w:rPr>
                <w:rFonts w:hint="eastAsia"/>
              </w:rPr>
              <w:t>——</w:t>
            </w:r>
          </w:p>
        </w:tc>
        <w:tc>
          <w:tcPr>
            <w:tcW w:w="183" w:type="pct"/>
            <w:shd w:val="clear" w:color="auto" w:fill="auto"/>
            <w:noWrap/>
            <w:vAlign w:val="center"/>
          </w:tcPr>
          <w:p w14:paraId="2C42BF4E">
            <w:pPr>
              <w:ind w:firstLine="640"/>
              <w:rPr>
                <w:rFonts w:hint="eastAsia"/>
              </w:rPr>
            </w:pPr>
            <w:r>
              <w:rPr>
                <w:rFonts w:hint="eastAsia"/>
              </w:rPr>
              <w:t>——</w:t>
            </w:r>
          </w:p>
        </w:tc>
      </w:tr>
    </w:tbl>
    <w:p w14:paraId="1EDC34EB">
      <w:pPr>
        <w:pStyle w:val="27"/>
        <w:ind w:firstLine="0" w:firstLineChars="0"/>
      </w:pPr>
      <w:r>
        <w:rPr>
          <w:rFonts w:hint="eastAsia"/>
        </w:rPr>
        <w:t>注：“√”为对应指标评价结果较好的街道，“●”为对应指标评价结果不足的街道。</w:t>
      </w:r>
    </w:p>
    <w:p w14:paraId="00E6F045">
      <w:pPr>
        <w:pStyle w:val="3"/>
        <w:rPr>
          <w:rFonts w:hint="eastAsia"/>
        </w:rPr>
      </w:pPr>
      <w:bookmarkStart w:id="47" w:name="_Toc16212"/>
      <w:r>
        <w:rPr>
          <w:rFonts w:hint="eastAsia"/>
        </w:rPr>
        <w:t>四、城区维度</w:t>
      </w:r>
      <w:bookmarkEnd w:id="47"/>
    </w:p>
    <w:p w14:paraId="529B2FAD">
      <w:pPr>
        <w:ind w:left="40" w:right="60" w:firstLine="640"/>
      </w:pPr>
      <w:r>
        <w:rPr>
          <w:rFonts w:hint="eastAsia"/>
        </w:rPr>
        <w:t>（1）总体层面</w:t>
      </w:r>
    </w:p>
    <w:p w14:paraId="369C32D3">
      <w:pPr>
        <w:ind w:left="40" w:right="60" w:firstLine="640"/>
        <w:rPr>
          <w:rFonts w:hint="eastAsia"/>
        </w:rPr>
      </w:pPr>
      <w:r>
        <w:rPr>
          <w:rFonts w:hint="eastAsia"/>
        </w:rPr>
        <w:t>基于城区维度生态宜居、历史文化保护利用、产城融合职住平衡、安全韧性、智慧高效、创新活力，6个方面的39个指标分析，其中妇幼保健设施、建筑垃圾资源化利用率、城市安全韧性、智慧化管理有待加强。</w:t>
      </w:r>
    </w:p>
    <w:p w14:paraId="2156A57E">
      <w:pPr>
        <w:ind w:left="40" w:right="60" w:firstLine="640"/>
      </w:pPr>
      <w:r>
        <w:rPr>
          <w:rFonts w:hint="eastAsia"/>
        </w:rPr>
        <w:t>一是妇幼保健设施不足。主要原因是资源分配不均，对妇幼保健的投入不足，</w:t>
      </w:r>
      <w:r>
        <w:t>没有独立设置妇幼保健机构</w:t>
      </w:r>
      <w:r>
        <w:rPr>
          <w:rFonts w:hint="eastAsia"/>
        </w:rPr>
        <w:t>。二是建筑垃圾资源化利用率不足。主要原因是2019—2021年垃圾资源化利用工作尚在起步阶段，资源化利用技术普及不够，建筑垃圾分类收集和处理体系不完善。三是城市安全韧性不足，消防站覆盖率低。主要原因是城市安全规划滞后，安全设施建设投入不足。四是智慧化管理水平不足，排水设施智能化检测缺失。主要原因是，智能化技术应用和基础设施建设滞后。</w:t>
      </w:r>
    </w:p>
    <w:p w14:paraId="4416976A">
      <w:pPr>
        <w:ind w:left="40" w:right="60" w:firstLine="640"/>
        <w:rPr>
          <w:rFonts w:hint="eastAsia"/>
        </w:rPr>
      </w:pPr>
      <w:r>
        <w:rPr>
          <w:rFonts w:hint="eastAsia"/>
        </w:rPr>
        <w:t>（2）未来发展片区</w:t>
      </w:r>
    </w:p>
    <w:p w14:paraId="31BBA6DC">
      <w:pPr>
        <w:adjustRightInd w:val="0"/>
        <w:snapToGrid w:val="0"/>
        <w:ind w:firstLine="640"/>
        <w:rPr>
          <w:rFonts w:hint="eastAsia"/>
        </w:rPr>
      </w:pPr>
      <w:r>
        <w:rPr>
          <w:rFonts w:hint="eastAsia"/>
        </w:rPr>
        <w:t>一是教育资源覆盖不足。</w:t>
      </w:r>
    </w:p>
    <w:p w14:paraId="06FD083D">
      <w:pPr>
        <w:adjustRightInd w:val="0"/>
        <w:snapToGrid w:val="0"/>
        <w:ind w:firstLine="640"/>
        <w:rPr>
          <w:rFonts w:hint="eastAsia"/>
        </w:rPr>
      </w:pPr>
      <w:r>
        <w:rPr>
          <w:rFonts w:hint="eastAsia"/>
        </w:rPr>
        <w:t>小学教育服务半径覆盖率：未来发展片区的小学服务半径覆盖率为18.1%，评价结论为一般。这表明当前小学布局在满足居民需求方面尚存不足，约有81.9%的住宅用地未能被纳入小学500米服务半径内，可能影响到片区内适龄儿童的就近入学便利性。未来需进一步优化小学布局，提升服务半径覆盖率。</w:t>
      </w:r>
    </w:p>
    <w:p w14:paraId="3431B61F">
      <w:pPr>
        <w:adjustRightInd w:val="0"/>
        <w:snapToGrid w:val="0"/>
        <w:ind w:firstLine="640"/>
        <w:rPr>
          <w:rFonts w:hint="eastAsia"/>
        </w:rPr>
      </w:pPr>
      <w:r>
        <w:rPr>
          <w:rFonts w:hint="eastAsia"/>
        </w:rPr>
        <w:t>中学教育服务半径覆盖率：同样，中学服务半径覆盖率仅为11.7%，也处于一般水平。这意味着仅有少部分住宅用地内的居民能够享受到中学1公里服务半径内的便利，大部分区域的学生可能需要更远的通勤距离。为提高教育资源的均衡性和可达性，建议结合未来居住社区分布优化中学布局。</w:t>
      </w:r>
    </w:p>
    <w:p w14:paraId="7224924F">
      <w:pPr>
        <w:adjustRightInd w:val="0"/>
        <w:snapToGrid w:val="0"/>
        <w:ind w:firstLine="640"/>
        <w:rPr>
          <w:rFonts w:hint="eastAsia"/>
        </w:rPr>
      </w:pPr>
      <w:r>
        <w:rPr>
          <w:rFonts w:hint="eastAsia"/>
        </w:rPr>
        <w:t>二是消防安全保障能力不足。</w:t>
      </w:r>
    </w:p>
    <w:p w14:paraId="000DD2BF">
      <w:pPr>
        <w:adjustRightInd w:val="0"/>
        <w:snapToGrid w:val="0"/>
        <w:ind w:firstLine="640"/>
        <w:rPr>
          <w:rFonts w:hint="eastAsia"/>
        </w:rPr>
      </w:pPr>
      <w:r>
        <w:rPr>
          <w:rFonts w:hint="eastAsia"/>
        </w:rPr>
        <w:t>城市消防站服务半径覆盖率为33.13%，低于理想水平，评价结论为不达标。反映出未来发展片区在消防安全保障方面存在短板。为提升片区整体消防安全水平，建议在城市更新过程中，合理布局消防站点，确保消防服务半径能够覆盖更广的区域。</w:t>
      </w:r>
    </w:p>
    <w:p w14:paraId="5DF2BBAC">
      <w:pPr>
        <w:ind w:left="40" w:right="60" w:firstLine="640"/>
        <w:rPr>
          <w:rFonts w:hint="eastAsia"/>
        </w:rPr>
      </w:pPr>
      <w:r>
        <w:rPr>
          <w:rFonts w:hint="eastAsia"/>
        </w:rPr>
        <w:t>综上所述，未来发展片区在教育资源布局和消防安全保障方面均存在不同程度的不足。为实现更加均衡、便捷的教育资源和更加安全、可靠的消防保障，建议相关部门：一是加强教育规划，优化小学和中学的布局，提高服务半径覆盖率，确保适龄儿童都能享受到就近入学的便利。二是加快消防站建设，合理增加消防站点数量，扩大服务半径，构建完善的消防安全网络，为片区居民的生命财产安全提供坚实保障。三是加强跨部门协作，形成合力，共同推动片区基础设施和公共服务的完善与提升。</w:t>
      </w:r>
    </w:p>
    <w:p w14:paraId="141793BD">
      <w:pPr>
        <w:widowControl/>
        <w:spacing w:after="200"/>
        <w:ind w:firstLine="0" w:firstLineChars="0"/>
        <w:jc w:val="center"/>
        <w:outlineLvl w:val="0"/>
        <w:rPr>
          <w:rFonts w:hint="eastAsia" w:ascii="方正小标宋_GBK" w:hAnsi="方正小标宋_GBK" w:eastAsia="方正小标宋_GBK" w:cs="方正小标宋_GBK"/>
          <w:bCs/>
          <w:kern w:val="44"/>
          <w:sz w:val="36"/>
          <w:szCs w:val="36"/>
        </w:rPr>
        <w:sectPr>
          <w:pgSz w:w="11900" w:h="16838"/>
          <w:pgMar w:top="1440" w:right="1803" w:bottom="1440" w:left="1803" w:header="600" w:footer="363" w:gutter="0"/>
          <w:pgNumType w:fmt="decimal"/>
          <w:cols w:space="0" w:num="1"/>
        </w:sectPr>
      </w:pPr>
      <w:bookmarkStart w:id="48" w:name="_Toc10017"/>
      <w:bookmarkStart w:id="49" w:name="_Toc24281"/>
      <w:bookmarkStart w:id="50" w:name="_Toc26411"/>
    </w:p>
    <w:p w14:paraId="678B7FA4">
      <w:pPr>
        <w:pStyle w:val="2"/>
        <w:rPr>
          <w:rFonts w:hint="eastAsia"/>
        </w:rPr>
      </w:pPr>
      <w:bookmarkStart w:id="51" w:name="_Toc86"/>
      <w:r>
        <w:rPr>
          <w:rFonts w:hint="eastAsia"/>
        </w:rPr>
        <w:t>第三章</w:t>
      </w:r>
      <w:bookmarkEnd w:id="48"/>
      <w:bookmarkEnd w:id="49"/>
      <w:bookmarkEnd w:id="50"/>
      <w:r>
        <w:rPr>
          <w:rFonts w:hint="eastAsia"/>
        </w:rPr>
        <w:t>对策保障</w:t>
      </w:r>
      <w:bookmarkEnd w:id="51"/>
    </w:p>
    <w:p w14:paraId="6DACA971">
      <w:pPr>
        <w:pStyle w:val="3"/>
        <w:rPr>
          <w:rFonts w:hint="eastAsia"/>
          <w:lang w:val="zh-CN"/>
        </w:rPr>
      </w:pPr>
      <w:bookmarkStart w:id="52" w:name="_Toc10243"/>
      <w:bookmarkStart w:id="53" w:name="_Toc24732"/>
      <w:r>
        <w:rPr>
          <w:rFonts w:hint="eastAsia"/>
          <w:lang w:val="zh-CN"/>
        </w:rPr>
        <w:t>一、对策建议</w:t>
      </w:r>
      <w:bookmarkEnd w:id="52"/>
    </w:p>
    <w:p w14:paraId="13ED3F5A">
      <w:pPr>
        <w:pStyle w:val="4"/>
        <w:rPr>
          <w:rFonts w:hint="eastAsia"/>
        </w:rPr>
      </w:pPr>
      <w:r>
        <w:rPr>
          <w:rFonts w:hint="eastAsia"/>
        </w:rPr>
        <w:t>（一）擦亮绿色生态底色，加快建设美丽宜居城市</w:t>
      </w:r>
    </w:p>
    <w:p w14:paraId="0FA4175F">
      <w:pPr>
        <w:ind w:left="40" w:right="60" w:firstLine="640"/>
        <w:rPr>
          <w:rFonts w:hint="eastAsia"/>
        </w:rPr>
      </w:pPr>
      <w:r>
        <w:rPr>
          <w:rFonts w:hint="eastAsia"/>
        </w:rPr>
        <w:t>深化细化生态环境治理。推动城市生态环境治理工作向城市细部推进，向老百姓身边推进，向常态化监管治理推进。借助城市体检问卷调查、“12345”居民热线、市长信箱、新闻媒体等民声通道，持续收集百姓身边的环境污染信息，认真排查居民反映较多的空气污染、水体污染、餐饮油烟、施工扬尘、环境噪声等城市环境污染问题，逐一加以治理解决，防止各类环境污染问题回弹、反复，努力消除环境质量监测数据与居民感受不一致的现象。</w:t>
      </w:r>
    </w:p>
    <w:p w14:paraId="2521496A">
      <w:pPr>
        <w:ind w:left="40" w:right="100" w:firstLine="640"/>
        <w:rPr>
          <w:rFonts w:hint="eastAsia"/>
        </w:rPr>
      </w:pPr>
      <w:r>
        <w:rPr>
          <w:rFonts w:hint="eastAsia"/>
        </w:rPr>
        <w:t>实施城市增绿补绿行动。要全面推进实施城市增绿补绿行动，进一步加大公园绿地、城市绿道的建设力度，优化公园、绿道布局，填补公园绿地空白区。重点建设社区绿地、街头绿地、小游园、口袋公园等老百姓家门口的公园绿地，并加大城市绿道建设力度，形成绿道网络，串联各类开放空间，努力实现公园、绿道对城市各片区的均衡覆盖，使居民百姓能够推窗见绿、开门见景、漫步进园。</w:t>
      </w:r>
    </w:p>
    <w:p w14:paraId="090A404D">
      <w:pPr>
        <w:ind w:left="40" w:right="100" w:firstLine="640"/>
        <w:rPr>
          <w:rFonts w:hint="eastAsia"/>
        </w:rPr>
      </w:pPr>
      <w:r>
        <w:rPr>
          <w:rFonts w:hint="eastAsia"/>
        </w:rPr>
        <w:t>调整控制城市强度密度。积极科学推进城市更新行动，努力改善老城区居住环境，使老城区的设施承载力和环境品质与高密度的居住人口相适应。加快完善新城新区公共服务体系，积极引导老城区功能和人口疏解，促进城市人口合理均衡分布。深入贯彻城市绿色低碳发展方针，严格贯彻落实《关于加强超高层建筑规划建设管理的通知》《关于加强县城绿色低碳建设的意见》等文件精神，严控超高层建筑和高层高密度居住区建设，鼓励引导中低密度住宅区规划建设，增加高品质住宅供应。加快推行绿色建筑和建筑节能节水标准，确保新建民用建筑全部达到基本级绿色建筑标准，鼓励发展星级绿色建筑。</w:t>
      </w:r>
    </w:p>
    <w:p w14:paraId="695186D0">
      <w:pPr>
        <w:pStyle w:val="4"/>
        <w:rPr>
          <w:rFonts w:hint="eastAsia"/>
        </w:rPr>
      </w:pPr>
      <w:r>
        <w:rPr>
          <w:rFonts w:hint="eastAsia"/>
        </w:rPr>
        <w:t>（二）完善公共服务体系，加快建设健康幸福城市</w:t>
      </w:r>
    </w:p>
    <w:p w14:paraId="77ADC648">
      <w:pPr>
        <w:ind w:left="40" w:right="100" w:firstLine="640"/>
        <w:rPr>
          <w:rFonts w:hint="eastAsia"/>
        </w:rPr>
      </w:pPr>
      <w:r>
        <w:rPr>
          <w:rFonts w:hint="eastAsia"/>
        </w:rPr>
        <w:t>围绕居民反映停车难，幼有所育、学有所教、病有所医、老有所养等公共服务发展目标，加大公共服务领域投入力度，推进公共服务设施均衡布局，实现基本公共服务充足供给、优质均衡、便捷可得，加快化解居民面临的养育、教育、医疗、养老等方面的民生痛点，着力提高居民幸福感。</w:t>
      </w:r>
    </w:p>
    <w:p w14:paraId="609CA77F">
      <w:pPr>
        <w:ind w:left="40" w:right="100" w:firstLine="640"/>
        <w:rPr>
          <w:rFonts w:hint="eastAsia"/>
        </w:rPr>
      </w:pPr>
      <w:r>
        <w:rPr>
          <w:rFonts w:hint="eastAsia"/>
        </w:rPr>
        <w:t>优化义务教育学校布局。健全教育经费投入机制，确保教育投入“两个只增不减”。2024年全市实施22个义务教育学校扩容提质项目，并按标准配齐图书、仪器设备、专业教室，持续巩固消除“大班额”成果，有效化解“大校额”。加快推动市二十五中、开发区一中新建工程和市七中、八中改扩建工程。定期进行校舍安全检测鉴定，对存在安全问题的及时维修改造。督促各地在城市规划建设中加强中小学用地保障，更多采用中小规模、均衡分布的布局建设方式，提高中小学服务半径覆盖率，逐步解决上学远的问题。快灾后学校修复重建建设进度，确保重建学校在2024年秋季开学投入使用。在城市规划建设中加强中小学用地保障，更多采用中小规模、均衡分布的布局建设方式，提高中小学服务半径覆盖率，逐步解决上学远的问题。</w:t>
      </w:r>
    </w:p>
    <w:p w14:paraId="74D2B057">
      <w:pPr>
        <w:ind w:left="40" w:right="100" w:firstLine="640"/>
        <w:rPr>
          <w:rFonts w:hint="eastAsia"/>
        </w:rPr>
      </w:pPr>
      <w:r>
        <w:rPr>
          <w:rFonts w:hint="eastAsia"/>
        </w:rPr>
        <w:t>加快发展普惠性学前教育和托育服务。深入推进城镇小区配套幼儿园治理工作，扶持普惠性民办幼儿园发展，加大幼儿园空白区、稀少区布局建设力度，继续提高普惠性幼儿园覆盖率，为幼儿提供更加充裕、更加普惠、更加优质的学前教育，加大公办幼儿园建设力度，更好满足人民群众对公办幼儿园的需求。大力发展多种形式的托育服务，推动县级综合托育中心建设，实施社区托育中心建设工程，提高社区托育中心覆盖率，引导社会力量举办多元化托育机构，支持幼儿园设置幼儿托班，进一步增加托育服务供给，提高婴幼儿社会化照护率。</w:t>
      </w:r>
    </w:p>
    <w:p w14:paraId="51C3E773">
      <w:pPr>
        <w:ind w:left="40" w:right="100" w:firstLine="640"/>
        <w:rPr>
          <w:rFonts w:hint="eastAsia"/>
        </w:rPr>
      </w:pPr>
      <w:r>
        <w:rPr>
          <w:rFonts w:hint="eastAsia"/>
        </w:rPr>
        <w:t>加强基层医疗卫生服务体系建设。按照医疗卫生设施规划标准，结合居民实际需求，加大社区卫生服务中心、社区卫生服务站等基层医疗卫生设施布局建设力度，实现15分钟生活圈医疗卫生服务机构全覆盖。提高基层医疗卫生服务机构服务能力和质量，引导居民常见病就近治疗，提高社区卫生服务机构分担率。</w:t>
      </w:r>
    </w:p>
    <w:p w14:paraId="63930BB4">
      <w:pPr>
        <w:ind w:left="40" w:right="100" w:firstLine="640"/>
        <w:rPr>
          <w:rFonts w:hint="eastAsia"/>
        </w:rPr>
      </w:pPr>
      <w:r>
        <w:rPr>
          <w:rFonts w:hint="eastAsia"/>
        </w:rPr>
        <w:t>推进完整居住社区建设。按照《完整居住社区建设指南》，推进完整居住社区建设，开展城市居住社区建设补短板行动，重点补齐基本公共服务设施、市政基础设施、公共活动空间、物业管理等方面短板，推动全省各地打造一批示范性完整居住社区。在住宅用地出让中，对照完整居住社区建设要求，提出相关设施的配建要求。结合老旧小区改造，按照完整居住社区标准，改造提升社区基础设施，推进物业管理全覆盖，利用闲置建筑、场地配置公共服务设施和公共活动场地。</w:t>
      </w:r>
    </w:p>
    <w:p w14:paraId="1B34EBEF">
      <w:pPr>
        <w:ind w:left="40" w:right="100" w:firstLine="640"/>
        <w:rPr>
          <w:rFonts w:hint="eastAsia"/>
        </w:rPr>
      </w:pPr>
      <w:r>
        <w:rPr>
          <w:rFonts w:hint="eastAsia"/>
        </w:rPr>
        <w:t>提升养老服务质量水平。不断强化养老机构建设水平，优化公办养老机构建设管理，提高护理型床位占比，提升兜底保障水平。全面落实养老服务设施分区分级规划建设要求，加强社区养老服务设施建设，不断完善生活照料、精神慰藉、助餐助行等服务。积极发展多层次、多样化养老服务，引导社会资本参与养老服务发展，拓展多样化养老服务，扩大普惠性养老服务供给。</w:t>
      </w:r>
    </w:p>
    <w:p w14:paraId="584BE6BF">
      <w:pPr>
        <w:ind w:left="40" w:right="100" w:firstLine="640"/>
        <w:rPr>
          <w:rFonts w:hint="eastAsia"/>
        </w:rPr>
      </w:pPr>
      <w:r>
        <w:rPr>
          <w:rFonts w:hint="eastAsia"/>
        </w:rPr>
        <w:t>增加停车泊位供给。多措并举继续推进实施城市公共停车设施增量提质补短板行动，通过新建、改造、路划、开放、共享等多种方式增加停车泊位供应，进一步缓解停车难问题。重点通过旧城更新改造、建设地下停车场或立体停车场、划设路侧夜间停车位等方式增加老城区公共停车位数量，缓解老城区停车位不足的问题。按照规范要求在新建居住区和公共建筑中足量配建停车位，避免新城区、新建筑出现停车难问题。推动机关、企事业单位内部停车位在节假日向社会开放，探索构建智慧停车管理平台，实现停车位资源的实时更新、查询、预约等功能，引导个人或单位所属停车位在闲置时段通过信息平台向公众发布，发展共享停车服务。</w:t>
      </w:r>
    </w:p>
    <w:p w14:paraId="72E00CB1">
      <w:pPr>
        <w:ind w:left="40" w:right="100" w:firstLine="640"/>
        <w:rPr>
          <w:rFonts w:hint="eastAsia"/>
        </w:rPr>
      </w:pPr>
      <w:r>
        <w:rPr>
          <w:rFonts w:hint="eastAsia"/>
        </w:rPr>
        <w:t>加快补齐消防设施短板弱项。按照城市消防专项规划，加强消防站点布局建设，填补消防站点空白区，提高消防站点密度，缩短消防救援到达时间。在老城区、住宅区等缺乏建设空间的区域设置小微型消防站，确保火灾事故第一时间响应处置。全面开展消火栓排查改造，结合老旧小区改造、道路改造等对缺失、损坏的消火栓进行补齐和维修改造，确保城市建成区内消火栓配置达标且完好可用。</w:t>
      </w:r>
    </w:p>
    <w:p w14:paraId="1853E44E">
      <w:pPr>
        <w:pStyle w:val="4"/>
        <w:rPr>
          <w:rFonts w:hint="eastAsia"/>
        </w:rPr>
      </w:pPr>
      <w:r>
        <w:rPr>
          <w:rFonts w:hint="eastAsia"/>
        </w:rPr>
        <w:t>（三）巩固基础设施体系，着力建设安全韧性城市</w:t>
      </w:r>
    </w:p>
    <w:p w14:paraId="656A3D81">
      <w:pPr>
        <w:ind w:left="40" w:right="100" w:firstLine="640"/>
        <w:rPr>
          <w:rFonts w:hint="eastAsia"/>
        </w:rPr>
      </w:pPr>
      <w:r>
        <w:rPr>
          <w:rFonts w:hint="eastAsia"/>
        </w:rPr>
        <w:t>（1）加快给水排水管网提升改造。全面开展城市老旧供水管网改造，将建设年代较早的混凝土管、铸铁管替换为复合管道、塑料管道，消除供水管网跑冒滴漏现象，降低公共供水管网漏损率，减少供水管道对自来水的污染，提高供水水质。推进二次供水设施问题排查和改造，加快消除因二次供水设施老化造成的居民用水问题。加大城市雨污水管网建设投入，加快消除污水管网空白区，完成雨污分流区域混错接排查改造，结合老旧小区改造、城市道路改造等，对雨污合流制管网改造为雨污分流管网，提高生活污水集中收集率和处理效率。</w:t>
      </w:r>
    </w:p>
    <w:p w14:paraId="37C66E68">
      <w:pPr>
        <w:ind w:left="40" w:right="100" w:firstLine="640"/>
        <w:rPr>
          <w:rFonts w:hint="eastAsia"/>
        </w:rPr>
      </w:pPr>
      <w:r>
        <w:rPr>
          <w:rFonts w:hint="eastAsia"/>
        </w:rPr>
        <w:t>（2）完善城市环卫设施体系。优化生活垃圾转运站布局，适当增加垃圾转运站密度，提高垃圾转运站服务半径覆盖率。进一步完善垃圾分类收集处理体系，强化日常管理，确保垃圾分类工作落到实处，有效开展。进一步推进“厕所革命”，加大公厕建设力度，提高公厕设置密度和覆盖率，改造老旧公厕，改善如厕环境。</w:t>
      </w:r>
    </w:p>
    <w:p w14:paraId="52865EE0">
      <w:pPr>
        <w:ind w:left="40" w:right="100" w:firstLine="640"/>
        <w:rPr>
          <w:rFonts w:hint="eastAsia"/>
        </w:rPr>
      </w:pPr>
      <w:r>
        <w:rPr>
          <w:rFonts w:hint="eastAsia"/>
        </w:rPr>
        <w:t>（3）推进城镇燃气管网更新改造。认真贯彻落实国家关于城镇燃气管网更新改造的工作部署，多方筹集资金，一手抓管网新建延伸，提高燃气普及率，一手抓老旧燃气管网更新改造，加快消除安全隐患，强化燃气安全保障，防止发生燃气泄漏爆炸等安全事故。</w:t>
      </w:r>
    </w:p>
    <w:p w14:paraId="07F2A214">
      <w:pPr>
        <w:ind w:left="40" w:right="100" w:firstLine="640"/>
        <w:rPr>
          <w:rFonts w:hint="eastAsia"/>
        </w:rPr>
      </w:pPr>
      <w:r>
        <w:rPr>
          <w:rFonts w:hint="eastAsia"/>
        </w:rPr>
        <w:t>（4）强化排涝设施建设和内涝点治理。按照城市防洪排涝规划，结合地方实际，加快推进排涝设施建设，力争排涝设施能力达到规划要求，适当提高设施冗余度，增强对极端降水和城市内涝的应对能力。加大城市内涝点治理力度，全面排查城区内涝易发点，“一点一策”制订改造方案，结合排水管网改造、老旧小区改造、道路改造等进行彻底治理。</w:t>
      </w:r>
    </w:p>
    <w:p w14:paraId="02407F8F">
      <w:pPr>
        <w:ind w:left="40" w:right="100" w:firstLine="640"/>
        <w:rPr>
          <w:rFonts w:hint="eastAsia"/>
        </w:rPr>
      </w:pPr>
      <w:r>
        <w:rPr>
          <w:rFonts w:hint="eastAsia"/>
        </w:rPr>
        <w:t>（5）加快补齐消防设施短板弱项。按照城市消防专项规划，加强消防站点布局建设，填补消防站点空白区，提高消防站点密度，缩短消防救援到达时间。在老城区、住宅区等缺乏建设空间的区域设置小微型消防站，确保火灾事故第一时间响应处置。全面开展消火栓排查改造，结合老旧小区改造、道路改造等对缺失、损坏的消火栓进行补齐和维修改造，确保城市建成区内消火栓配置达标且完好可用。</w:t>
      </w:r>
    </w:p>
    <w:p w14:paraId="7F6A3D74">
      <w:pPr>
        <w:ind w:left="40" w:right="100" w:firstLine="640"/>
        <w:rPr>
          <w:rFonts w:hint="eastAsia"/>
        </w:rPr>
      </w:pPr>
      <w:r>
        <w:rPr>
          <w:rFonts w:hint="eastAsia"/>
        </w:rPr>
        <w:t>（6）加强应急避难场所规划建设。推动市、县应急避难场所专项规划编制，批复后按程序纳入详细规划及国土空间规划“一张图”，初步形成市、县、乡镇（街道）和村（社区）五级应急避难场所布局体系，实现避难场所服务半径对建成区的全覆盖。结合公园广场、体育场馆、学校等公共场所推进应急避难场所建设，强化应急避难物资储备，提升城市应急避灾安置能力。</w:t>
      </w:r>
    </w:p>
    <w:p w14:paraId="29C4874D">
      <w:pPr>
        <w:pStyle w:val="4"/>
        <w:rPr>
          <w:rFonts w:hint="eastAsia"/>
        </w:rPr>
      </w:pPr>
      <w:r>
        <w:rPr>
          <w:rFonts w:hint="eastAsia"/>
        </w:rPr>
        <w:t>（四）提升城市治理水平，加快打造精致精美城市</w:t>
      </w:r>
    </w:p>
    <w:p w14:paraId="73875EA0">
      <w:pPr>
        <w:ind w:left="40" w:right="100" w:firstLine="640"/>
        <w:rPr>
          <w:rFonts w:hint="eastAsia"/>
        </w:rPr>
      </w:pPr>
      <w:r>
        <w:rPr>
          <w:rFonts w:hint="eastAsia"/>
        </w:rPr>
        <w:t>推进城市管理智能化。推进城市管理数字化平台建设，提高数字化城市管理覆盖率，增强数字化平台功能，提升城市管理精细化、实时性水平。支持有条件的城市建设城市大脑，不断拓展城市大脑应用，推动建设智慧城市。加快建设城市管网监测监控信息系统，对供电、供水、燃气等重要管网实施智能化监测监控，提高城市生命线安全保障水平。加强城市窨井盖排查整治，推广智能井盖，切实保障马路安全。</w:t>
      </w:r>
    </w:p>
    <w:p w14:paraId="2B460F2C">
      <w:pPr>
        <w:ind w:firstLine="640"/>
        <w:rPr>
          <w:rFonts w:hint="eastAsia"/>
        </w:rPr>
      </w:pPr>
      <w:r>
        <w:rPr>
          <w:rFonts w:hint="eastAsia"/>
        </w:rPr>
        <w:t>提高社区管理水平。着力提高专业化物业管理覆盖率，新建小区全部实行物业管理，无物业的老旧小区通过综合整治改造，积极引入专业化物业管理，加强对居民的宣传引导，提高居民对物业管理的接受程度。培育规模化、连锁式物业管理企业，对无物业小区进行批量管理。推动各地制定颁布物业管理规章条例，加强对物业管理企业的监管，提高物业服务质量。鼓励建立智慧物业平台，提高物业管理信息化、智能化水平。</w:t>
      </w:r>
    </w:p>
    <w:p w14:paraId="39C0C5F4">
      <w:pPr>
        <w:pStyle w:val="3"/>
        <w:rPr>
          <w:rFonts w:hint="eastAsia"/>
          <w:lang w:val="zh-CN"/>
        </w:rPr>
      </w:pPr>
      <w:bookmarkStart w:id="54" w:name="_Toc25784"/>
      <w:bookmarkStart w:id="55" w:name="_Toc6474"/>
      <w:bookmarkStart w:id="56" w:name="_Toc9877"/>
      <w:bookmarkStart w:id="57" w:name="_Toc1875"/>
      <w:r>
        <w:rPr>
          <w:rFonts w:hint="eastAsia"/>
          <w:lang w:val="zh-CN"/>
        </w:rPr>
        <w:t>二、实施</w:t>
      </w:r>
      <w:bookmarkEnd w:id="54"/>
      <w:bookmarkEnd w:id="55"/>
      <w:bookmarkEnd w:id="56"/>
      <w:r>
        <w:rPr>
          <w:rFonts w:hint="eastAsia"/>
          <w:lang w:val="zh-CN"/>
        </w:rPr>
        <w:t>保障</w:t>
      </w:r>
      <w:bookmarkEnd w:id="57"/>
    </w:p>
    <w:p w14:paraId="3376F99C">
      <w:pPr>
        <w:pStyle w:val="4"/>
        <w:spacing w:line="560" w:lineRule="exact"/>
        <w:rPr>
          <w:rFonts w:hint="eastAsia"/>
        </w:rPr>
      </w:pPr>
      <w:bookmarkStart w:id="58" w:name="_Toc449"/>
      <w:r>
        <w:t>（一）组织保障</w:t>
      </w:r>
      <w:bookmarkEnd w:id="58"/>
    </w:p>
    <w:p w14:paraId="76529296">
      <w:pPr>
        <w:ind w:firstLine="640"/>
        <w:rPr>
          <w:rFonts w:hint="eastAsia"/>
        </w:rPr>
      </w:pPr>
      <w:r>
        <w:rPr>
          <w:lang w:bidi="ar"/>
        </w:rPr>
        <w:t>始终把党的全面领导贯穿于住房和城乡建设的各阶段、各环节。把党的政治优势、组织优势、制度优势转化为推动住房和城乡建设的强大动力和坚强保障。加强市级层面的统筹协调，市政府、依托城市体检领导小组开展城市体检组织协调工作。明确相关部门责任、加强各部门之间的协同配合，确保各项任务顺利完成、各项指标精准填报。</w:t>
      </w:r>
    </w:p>
    <w:p w14:paraId="58CE782E">
      <w:pPr>
        <w:pStyle w:val="4"/>
        <w:spacing w:line="560" w:lineRule="exact"/>
        <w:rPr>
          <w:rFonts w:hint="eastAsia"/>
        </w:rPr>
      </w:pPr>
      <w:bookmarkStart w:id="59" w:name="_Toc13078"/>
      <w:r>
        <w:t>（二）人才保障</w:t>
      </w:r>
      <w:bookmarkEnd w:id="59"/>
    </w:p>
    <w:p w14:paraId="03E567F0">
      <w:pPr>
        <w:ind w:firstLine="640"/>
        <w:rPr>
          <w:rFonts w:hint="eastAsia"/>
        </w:rPr>
      </w:pPr>
      <w:r>
        <w:rPr>
          <w:lang w:bidi="ar"/>
        </w:rPr>
        <w:t>建立城市体检人才培训制度，组织各部门干部、相关负责同志进行培训，让相关责任人员掌握城市体检的相关知识。积极开展沟通与交流，一方面可邀请规划院、高等院校等专业人员为城市体检工作进行技术指导。二是积极与其他市（区）开展经验分享、交流合作，取长补短，推动城市体检工作高质量展开。</w:t>
      </w:r>
    </w:p>
    <w:p w14:paraId="12D112E5">
      <w:pPr>
        <w:pStyle w:val="4"/>
        <w:spacing w:line="560" w:lineRule="exact"/>
        <w:rPr>
          <w:rFonts w:hint="eastAsia"/>
        </w:rPr>
      </w:pPr>
      <w:bookmarkStart w:id="60" w:name="_Toc90"/>
      <w:r>
        <w:t>（三）平台保障</w:t>
      </w:r>
      <w:bookmarkEnd w:id="60"/>
    </w:p>
    <w:p w14:paraId="79CE9136">
      <w:pPr>
        <w:ind w:firstLine="640"/>
        <w:rPr>
          <w:rFonts w:hint="eastAsia"/>
        </w:rPr>
      </w:pPr>
      <w:r>
        <w:rPr>
          <w:lang w:bidi="ar"/>
        </w:rPr>
        <w:t>充分运用先进信息技术，积极推动城市体检评估管理信息平台建设，逐步实现与国家级城市体检评估管理信息平台对接。加强城市体检评估数据汇集、综合分析、监测预警和工作调度，建立</w:t>
      </w:r>
      <w:r>
        <w:rPr>
          <w:rFonts w:hint="eastAsia"/>
          <w:lang w:bidi="ar"/>
        </w:rPr>
        <w:t>“</w:t>
      </w:r>
      <w:r>
        <w:rPr>
          <w:lang w:bidi="ar"/>
        </w:rPr>
        <w:t>发现问题一整改问题一巩固提升</w:t>
      </w:r>
      <w:r>
        <w:rPr>
          <w:rFonts w:hint="eastAsia"/>
          <w:lang w:bidi="ar"/>
        </w:rPr>
        <w:t>”</w:t>
      </w:r>
      <w:r>
        <w:rPr>
          <w:lang w:bidi="ar"/>
        </w:rPr>
        <w:t>联动工作机制，加快实现城市体检全过程数字化记录，鼓励开发与城市更新相衔接的业务场景应用。</w:t>
      </w:r>
    </w:p>
    <w:p w14:paraId="04A5C366">
      <w:pPr>
        <w:pStyle w:val="4"/>
        <w:spacing w:line="560" w:lineRule="exact"/>
        <w:rPr>
          <w:rFonts w:hint="eastAsia"/>
        </w:rPr>
      </w:pPr>
      <w:bookmarkStart w:id="61" w:name="_Toc20598"/>
      <w:r>
        <w:t>（四）政策保障</w:t>
      </w:r>
      <w:bookmarkEnd w:id="61"/>
    </w:p>
    <w:p w14:paraId="6645E06B">
      <w:pPr>
        <w:ind w:firstLine="640"/>
        <w:rPr>
          <w:rFonts w:hint="eastAsia"/>
        </w:rPr>
      </w:pPr>
      <w:r>
        <w:rPr>
          <w:lang w:bidi="ar"/>
        </w:rPr>
        <w:t>建立与城市体检工作及城市更新行动相适应的政策体系，综合评价城市发展建设状况、有针对性制定对策措施，优化城市发展目标、补齐城市建设短板、解决</w:t>
      </w:r>
      <w:r>
        <w:rPr>
          <w:rFonts w:hint="eastAsia"/>
          <w:lang w:bidi="ar"/>
        </w:rPr>
        <w:t>“</w:t>
      </w:r>
      <w:r>
        <w:rPr>
          <w:lang w:bidi="ar"/>
        </w:rPr>
        <w:t>城市病</w:t>
      </w:r>
      <w:r>
        <w:rPr>
          <w:rFonts w:hint="eastAsia"/>
          <w:lang w:bidi="ar"/>
        </w:rPr>
        <w:t>”</w:t>
      </w:r>
      <w:r>
        <w:rPr>
          <w:lang w:bidi="ar"/>
        </w:rPr>
        <w:t>问题，为城市高质量发展保驾护航。</w:t>
      </w:r>
    </w:p>
    <w:p w14:paraId="21BF43D6">
      <w:pPr>
        <w:ind w:firstLine="640"/>
        <w:rPr>
          <w:rFonts w:hint="eastAsia" w:ascii="方正黑体_GBK" w:hAnsi="方正黑体_GBK" w:eastAsia="方正黑体_GBK" w:cs="方正黑体_GBK"/>
          <w:bCs/>
        </w:rPr>
        <w:sectPr>
          <w:headerReference r:id="rId16" w:type="default"/>
          <w:footerReference r:id="rId17" w:type="default"/>
          <w:pgSz w:w="11906" w:h="16838"/>
          <w:pgMar w:top="1440" w:right="1800" w:bottom="1440" w:left="1800" w:header="851" w:footer="992" w:gutter="0"/>
          <w:pgNumType w:fmt="decimal"/>
          <w:cols w:space="425" w:num="1"/>
          <w:docGrid w:type="lines" w:linePitch="312" w:charSpace="0"/>
        </w:sectPr>
      </w:pPr>
    </w:p>
    <w:p w14:paraId="419A2FD9">
      <w:pPr>
        <w:spacing w:line="240" w:lineRule="auto"/>
        <w:ind w:firstLine="0" w:firstLineChars="0"/>
        <w:outlineLvl w:val="0"/>
        <w:rPr>
          <w:rFonts w:hint="eastAsia" w:ascii="方正黑体_GBK" w:hAnsi="方正黑体_GBK" w:eastAsia="方正黑体_GBK" w:cs="方正黑体_GBK"/>
          <w:bCs/>
        </w:rPr>
      </w:pPr>
      <w:bookmarkStart w:id="62" w:name="_Toc25355"/>
      <w:bookmarkStart w:id="63" w:name="_Toc1858"/>
      <w:r>
        <w:rPr>
          <w:rFonts w:hint="eastAsia" w:ascii="方正黑体_GBK" w:hAnsi="方正黑体_GBK" w:eastAsia="方正黑体_GBK" w:cs="方正黑体_GBK"/>
          <w:bCs/>
        </w:rPr>
        <w:t>附件1：廊坊市2023年体检转化应用情况及2024年工作谋划</w:t>
      </w:r>
      <w:bookmarkEnd w:id="62"/>
      <w:bookmarkEnd w:id="63"/>
    </w:p>
    <w:tbl>
      <w:tblPr>
        <w:tblStyle w:val="30"/>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598"/>
        <w:gridCol w:w="972"/>
        <w:gridCol w:w="734"/>
        <w:gridCol w:w="881"/>
        <w:gridCol w:w="1102"/>
        <w:gridCol w:w="5053"/>
        <w:gridCol w:w="4003"/>
      </w:tblGrid>
      <w:tr w14:paraId="427AA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88" w:type="pct"/>
            <w:vAlign w:val="center"/>
          </w:tcPr>
          <w:p w14:paraId="532A8022">
            <w:pPr>
              <w:pStyle w:val="50"/>
            </w:pPr>
            <w:r>
              <w:t>责任部门</w:t>
            </w:r>
          </w:p>
        </w:tc>
        <w:tc>
          <w:tcPr>
            <w:tcW w:w="211" w:type="pct"/>
            <w:vAlign w:val="center"/>
          </w:tcPr>
          <w:p w14:paraId="20826C33">
            <w:pPr>
              <w:pStyle w:val="50"/>
            </w:pPr>
            <w:r>
              <w:t>序号</w:t>
            </w:r>
          </w:p>
        </w:tc>
        <w:tc>
          <w:tcPr>
            <w:tcW w:w="343" w:type="pct"/>
            <w:vAlign w:val="center"/>
          </w:tcPr>
          <w:p w14:paraId="467D9DD2">
            <w:pPr>
              <w:pStyle w:val="50"/>
            </w:pPr>
            <w:r>
              <w:t>指标名称</w:t>
            </w:r>
          </w:p>
        </w:tc>
        <w:tc>
          <w:tcPr>
            <w:tcW w:w="259" w:type="pct"/>
            <w:vAlign w:val="center"/>
          </w:tcPr>
          <w:p w14:paraId="5C1C4B18">
            <w:pPr>
              <w:pStyle w:val="50"/>
            </w:pPr>
            <w:r>
              <w:t>指标数值</w:t>
            </w:r>
          </w:p>
        </w:tc>
        <w:tc>
          <w:tcPr>
            <w:tcW w:w="311" w:type="pct"/>
            <w:vAlign w:val="center"/>
          </w:tcPr>
          <w:p w14:paraId="4479AE56">
            <w:pPr>
              <w:pStyle w:val="50"/>
            </w:pPr>
            <w:r>
              <w:t>评价标准</w:t>
            </w:r>
          </w:p>
        </w:tc>
        <w:tc>
          <w:tcPr>
            <w:tcW w:w="389" w:type="pct"/>
            <w:vAlign w:val="center"/>
          </w:tcPr>
          <w:p w14:paraId="0B21F230">
            <w:pPr>
              <w:pStyle w:val="50"/>
            </w:pPr>
            <w:r>
              <w:t>与所定标准差距</w:t>
            </w:r>
          </w:p>
        </w:tc>
        <w:tc>
          <w:tcPr>
            <w:tcW w:w="1784" w:type="pct"/>
            <w:vAlign w:val="center"/>
          </w:tcPr>
          <w:p w14:paraId="3054BFDB">
            <w:pPr>
              <w:pStyle w:val="50"/>
            </w:pPr>
            <w:r>
              <w:t>2023年体检转化应用</w:t>
            </w:r>
          </w:p>
        </w:tc>
        <w:tc>
          <w:tcPr>
            <w:tcW w:w="1413" w:type="pct"/>
            <w:vAlign w:val="center"/>
          </w:tcPr>
          <w:p w14:paraId="3E50F2AD">
            <w:pPr>
              <w:pStyle w:val="50"/>
            </w:pPr>
            <w:r>
              <w:t>2024年工作谋划</w:t>
            </w:r>
          </w:p>
        </w:tc>
      </w:tr>
      <w:tr w14:paraId="384D2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5" w:hRule="atLeast"/>
        </w:trPr>
        <w:tc>
          <w:tcPr>
            <w:tcW w:w="288" w:type="pct"/>
            <w:vAlign w:val="center"/>
          </w:tcPr>
          <w:p w14:paraId="756F1D69">
            <w:pPr>
              <w:widowControl/>
              <w:spacing w:line="320" w:lineRule="exact"/>
              <w:ind w:firstLine="0" w:firstLineChars="0"/>
              <w:jc w:val="center"/>
              <w:rPr>
                <w:rFonts w:hint="eastAsia"/>
                <w:kern w:val="0"/>
                <w:sz w:val="24"/>
                <w:szCs w:val="24"/>
              </w:rPr>
            </w:pPr>
            <w:r>
              <w:rPr>
                <w:rFonts w:hint="eastAsia"/>
                <w:kern w:val="0"/>
                <w:sz w:val="24"/>
                <w:szCs w:val="24"/>
              </w:rPr>
              <w:t>市住建局</w:t>
            </w:r>
          </w:p>
        </w:tc>
        <w:tc>
          <w:tcPr>
            <w:tcW w:w="211" w:type="pct"/>
            <w:vAlign w:val="center"/>
          </w:tcPr>
          <w:p w14:paraId="42C84892">
            <w:pPr>
              <w:widowControl/>
              <w:spacing w:line="320" w:lineRule="exact"/>
              <w:ind w:firstLine="0" w:firstLineChars="0"/>
              <w:jc w:val="center"/>
              <w:rPr>
                <w:rFonts w:hint="eastAsia"/>
                <w:kern w:val="0"/>
                <w:sz w:val="24"/>
                <w:szCs w:val="24"/>
              </w:rPr>
            </w:pPr>
            <w:r>
              <w:rPr>
                <w:rFonts w:hint="eastAsia"/>
                <w:kern w:val="0"/>
                <w:sz w:val="24"/>
                <w:szCs w:val="24"/>
              </w:rPr>
              <w:t>1</w:t>
            </w:r>
          </w:p>
        </w:tc>
        <w:tc>
          <w:tcPr>
            <w:tcW w:w="343" w:type="pct"/>
            <w:vAlign w:val="center"/>
          </w:tcPr>
          <w:p w14:paraId="1894D398">
            <w:pPr>
              <w:widowControl/>
              <w:spacing w:line="320" w:lineRule="exact"/>
              <w:ind w:firstLine="0" w:firstLineChars="0"/>
              <w:jc w:val="center"/>
              <w:rPr>
                <w:rFonts w:hint="eastAsia"/>
                <w:kern w:val="0"/>
                <w:sz w:val="24"/>
                <w:szCs w:val="24"/>
              </w:rPr>
            </w:pPr>
            <w:r>
              <w:rPr>
                <w:rFonts w:hint="eastAsia"/>
                <w:kern w:val="0"/>
                <w:sz w:val="24"/>
                <w:szCs w:val="24"/>
              </w:rPr>
              <w:t>新建绿色建筑中星级绿色建筑占比（%）★</w:t>
            </w:r>
          </w:p>
        </w:tc>
        <w:tc>
          <w:tcPr>
            <w:tcW w:w="259" w:type="pct"/>
            <w:vAlign w:val="center"/>
          </w:tcPr>
          <w:p w14:paraId="20863DCB">
            <w:pPr>
              <w:widowControl/>
              <w:spacing w:line="320" w:lineRule="exact"/>
              <w:ind w:firstLine="0" w:firstLineChars="0"/>
              <w:jc w:val="center"/>
              <w:rPr>
                <w:rFonts w:hint="eastAsia"/>
                <w:kern w:val="0"/>
                <w:sz w:val="24"/>
                <w:szCs w:val="24"/>
              </w:rPr>
            </w:pPr>
            <w:r>
              <w:rPr>
                <w:rFonts w:hint="eastAsia"/>
                <w:kern w:val="0"/>
                <w:sz w:val="24"/>
                <w:szCs w:val="24"/>
              </w:rPr>
              <w:t>57.43%</w:t>
            </w:r>
          </w:p>
        </w:tc>
        <w:tc>
          <w:tcPr>
            <w:tcW w:w="311" w:type="pct"/>
            <w:vAlign w:val="center"/>
          </w:tcPr>
          <w:p w14:paraId="58FD6AD6">
            <w:pPr>
              <w:widowControl/>
              <w:spacing w:line="320" w:lineRule="exact"/>
              <w:ind w:firstLine="0" w:firstLineChars="0"/>
              <w:jc w:val="center"/>
              <w:rPr>
                <w:rFonts w:hint="eastAsia"/>
                <w:kern w:val="0"/>
                <w:sz w:val="24"/>
                <w:szCs w:val="24"/>
              </w:rPr>
            </w:pPr>
            <w:r>
              <w:rPr>
                <w:rFonts w:hint="eastAsia"/>
                <w:kern w:val="0"/>
                <w:sz w:val="24"/>
                <w:szCs w:val="24"/>
              </w:rPr>
              <w:t>应逐年提高，到2025年≥50%</w:t>
            </w:r>
          </w:p>
        </w:tc>
        <w:tc>
          <w:tcPr>
            <w:tcW w:w="389" w:type="pct"/>
            <w:vAlign w:val="center"/>
          </w:tcPr>
          <w:p w14:paraId="0CF888A2">
            <w:pPr>
              <w:widowControl/>
              <w:spacing w:line="320" w:lineRule="exact"/>
              <w:ind w:firstLine="0" w:firstLineChars="0"/>
              <w:jc w:val="center"/>
              <w:rPr>
                <w:rFonts w:hint="eastAsia"/>
                <w:kern w:val="0"/>
                <w:sz w:val="24"/>
                <w:szCs w:val="24"/>
              </w:rPr>
            </w:pPr>
            <w:r>
              <w:rPr>
                <w:rFonts w:hint="eastAsia"/>
                <w:kern w:val="0"/>
                <w:sz w:val="24"/>
                <w:szCs w:val="24"/>
              </w:rPr>
              <w:t>已达标</w:t>
            </w:r>
          </w:p>
        </w:tc>
        <w:tc>
          <w:tcPr>
            <w:tcW w:w="1784" w:type="pct"/>
            <w:vAlign w:val="center"/>
          </w:tcPr>
          <w:p w14:paraId="359E701D">
            <w:pPr>
              <w:widowControl/>
              <w:spacing w:line="320" w:lineRule="exact"/>
              <w:ind w:firstLine="0" w:firstLineChars="0"/>
              <w:jc w:val="left"/>
              <w:rPr>
                <w:rFonts w:hint="eastAsia"/>
                <w:kern w:val="0"/>
                <w:sz w:val="24"/>
                <w:szCs w:val="24"/>
              </w:rPr>
            </w:pPr>
            <w:r>
              <w:rPr>
                <w:rFonts w:hint="eastAsia"/>
                <w:kern w:val="0"/>
                <w:sz w:val="24"/>
                <w:szCs w:val="24"/>
              </w:rPr>
              <w:t>市住建局：截止12月我市绿色建筑占新建建筑比例为100%，竣工星级绿色建筑占比57.43%，超额完成省定星级绿色建筑占比30%任务指标。</w:t>
            </w:r>
          </w:p>
        </w:tc>
        <w:tc>
          <w:tcPr>
            <w:tcW w:w="1413" w:type="pct"/>
            <w:vAlign w:val="center"/>
          </w:tcPr>
          <w:p w14:paraId="1A3FEA65">
            <w:pPr>
              <w:widowControl/>
              <w:spacing w:line="320" w:lineRule="exact"/>
              <w:ind w:firstLine="0" w:firstLineChars="0"/>
              <w:jc w:val="left"/>
              <w:rPr>
                <w:rFonts w:hint="eastAsia"/>
                <w:kern w:val="0"/>
                <w:sz w:val="24"/>
                <w:szCs w:val="24"/>
              </w:rPr>
            </w:pPr>
            <w:r>
              <w:rPr>
                <w:rFonts w:hint="eastAsia"/>
                <w:kern w:val="0"/>
                <w:sz w:val="24"/>
                <w:szCs w:val="24"/>
              </w:rPr>
              <w:t>（一）继续严格执行《廊坊市人民政府印发加快推进绿色建筑产业发展的若干意见的通知》（廊政办字〔2021〕4号）文件要求，采用试点示范先行、以点带面的方式推动绿色建筑；加大宣传力度，构建多渠道、全方位的宣传格局；进一步完善管理机制，加快推进绿色建筑等相关产业发展。</w:t>
            </w:r>
          </w:p>
          <w:p w14:paraId="210FE0B6">
            <w:pPr>
              <w:widowControl/>
              <w:spacing w:line="320" w:lineRule="exact"/>
              <w:ind w:firstLine="0" w:firstLineChars="0"/>
              <w:jc w:val="left"/>
              <w:rPr>
                <w:rFonts w:hint="eastAsia"/>
                <w:kern w:val="0"/>
                <w:sz w:val="24"/>
                <w:szCs w:val="24"/>
              </w:rPr>
            </w:pPr>
            <w:r>
              <w:rPr>
                <w:rFonts w:hint="eastAsia"/>
                <w:kern w:val="0"/>
                <w:sz w:val="24"/>
                <w:szCs w:val="24"/>
              </w:rPr>
              <w:t>（二）进一步落实工作责任。将绿色建筑任务指标列入全市城市建设领域重点工作，定期对各县（市、区）任务指标完成情况进行考核督导，层层压实工作责任，确保工作落到实处，取得成效。</w:t>
            </w:r>
          </w:p>
          <w:p w14:paraId="792C6C8C">
            <w:pPr>
              <w:widowControl/>
              <w:spacing w:line="320" w:lineRule="exact"/>
              <w:ind w:firstLine="0" w:firstLineChars="0"/>
              <w:jc w:val="left"/>
              <w:rPr>
                <w:rFonts w:hint="eastAsia"/>
                <w:kern w:val="0"/>
                <w:sz w:val="24"/>
                <w:szCs w:val="24"/>
              </w:rPr>
            </w:pPr>
            <w:r>
              <w:rPr>
                <w:rFonts w:hint="eastAsia"/>
                <w:kern w:val="0"/>
                <w:sz w:val="24"/>
                <w:szCs w:val="24"/>
              </w:rPr>
              <w:t>（三）针对性开展教育培训，开展对绿色建筑设计、施工、监理、检测评估等技能培训，培养一批专业管理人员和产业技术人员，以满足产业发展需求，克服技术障碍。</w:t>
            </w:r>
          </w:p>
        </w:tc>
      </w:tr>
      <w:tr w14:paraId="31CA1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 w:type="pct"/>
            <w:vAlign w:val="center"/>
          </w:tcPr>
          <w:p w14:paraId="03CAC3A2">
            <w:pPr>
              <w:widowControl/>
              <w:spacing w:line="320" w:lineRule="exact"/>
              <w:ind w:firstLine="0" w:firstLineChars="0"/>
              <w:jc w:val="center"/>
              <w:rPr>
                <w:rFonts w:hint="eastAsia"/>
                <w:kern w:val="0"/>
                <w:sz w:val="24"/>
                <w:szCs w:val="24"/>
              </w:rPr>
            </w:pPr>
            <w:r>
              <w:rPr>
                <w:rFonts w:hint="eastAsia"/>
                <w:kern w:val="0"/>
                <w:sz w:val="24"/>
                <w:szCs w:val="24"/>
              </w:rPr>
              <w:t>市教育局</w:t>
            </w:r>
          </w:p>
        </w:tc>
        <w:tc>
          <w:tcPr>
            <w:tcW w:w="211" w:type="pct"/>
            <w:vAlign w:val="center"/>
          </w:tcPr>
          <w:p w14:paraId="14BFDEBE">
            <w:pPr>
              <w:widowControl/>
              <w:spacing w:line="320" w:lineRule="exact"/>
              <w:ind w:firstLine="0" w:firstLineChars="0"/>
              <w:jc w:val="center"/>
              <w:rPr>
                <w:rFonts w:hint="eastAsia"/>
                <w:kern w:val="0"/>
                <w:sz w:val="24"/>
                <w:szCs w:val="24"/>
              </w:rPr>
            </w:pPr>
            <w:r>
              <w:rPr>
                <w:rFonts w:hint="eastAsia"/>
                <w:kern w:val="0"/>
                <w:sz w:val="24"/>
                <w:szCs w:val="24"/>
              </w:rPr>
              <w:t>2</w:t>
            </w:r>
          </w:p>
        </w:tc>
        <w:tc>
          <w:tcPr>
            <w:tcW w:w="343" w:type="pct"/>
            <w:vAlign w:val="center"/>
          </w:tcPr>
          <w:p w14:paraId="1FD0DE0A">
            <w:pPr>
              <w:widowControl/>
              <w:spacing w:line="320" w:lineRule="exact"/>
              <w:ind w:firstLine="0" w:firstLineChars="0"/>
              <w:jc w:val="center"/>
              <w:rPr>
                <w:rFonts w:hint="eastAsia"/>
                <w:kern w:val="0"/>
                <w:sz w:val="24"/>
                <w:szCs w:val="24"/>
              </w:rPr>
            </w:pPr>
            <w:r>
              <w:rPr>
                <w:rFonts w:hint="eastAsia"/>
                <w:kern w:val="0"/>
                <w:sz w:val="24"/>
                <w:szCs w:val="24"/>
              </w:rPr>
              <w:t>未达标配建幼儿园的数量（个）★</w:t>
            </w:r>
          </w:p>
        </w:tc>
        <w:tc>
          <w:tcPr>
            <w:tcW w:w="259" w:type="pct"/>
            <w:vAlign w:val="center"/>
          </w:tcPr>
          <w:p w14:paraId="2AE2F642">
            <w:pPr>
              <w:widowControl/>
              <w:spacing w:line="320" w:lineRule="exact"/>
              <w:ind w:firstLine="0" w:firstLineChars="0"/>
              <w:jc w:val="center"/>
              <w:rPr>
                <w:rFonts w:hint="eastAsia"/>
                <w:kern w:val="0"/>
                <w:sz w:val="24"/>
                <w:szCs w:val="24"/>
              </w:rPr>
            </w:pPr>
            <w:r>
              <w:rPr>
                <w:rFonts w:hint="eastAsia"/>
                <w:kern w:val="0"/>
                <w:sz w:val="24"/>
                <w:szCs w:val="24"/>
              </w:rPr>
              <w:t>19个</w:t>
            </w:r>
          </w:p>
        </w:tc>
        <w:tc>
          <w:tcPr>
            <w:tcW w:w="311" w:type="pct"/>
            <w:vAlign w:val="center"/>
          </w:tcPr>
          <w:p w14:paraId="600E0689">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151D9754">
            <w:pPr>
              <w:widowControl/>
              <w:spacing w:line="320" w:lineRule="exact"/>
              <w:ind w:firstLine="0" w:firstLineChars="0"/>
              <w:jc w:val="center"/>
              <w:rPr>
                <w:rFonts w:hint="eastAsia"/>
                <w:kern w:val="0"/>
                <w:sz w:val="24"/>
                <w:szCs w:val="24"/>
              </w:rPr>
            </w:pPr>
            <w:r>
              <w:rPr>
                <w:rFonts w:hint="eastAsia"/>
                <w:kern w:val="0"/>
                <w:sz w:val="24"/>
                <w:szCs w:val="24"/>
              </w:rPr>
              <w:t>19个</w:t>
            </w:r>
          </w:p>
        </w:tc>
        <w:tc>
          <w:tcPr>
            <w:tcW w:w="1784" w:type="pct"/>
            <w:vAlign w:val="center"/>
          </w:tcPr>
          <w:p w14:paraId="2B433806">
            <w:pPr>
              <w:widowControl/>
              <w:spacing w:line="320" w:lineRule="exact"/>
              <w:ind w:firstLine="0" w:firstLineChars="0"/>
              <w:jc w:val="left"/>
              <w:rPr>
                <w:rFonts w:hint="eastAsia"/>
                <w:kern w:val="0"/>
                <w:sz w:val="24"/>
                <w:szCs w:val="24"/>
              </w:rPr>
            </w:pPr>
            <w:r>
              <w:rPr>
                <w:rFonts w:hint="eastAsia"/>
                <w:kern w:val="0"/>
                <w:sz w:val="24"/>
                <w:szCs w:val="24"/>
              </w:rPr>
              <w:t>市教育局：2022年以来，主城区完成新改扩建中小学、幼儿园16所，增加幼儿园学位1440个。其中，安次区完成安次区第五，第六幼儿园新改扩建工程，增加幼儿园学位450个。</w:t>
            </w:r>
          </w:p>
          <w:p w14:paraId="4CC91519">
            <w:pPr>
              <w:widowControl/>
              <w:spacing w:line="320" w:lineRule="exact"/>
              <w:ind w:firstLine="0" w:firstLineChars="0"/>
              <w:jc w:val="left"/>
              <w:rPr>
                <w:rFonts w:hint="eastAsia"/>
                <w:kern w:val="0"/>
                <w:sz w:val="24"/>
                <w:szCs w:val="24"/>
              </w:rPr>
            </w:pPr>
            <w:r>
              <w:rPr>
                <w:rFonts w:hint="eastAsia"/>
                <w:kern w:val="0"/>
                <w:sz w:val="24"/>
                <w:szCs w:val="24"/>
              </w:rPr>
              <w:t>广阳区完成廊坊市第十九小学（附设幼儿园）。</w:t>
            </w:r>
          </w:p>
          <w:p w14:paraId="593B2E88">
            <w:pPr>
              <w:widowControl/>
              <w:spacing w:line="320" w:lineRule="exact"/>
              <w:ind w:firstLine="0" w:firstLineChars="0"/>
              <w:jc w:val="left"/>
              <w:rPr>
                <w:rFonts w:hint="eastAsia"/>
                <w:kern w:val="0"/>
                <w:sz w:val="24"/>
                <w:szCs w:val="24"/>
              </w:rPr>
            </w:pPr>
            <w:r>
              <w:rPr>
                <w:rFonts w:hint="eastAsia"/>
                <w:kern w:val="0"/>
                <w:sz w:val="24"/>
                <w:szCs w:val="24"/>
              </w:rPr>
              <w:t>开发区完成开发区第一幼儿园及三分园、五分园、七分园幼儿园新改扩建工程，增加幼儿园学位990个。</w:t>
            </w:r>
          </w:p>
        </w:tc>
        <w:tc>
          <w:tcPr>
            <w:tcW w:w="1413" w:type="pct"/>
            <w:vAlign w:val="center"/>
          </w:tcPr>
          <w:p w14:paraId="4E74F810">
            <w:pPr>
              <w:widowControl/>
              <w:spacing w:line="320" w:lineRule="exact"/>
              <w:ind w:firstLine="0" w:firstLineChars="0"/>
              <w:jc w:val="left"/>
              <w:rPr>
                <w:rFonts w:hint="eastAsia"/>
                <w:kern w:val="0"/>
                <w:sz w:val="24"/>
                <w:szCs w:val="24"/>
              </w:rPr>
            </w:pPr>
            <w:r>
              <w:rPr>
                <w:rFonts w:hint="eastAsia"/>
                <w:kern w:val="0"/>
                <w:sz w:val="24"/>
                <w:szCs w:val="24"/>
              </w:rPr>
              <w:t>加快推进主城区学校建设项目施工进度，2024年谋划实施11所中小学、幼儿园建设工程，预计增加幼儿园学位450个。</w:t>
            </w:r>
          </w:p>
          <w:p w14:paraId="785D63C9">
            <w:pPr>
              <w:widowControl/>
              <w:spacing w:line="320" w:lineRule="exact"/>
              <w:ind w:firstLine="0" w:firstLineChars="0"/>
              <w:jc w:val="left"/>
              <w:rPr>
                <w:rFonts w:hint="eastAsia"/>
                <w:kern w:val="0"/>
                <w:sz w:val="24"/>
                <w:szCs w:val="24"/>
              </w:rPr>
            </w:pPr>
            <w:r>
              <w:rPr>
                <w:rFonts w:hint="eastAsia"/>
                <w:kern w:val="0"/>
                <w:sz w:val="24"/>
                <w:szCs w:val="24"/>
              </w:rPr>
              <w:t>具体情况是：安次区谋划实施安次区第四幼儿园分园、第七幼儿园改建项目，预计增加幼儿园学位450个。</w:t>
            </w:r>
          </w:p>
        </w:tc>
      </w:tr>
      <w:tr w14:paraId="5FDA9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8" w:type="pct"/>
            <w:vAlign w:val="center"/>
          </w:tcPr>
          <w:p w14:paraId="31FCAC49">
            <w:pPr>
              <w:widowControl/>
              <w:spacing w:line="320" w:lineRule="exact"/>
              <w:ind w:firstLine="0" w:firstLineChars="0"/>
              <w:jc w:val="center"/>
              <w:rPr>
                <w:rFonts w:hint="eastAsia"/>
                <w:kern w:val="0"/>
                <w:sz w:val="24"/>
                <w:szCs w:val="24"/>
              </w:rPr>
            </w:pPr>
            <w:r>
              <w:rPr>
                <w:rFonts w:hint="eastAsia"/>
                <w:kern w:val="0"/>
                <w:sz w:val="24"/>
                <w:szCs w:val="24"/>
              </w:rPr>
              <w:t>市教育局</w:t>
            </w:r>
          </w:p>
        </w:tc>
        <w:tc>
          <w:tcPr>
            <w:tcW w:w="211" w:type="pct"/>
            <w:vAlign w:val="center"/>
          </w:tcPr>
          <w:p w14:paraId="456A2AB6">
            <w:pPr>
              <w:widowControl/>
              <w:spacing w:line="320" w:lineRule="exact"/>
              <w:ind w:firstLine="0" w:firstLineChars="0"/>
              <w:jc w:val="center"/>
              <w:rPr>
                <w:rFonts w:hint="eastAsia"/>
                <w:kern w:val="0"/>
                <w:sz w:val="24"/>
                <w:szCs w:val="24"/>
              </w:rPr>
            </w:pPr>
            <w:r>
              <w:rPr>
                <w:rFonts w:hint="eastAsia"/>
                <w:kern w:val="0"/>
                <w:sz w:val="24"/>
                <w:szCs w:val="24"/>
              </w:rPr>
              <w:t>3</w:t>
            </w:r>
          </w:p>
        </w:tc>
        <w:tc>
          <w:tcPr>
            <w:tcW w:w="343" w:type="pct"/>
            <w:vAlign w:val="center"/>
          </w:tcPr>
          <w:p w14:paraId="14F558D1">
            <w:pPr>
              <w:widowControl/>
              <w:spacing w:line="320" w:lineRule="exact"/>
              <w:ind w:firstLine="0" w:firstLineChars="0"/>
              <w:jc w:val="center"/>
              <w:rPr>
                <w:rFonts w:hint="eastAsia"/>
                <w:kern w:val="0"/>
                <w:sz w:val="24"/>
                <w:szCs w:val="24"/>
              </w:rPr>
            </w:pPr>
            <w:r>
              <w:rPr>
                <w:rFonts w:hint="eastAsia"/>
                <w:kern w:val="0"/>
                <w:sz w:val="24"/>
                <w:szCs w:val="24"/>
              </w:rPr>
              <w:t>小学学位缺口数（个）★</w:t>
            </w:r>
          </w:p>
        </w:tc>
        <w:tc>
          <w:tcPr>
            <w:tcW w:w="259" w:type="pct"/>
            <w:vAlign w:val="center"/>
          </w:tcPr>
          <w:p w14:paraId="235D1575">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11" w:type="pct"/>
            <w:vAlign w:val="center"/>
          </w:tcPr>
          <w:p w14:paraId="450CE094">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1A1054A7">
            <w:pPr>
              <w:widowControl/>
              <w:spacing w:line="320" w:lineRule="exact"/>
              <w:ind w:firstLine="0" w:firstLineChars="0"/>
              <w:jc w:val="center"/>
              <w:rPr>
                <w:rFonts w:hint="eastAsia"/>
                <w:kern w:val="0"/>
                <w:sz w:val="24"/>
                <w:szCs w:val="24"/>
              </w:rPr>
            </w:pPr>
            <w:r>
              <w:rPr>
                <w:rFonts w:hint="eastAsia"/>
                <w:kern w:val="0"/>
                <w:sz w:val="24"/>
                <w:szCs w:val="24"/>
              </w:rPr>
              <w:t>0</w:t>
            </w:r>
          </w:p>
        </w:tc>
        <w:tc>
          <w:tcPr>
            <w:tcW w:w="1784" w:type="pct"/>
            <w:vAlign w:val="center"/>
          </w:tcPr>
          <w:p w14:paraId="7F8C37B2">
            <w:pPr>
              <w:widowControl/>
              <w:spacing w:line="320" w:lineRule="exact"/>
              <w:ind w:firstLine="0" w:firstLineChars="0"/>
              <w:jc w:val="left"/>
              <w:rPr>
                <w:rFonts w:hint="eastAsia"/>
                <w:kern w:val="0"/>
                <w:sz w:val="24"/>
                <w:szCs w:val="24"/>
              </w:rPr>
            </w:pPr>
            <w:r>
              <w:rPr>
                <w:rFonts w:hint="eastAsia"/>
                <w:kern w:val="0"/>
                <w:sz w:val="24"/>
                <w:szCs w:val="24"/>
              </w:rPr>
              <w:t>市教育局：为扩充教育资源、增加学位供给、改善办学条件，优化主城区中小学覆盖率较低等问题，我局编制了《2022—2025年义务教育扩容提质工程建设规划》，通过新建、改扩建、配建等方式，持续推进学校建设项目实施，进一步增加学位供给。</w:t>
            </w:r>
          </w:p>
          <w:p w14:paraId="4141AE3C">
            <w:pPr>
              <w:widowControl/>
              <w:spacing w:line="320" w:lineRule="exact"/>
              <w:ind w:firstLine="0" w:firstLineChars="0"/>
              <w:jc w:val="left"/>
              <w:rPr>
                <w:rFonts w:hint="eastAsia"/>
                <w:kern w:val="0"/>
                <w:sz w:val="24"/>
                <w:szCs w:val="24"/>
              </w:rPr>
            </w:pPr>
            <w:r>
              <w:rPr>
                <w:rFonts w:hint="eastAsia"/>
                <w:kern w:val="0"/>
                <w:sz w:val="24"/>
                <w:szCs w:val="24"/>
              </w:rPr>
              <w:t>2022年以来，主城区完成新改扩建中小学、幼儿园16所，增加小学学位10790个，具体情况为：</w:t>
            </w:r>
          </w:p>
          <w:p w14:paraId="0FC61655">
            <w:pPr>
              <w:widowControl/>
              <w:spacing w:line="320" w:lineRule="exact"/>
              <w:ind w:firstLine="0" w:firstLineChars="0"/>
              <w:jc w:val="left"/>
              <w:rPr>
                <w:rFonts w:hint="eastAsia"/>
                <w:kern w:val="0"/>
                <w:sz w:val="24"/>
                <w:szCs w:val="24"/>
              </w:rPr>
            </w:pPr>
            <w:r>
              <w:rPr>
                <w:rFonts w:hint="eastAsia"/>
                <w:kern w:val="0"/>
                <w:sz w:val="24"/>
                <w:szCs w:val="24"/>
              </w:rPr>
              <w:t>安次区完成廊坊市第二十九小学、廊坊市第三十小学新改扩建工程，增加小学学位3240个。</w:t>
            </w:r>
          </w:p>
          <w:p w14:paraId="3D5368E3">
            <w:pPr>
              <w:widowControl/>
              <w:spacing w:line="320" w:lineRule="exact"/>
              <w:ind w:firstLine="0" w:firstLineChars="0"/>
              <w:jc w:val="left"/>
              <w:rPr>
                <w:rFonts w:hint="eastAsia"/>
                <w:kern w:val="0"/>
                <w:sz w:val="24"/>
                <w:szCs w:val="24"/>
              </w:rPr>
            </w:pPr>
            <w:r>
              <w:rPr>
                <w:rFonts w:hint="eastAsia"/>
                <w:kern w:val="0"/>
                <w:sz w:val="24"/>
                <w:szCs w:val="24"/>
              </w:rPr>
              <w:t>广阳区完成廊坊市第九小学装配式校舍、第十小学西校区、第十五小学、第十九小学（附设幼儿园）小学新改扩建工程，增加小学学位5390个。</w:t>
            </w:r>
          </w:p>
          <w:p w14:paraId="43EB942C">
            <w:pPr>
              <w:widowControl/>
              <w:spacing w:line="320" w:lineRule="exact"/>
              <w:ind w:firstLine="0" w:firstLineChars="0"/>
              <w:jc w:val="left"/>
              <w:rPr>
                <w:rFonts w:hint="eastAsia"/>
                <w:kern w:val="0"/>
                <w:sz w:val="24"/>
                <w:szCs w:val="24"/>
              </w:rPr>
            </w:pPr>
            <w:r>
              <w:rPr>
                <w:rFonts w:hint="eastAsia"/>
                <w:kern w:val="0"/>
                <w:sz w:val="24"/>
                <w:szCs w:val="24"/>
              </w:rPr>
              <w:t>开发区完成开发区第八小学新改扩建工程，增加小学学位2160个。</w:t>
            </w:r>
          </w:p>
        </w:tc>
        <w:tc>
          <w:tcPr>
            <w:tcW w:w="1413" w:type="pct"/>
            <w:vAlign w:val="center"/>
          </w:tcPr>
          <w:p w14:paraId="3FA02F4E">
            <w:pPr>
              <w:widowControl/>
              <w:spacing w:line="320" w:lineRule="exact"/>
              <w:ind w:firstLine="0" w:firstLineChars="0"/>
              <w:jc w:val="left"/>
              <w:rPr>
                <w:rFonts w:hint="eastAsia"/>
                <w:kern w:val="0"/>
                <w:sz w:val="24"/>
                <w:szCs w:val="24"/>
              </w:rPr>
            </w:pPr>
            <w:r>
              <w:rPr>
                <w:rFonts w:hint="eastAsia"/>
                <w:kern w:val="0"/>
                <w:sz w:val="24"/>
                <w:szCs w:val="24"/>
              </w:rPr>
              <w:t>加快推进主城区学校建设项目施工进度，2024年谋划实施11所中小学、幼儿园建设工程，预计增加小学学位6990。</w:t>
            </w:r>
          </w:p>
          <w:p w14:paraId="7F439C92">
            <w:pPr>
              <w:widowControl/>
              <w:spacing w:line="320" w:lineRule="exact"/>
              <w:ind w:firstLine="0" w:firstLineChars="0"/>
              <w:jc w:val="left"/>
              <w:rPr>
                <w:rFonts w:hint="eastAsia"/>
                <w:kern w:val="0"/>
                <w:sz w:val="24"/>
                <w:szCs w:val="24"/>
              </w:rPr>
            </w:pPr>
            <w:r>
              <w:rPr>
                <w:rFonts w:hint="eastAsia"/>
                <w:kern w:val="0"/>
                <w:sz w:val="24"/>
                <w:szCs w:val="24"/>
              </w:rPr>
              <w:t>具体情况是：市本级实施管道局第一附属小学改扩建项目、廊坊市第一实验小学装配式教室项目2个，预计增加小学学位1590个。安次区谋划实施廊坊市第三十三小学等建设项目，预计增加小学学位1620个。广阳区实施小学建设项目2个，预计增加小学学位3780，分别是廊坊市第三十一小学配建项目、廊坊市第三十二小学新建项目。</w:t>
            </w:r>
          </w:p>
        </w:tc>
      </w:tr>
      <w:tr w14:paraId="66279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5" w:hRule="atLeast"/>
        </w:trPr>
        <w:tc>
          <w:tcPr>
            <w:tcW w:w="288" w:type="pct"/>
            <w:vAlign w:val="center"/>
          </w:tcPr>
          <w:p w14:paraId="6054DF3B">
            <w:pPr>
              <w:widowControl/>
              <w:spacing w:line="320" w:lineRule="exact"/>
              <w:ind w:firstLine="0" w:firstLineChars="0"/>
              <w:jc w:val="center"/>
              <w:rPr>
                <w:rFonts w:hint="eastAsia"/>
                <w:kern w:val="0"/>
                <w:sz w:val="24"/>
                <w:szCs w:val="24"/>
              </w:rPr>
            </w:pPr>
            <w:r>
              <w:rPr>
                <w:rFonts w:hint="eastAsia"/>
                <w:kern w:val="0"/>
                <w:sz w:val="24"/>
                <w:szCs w:val="24"/>
              </w:rPr>
              <w:t>市教育局</w:t>
            </w:r>
          </w:p>
        </w:tc>
        <w:tc>
          <w:tcPr>
            <w:tcW w:w="211" w:type="pct"/>
            <w:vAlign w:val="center"/>
          </w:tcPr>
          <w:p w14:paraId="3304B399">
            <w:pPr>
              <w:widowControl/>
              <w:spacing w:line="320" w:lineRule="exact"/>
              <w:ind w:firstLine="0" w:firstLineChars="0"/>
              <w:jc w:val="center"/>
              <w:rPr>
                <w:rFonts w:hint="eastAsia"/>
                <w:kern w:val="0"/>
                <w:sz w:val="24"/>
                <w:szCs w:val="24"/>
              </w:rPr>
            </w:pPr>
            <w:r>
              <w:rPr>
                <w:rFonts w:hint="eastAsia"/>
                <w:kern w:val="0"/>
                <w:sz w:val="24"/>
                <w:szCs w:val="24"/>
              </w:rPr>
              <w:t>4</w:t>
            </w:r>
          </w:p>
        </w:tc>
        <w:tc>
          <w:tcPr>
            <w:tcW w:w="343" w:type="pct"/>
            <w:vAlign w:val="center"/>
          </w:tcPr>
          <w:p w14:paraId="566AD444">
            <w:pPr>
              <w:widowControl/>
              <w:spacing w:line="320" w:lineRule="exact"/>
              <w:ind w:firstLine="0" w:firstLineChars="0"/>
              <w:jc w:val="center"/>
              <w:rPr>
                <w:rFonts w:hint="eastAsia"/>
                <w:kern w:val="0"/>
                <w:sz w:val="24"/>
                <w:szCs w:val="24"/>
              </w:rPr>
            </w:pPr>
            <w:r>
              <w:rPr>
                <w:rFonts w:hint="eastAsia"/>
                <w:kern w:val="0"/>
                <w:sz w:val="24"/>
                <w:szCs w:val="24"/>
              </w:rPr>
              <w:t>中学服务半径覆盖率（%）★</w:t>
            </w:r>
          </w:p>
        </w:tc>
        <w:tc>
          <w:tcPr>
            <w:tcW w:w="259" w:type="pct"/>
            <w:vAlign w:val="center"/>
          </w:tcPr>
          <w:p w14:paraId="5B5E0CD1">
            <w:pPr>
              <w:widowControl/>
              <w:spacing w:line="320" w:lineRule="exact"/>
              <w:ind w:firstLine="0" w:firstLineChars="0"/>
              <w:jc w:val="center"/>
              <w:rPr>
                <w:rFonts w:hint="eastAsia"/>
                <w:kern w:val="0"/>
                <w:sz w:val="24"/>
                <w:szCs w:val="24"/>
              </w:rPr>
            </w:pPr>
            <w:r>
              <w:rPr>
                <w:rFonts w:hint="eastAsia"/>
                <w:kern w:val="0"/>
                <w:sz w:val="24"/>
                <w:szCs w:val="24"/>
              </w:rPr>
              <w:t>银河北路街道40%，银河南路街道89%</w:t>
            </w:r>
          </w:p>
        </w:tc>
        <w:tc>
          <w:tcPr>
            <w:tcW w:w="311" w:type="pct"/>
            <w:vAlign w:val="center"/>
          </w:tcPr>
          <w:p w14:paraId="421E9F25">
            <w:pPr>
              <w:widowControl/>
              <w:spacing w:line="320" w:lineRule="exact"/>
              <w:ind w:firstLine="0" w:firstLineChars="0"/>
              <w:jc w:val="center"/>
              <w:rPr>
                <w:rFonts w:hint="eastAsia"/>
                <w:kern w:val="0"/>
                <w:sz w:val="24"/>
                <w:szCs w:val="24"/>
              </w:rPr>
            </w:pPr>
            <w:r>
              <w:rPr>
                <w:rFonts w:hint="eastAsia"/>
                <w:kern w:val="0"/>
                <w:sz w:val="24"/>
                <w:szCs w:val="24"/>
              </w:rPr>
              <w:t>结合实际工作要求确定</w:t>
            </w:r>
          </w:p>
        </w:tc>
        <w:tc>
          <w:tcPr>
            <w:tcW w:w="389" w:type="pct"/>
            <w:vAlign w:val="center"/>
          </w:tcPr>
          <w:p w14:paraId="2BCC1387">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4F15E7A7">
            <w:pPr>
              <w:widowControl/>
              <w:spacing w:line="320" w:lineRule="exact"/>
              <w:ind w:firstLine="0" w:firstLineChars="0"/>
              <w:jc w:val="left"/>
              <w:rPr>
                <w:rFonts w:hint="eastAsia"/>
                <w:kern w:val="0"/>
                <w:sz w:val="24"/>
                <w:szCs w:val="24"/>
              </w:rPr>
            </w:pPr>
            <w:r>
              <w:rPr>
                <w:rFonts w:hint="eastAsia"/>
                <w:kern w:val="0"/>
                <w:sz w:val="24"/>
                <w:szCs w:val="24"/>
              </w:rPr>
              <w:t>市教育局：为扩充教育资源、增加学位供给、改善办学条件，优化主城区中小学覆盖率较低等问题，我局编制了《2022—2025年义务教育扩容提质工程建设规划》，通过新建、改扩建、配建等方式，持续推进学校建设项目实施，进一步增加学位供给。</w:t>
            </w:r>
          </w:p>
          <w:p w14:paraId="1664C1B2">
            <w:pPr>
              <w:widowControl/>
              <w:spacing w:line="320" w:lineRule="exact"/>
              <w:ind w:firstLine="0" w:firstLineChars="0"/>
              <w:jc w:val="left"/>
              <w:rPr>
                <w:rFonts w:hint="eastAsia"/>
                <w:kern w:val="0"/>
                <w:sz w:val="24"/>
                <w:szCs w:val="24"/>
              </w:rPr>
            </w:pPr>
            <w:r>
              <w:rPr>
                <w:rFonts w:hint="eastAsia"/>
                <w:kern w:val="0"/>
                <w:sz w:val="24"/>
                <w:szCs w:val="24"/>
              </w:rPr>
              <w:t>2022年以来，主城区完成新改扩建中小学、幼儿园16所，增加初中学位5740个，具体情况为：</w:t>
            </w:r>
          </w:p>
          <w:p w14:paraId="32677CD7">
            <w:pPr>
              <w:widowControl/>
              <w:spacing w:line="320" w:lineRule="exact"/>
              <w:ind w:firstLine="0" w:firstLineChars="0"/>
              <w:jc w:val="left"/>
              <w:rPr>
                <w:rFonts w:hint="eastAsia"/>
                <w:kern w:val="0"/>
                <w:sz w:val="24"/>
                <w:szCs w:val="24"/>
              </w:rPr>
            </w:pPr>
            <w:r>
              <w:rPr>
                <w:rFonts w:hint="eastAsia"/>
                <w:kern w:val="0"/>
                <w:sz w:val="24"/>
                <w:szCs w:val="24"/>
              </w:rPr>
              <w:t>安次区完成廊坊市第二十中学等新改扩建工程，增加初中学位1800个。</w:t>
            </w:r>
          </w:p>
          <w:p w14:paraId="472D2044">
            <w:pPr>
              <w:widowControl/>
              <w:spacing w:line="320" w:lineRule="exact"/>
              <w:ind w:firstLine="0" w:firstLineChars="0"/>
              <w:jc w:val="left"/>
              <w:rPr>
                <w:rFonts w:hint="eastAsia"/>
                <w:kern w:val="0"/>
                <w:sz w:val="24"/>
                <w:szCs w:val="24"/>
              </w:rPr>
            </w:pPr>
            <w:r>
              <w:rPr>
                <w:rFonts w:hint="eastAsia"/>
                <w:kern w:val="0"/>
                <w:sz w:val="24"/>
                <w:szCs w:val="24"/>
              </w:rPr>
              <w:t>广阳区完成廊坊市第二十一中学、新航中学等中小学新改扩建工程，增加初中学位3940个。</w:t>
            </w:r>
          </w:p>
        </w:tc>
        <w:tc>
          <w:tcPr>
            <w:tcW w:w="1413" w:type="pct"/>
            <w:vAlign w:val="center"/>
          </w:tcPr>
          <w:p w14:paraId="293BBA94">
            <w:pPr>
              <w:widowControl/>
              <w:spacing w:line="320" w:lineRule="exact"/>
              <w:ind w:firstLine="0" w:firstLineChars="0"/>
              <w:jc w:val="left"/>
              <w:rPr>
                <w:rFonts w:hint="eastAsia"/>
                <w:kern w:val="0"/>
                <w:sz w:val="24"/>
                <w:szCs w:val="24"/>
              </w:rPr>
            </w:pPr>
            <w:r>
              <w:rPr>
                <w:rFonts w:hint="eastAsia"/>
                <w:kern w:val="0"/>
                <w:sz w:val="24"/>
                <w:szCs w:val="24"/>
              </w:rPr>
              <w:t>加快推进主城区学校建设项目施工进度，2024年谋划实施11所中小学、幼儿园建设工程，预计增加初中学位3000个。</w:t>
            </w:r>
          </w:p>
          <w:p w14:paraId="73718C7D">
            <w:pPr>
              <w:widowControl/>
              <w:spacing w:line="320" w:lineRule="exact"/>
              <w:ind w:firstLine="0" w:firstLineChars="0"/>
              <w:jc w:val="left"/>
              <w:rPr>
                <w:rFonts w:hint="eastAsia"/>
                <w:kern w:val="0"/>
                <w:sz w:val="24"/>
                <w:szCs w:val="24"/>
              </w:rPr>
            </w:pPr>
            <w:r>
              <w:rPr>
                <w:rFonts w:hint="eastAsia"/>
                <w:kern w:val="0"/>
                <w:sz w:val="24"/>
                <w:szCs w:val="24"/>
              </w:rPr>
              <w:t>具体情况是：安次区谋划实施廊坊市第十八中学装配式中小学建设项目。广阳区实施中小学建设项目1个，预计增加初中学位3000），分别是廊坊市第六中学分校区新建项目。</w:t>
            </w:r>
          </w:p>
        </w:tc>
      </w:tr>
      <w:tr w14:paraId="3A3F5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17F033C9">
            <w:pPr>
              <w:widowControl/>
              <w:spacing w:line="320" w:lineRule="exact"/>
              <w:ind w:firstLine="0" w:firstLineChars="0"/>
              <w:jc w:val="center"/>
              <w:rPr>
                <w:rFonts w:hint="eastAsia"/>
                <w:kern w:val="0"/>
                <w:sz w:val="24"/>
                <w:szCs w:val="24"/>
              </w:rPr>
            </w:pPr>
            <w:r>
              <w:rPr>
                <w:rFonts w:hint="eastAsia"/>
                <w:kern w:val="0"/>
                <w:sz w:val="24"/>
                <w:szCs w:val="24"/>
              </w:rPr>
              <w:t>市旧改办</w:t>
            </w:r>
          </w:p>
        </w:tc>
        <w:tc>
          <w:tcPr>
            <w:tcW w:w="211" w:type="pct"/>
            <w:vAlign w:val="center"/>
          </w:tcPr>
          <w:p w14:paraId="74FF6003">
            <w:pPr>
              <w:widowControl/>
              <w:spacing w:line="320" w:lineRule="exact"/>
              <w:ind w:firstLine="0" w:firstLineChars="0"/>
              <w:jc w:val="center"/>
              <w:rPr>
                <w:rFonts w:hint="eastAsia"/>
                <w:kern w:val="0"/>
                <w:sz w:val="24"/>
                <w:szCs w:val="24"/>
              </w:rPr>
            </w:pPr>
            <w:r>
              <w:rPr>
                <w:rFonts w:hint="eastAsia"/>
                <w:kern w:val="0"/>
                <w:sz w:val="24"/>
                <w:szCs w:val="24"/>
              </w:rPr>
              <w:t>5</w:t>
            </w:r>
          </w:p>
        </w:tc>
        <w:tc>
          <w:tcPr>
            <w:tcW w:w="343" w:type="pct"/>
            <w:vAlign w:val="center"/>
          </w:tcPr>
          <w:p w14:paraId="04134390">
            <w:pPr>
              <w:widowControl/>
              <w:spacing w:line="320" w:lineRule="exact"/>
              <w:ind w:firstLine="0" w:firstLineChars="0"/>
              <w:jc w:val="center"/>
              <w:rPr>
                <w:rFonts w:hint="eastAsia"/>
                <w:kern w:val="0"/>
                <w:sz w:val="24"/>
                <w:szCs w:val="24"/>
              </w:rPr>
            </w:pPr>
            <w:r>
              <w:rPr>
                <w:rFonts w:hint="eastAsia"/>
                <w:kern w:val="0"/>
                <w:sz w:val="24"/>
                <w:szCs w:val="24"/>
              </w:rPr>
              <w:t>需要进行适老化改造的住宅数量（栋）★</w:t>
            </w:r>
          </w:p>
          <w:p w14:paraId="72139126">
            <w:pPr>
              <w:widowControl/>
              <w:spacing w:line="320" w:lineRule="exact"/>
              <w:ind w:firstLine="0" w:firstLineChars="0"/>
              <w:jc w:val="center"/>
              <w:rPr>
                <w:rFonts w:hint="eastAsia"/>
                <w:kern w:val="0"/>
                <w:sz w:val="24"/>
                <w:szCs w:val="24"/>
              </w:rPr>
            </w:pPr>
          </w:p>
        </w:tc>
        <w:tc>
          <w:tcPr>
            <w:tcW w:w="259" w:type="pct"/>
            <w:vAlign w:val="center"/>
          </w:tcPr>
          <w:p w14:paraId="73B45497">
            <w:pPr>
              <w:widowControl/>
              <w:spacing w:line="320" w:lineRule="exact"/>
              <w:ind w:firstLine="0" w:firstLineChars="0"/>
              <w:jc w:val="center"/>
              <w:rPr>
                <w:rFonts w:hint="eastAsia"/>
                <w:kern w:val="0"/>
                <w:sz w:val="24"/>
                <w:szCs w:val="24"/>
              </w:rPr>
            </w:pPr>
            <w:r>
              <w:rPr>
                <w:rFonts w:hint="eastAsia"/>
                <w:kern w:val="0"/>
                <w:sz w:val="24"/>
                <w:szCs w:val="24"/>
              </w:rPr>
              <w:t>627栋</w:t>
            </w:r>
          </w:p>
        </w:tc>
        <w:tc>
          <w:tcPr>
            <w:tcW w:w="311" w:type="pct"/>
            <w:vAlign w:val="center"/>
          </w:tcPr>
          <w:p w14:paraId="681E135F">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64DA20B7">
            <w:pPr>
              <w:widowControl/>
              <w:spacing w:line="320" w:lineRule="exact"/>
              <w:ind w:firstLine="0" w:firstLineChars="0"/>
              <w:jc w:val="center"/>
              <w:rPr>
                <w:rFonts w:hint="eastAsia"/>
                <w:kern w:val="0"/>
                <w:sz w:val="24"/>
                <w:szCs w:val="24"/>
              </w:rPr>
            </w:pPr>
            <w:r>
              <w:rPr>
                <w:rFonts w:hint="eastAsia"/>
                <w:kern w:val="0"/>
                <w:sz w:val="24"/>
                <w:szCs w:val="24"/>
              </w:rPr>
              <w:t>627栋</w:t>
            </w:r>
          </w:p>
        </w:tc>
        <w:tc>
          <w:tcPr>
            <w:tcW w:w="1784" w:type="pct"/>
            <w:vAlign w:val="center"/>
          </w:tcPr>
          <w:p w14:paraId="1F25FA54">
            <w:pPr>
              <w:widowControl/>
              <w:spacing w:line="320" w:lineRule="exact"/>
              <w:ind w:firstLine="0" w:firstLineChars="0"/>
              <w:jc w:val="left"/>
              <w:rPr>
                <w:rFonts w:hint="eastAsia"/>
                <w:kern w:val="0"/>
                <w:sz w:val="24"/>
                <w:szCs w:val="24"/>
              </w:rPr>
            </w:pPr>
            <w:r>
              <w:rPr>
                <w:rFonts w:hint="eastAsia"/>
                <w:kern w:val="0"/>
                <w:sz w:val="24"/>
                <w:szCs w:val="24"/>
              </w:rPr>
              <w:t>针对既有住宅楼电梯加装率低问题，市政府办印发《关于加快推进主城区既有住宅加装电梯工作的通知》，要求各区政府要督导各街道（乡镇）充分发挥基层组织作用，积极做好既有住宅加装电梯的沟通、协调和宣传工作，及时调处小区内既有住宅加装电梯过程中出现的矛盾纠纷，为我市既有住宅加装电梯工作奠定群众基础；同步优化加装电梯审批流程，提高审批效率。2023年市主城区完成加装电梯3部（广阳区阿尔卡迪亚小区3部）。</w:t>
            </w:r>
          </w:p>
        </w:tc>
        <w:tc>
          <w:tcPr>
            <w:tcW w:w="1413" w:type="pct"/>
            <w:vAlign w:val="center"/>
          </w:tcPr>
          <w:p w14:paraId="0F0126EF">
            <w:pPr>
              <w:widowControl/>
              <w:spacing w:line="320" w:lineRule="exact"/>
              <w:ind w:firstLine="0" w:firstLineChars="0"/>
              <w:jc w:val="left"/>
              <w:rPr>
                <w:rFonts w:hint="eastAsia"/>
                <w:kern w:val="0"/>
                <w:sz w:val="24"/>
                <w:szCs w:val="24"/>
              </w:rPr>
            </w:pPr>
            <w:r>
              <w:rPr>
                <w:rFonts w:hint="eastAsia"/>
                <w:kern w:val="0"/>
                <w:sz w:val="24"/>
                <w:szCs w:val="24"/>
              </w:rPr>
              <w:t>一是指导各区加强既有住宅加装电梯政策宣传，引导小区居民积极开展加装电梯，街道办事处、居民委员会着力做好加装电梯中邻里纠纷化解工作；二是进一步优化加装电梯政策，研究争取政府财政补贴，提高居民加装电梯积极性。</w:t>
            </w:r>
          </w:p>
        </w:tc>
      </w:tr>
      <w:tr w14:paraId="4EF0B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 w:type="pct"/>
            <w:vMerge w:val="restart"/>
            <w:vAlign w:val="center"/>
          </w:tcPr>
          <w:p w14:paraId="2C087158">
            <w:pPr>
              <w:widowControl/>
              <w:spacing w:line="320" w:lineRule="exact"/>
              <w:ind w:firstLine="0" w:firstLineChars="0"/>
              <w:jc w:val="center"/>
              <w:rPr>
                <w:rFonts w:hint="eastAsia"/>
                <w:kern w:val="0"/>
                <w:sz w:val="24"/>
                <w:szCs w:val="24"/>
              </w:rPr>
            </w:pPr>
            <w:r>
              <w:rPr>
                <w:rFonts w:hint="eastAsia"/>
                <w:kern w:val="0"/>
                <w:sz w:val="24"/>
                <w:szCs w:val="24"/>
              </w:rPr>
              <w:t>开发区管委会、市城市管理综合行政执法局</w:t>
            </w:r>
          </w:p>
        </w:tc>
        <w:tc>
          <w:tcPr>
            <w:tcW w:w="211" w:type="pct"/>
            <w:vMerge w:val="restart"/>
            <w:vAlign w:val="center"/>
          </w:tcPr>
          <w:p w14:paraId="5AF0F52A">
            <w:pPr>
              <w:widowControl/>
              <w:spacing w:line="320" w:lineRule="exact"/>
              <w:ind w:firstLine="0" w:firstLineChars="0"/>
              <w:jc w:val="center"/>
              <w:rPr>
                <w:rFonts w:hint="eastAsia"/>
                <w:kern w:val="0"/>
                <w:sz w:val="24"/>
                <w:szCs w:val="24"/>
              </w:rPr>
            </w:pPr>
            <w:r>
              <w:rPr>
                <w:rFonts w:hint="eastAsia"/>
                <w:kern w:val="0"/>
                <w:sz w:val="24"/>
                <w:szCs w:val="24"/>
              </w:rPr>
              <w:t>6</w:t>
            </w:r>
          </w:p>
        </w:tc>
        <w:tc>
          <w:tcPr>
            <w:tcW w:w="343" w:type="pct"/>
            <w:vMerge w:val="restart"/>
            <w:vAlign w:val="center"/>
          </w:tcPr>
          <w:p w14:paraId="68FA2EF0">
            <w:pPr>
              <w:widowControl/>
              <w:spacing w:line="320" w:lineRule="exact"/>
              <w:ind w:firstLine="0" w:firstLineChars="0"/>
              <w:jc w:val="center"/>
              <w:rPr>
                <w:rFonts w:hint="eastAsia"/>
                <w:kern w:val="0"/>
                <w:sz w:val="24"/>
                <w:szCs w:val="24"/>
              </w:rPr>
            </w:pPr>
            <w:r>
              <w:rPr>
                <w:rFonts w:hint="eastAsia"/>
                <w:kern w:val="0"/>
                <w:sz w:val="24"/>
                <w:szCs w:val="24"/>
              </w:rPr>
              <w:t>停车泊位缺口数（个）★</w:t>
            </w:r>
          </w:p>
        </w:tc>
        <w:tc>
          <w:tcPr>
            <w:tcW w:w="259" w:type="pct"/>
            <w:vMerge w:val="restart"/>
            <w:vAlign w:val="center"/>
          </w:tcPr>
          <w:p w14:paraId="60E78F7E">
            <w:pPr>
              <w:widowControl/>
              <w:spacing w:line="320" w:lineRule="exact"/>
              <w:ind w:firstLine="0" w:firstLineChars="0"/>
              <w:jc w:val="center"/>
              <w:rPr>
                <w:rFonts w:hint="eastAsia"/>
                <w:kern w:val="0"/>
                <w:sz w:val="24"/>
                <w:szCs w:val="24"/>
              </w:rPr>
            </w:pPr>
            <w:r>
              <w:rPr>
                <w:rFonts w:hint="eastAsia"/>
                <w:kern w:val="0"/>
                <w:sz w:val="24"/>
                <w:szCs w:val="24"/>
              </w:rPr>
              <w:t>13508个</w:t>
            </w:r>
          </w:p>
        </w:tc>
        <w:tc>
          <w:tcPr>
            <w:tcW w:w="311" w:type="pct"/>
            <w:vMerge w:val="restart"/>
            <w:vAlign w:val="center"/>
          </w:tcPr>
          <w:p w14:paraId="2E78BA9A">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Merge w:val="restart"/>
            <w:vAlign w:val="center"/>
          </w:tcPr>
          <w:p w14:paraId="689B7A03">
            <w:pPr>
              <w:widowControl/>
              <w:spacing w:line="320" w:lineRule="exact"/>
              <w:ind w:firstLine="0" w:firstLineChars="0"/>
              <w:jc w:val="center"/>
              <w:rPr>
                <w:rFonts w:hint="eastAsia"/>
                <w:kern w:val="0"/>
                <w:sz w:val="24"/>
                <w:szCs w:val="24"/>
              </w:rPr>
            </w:pPr>
            <w:r>
              <w:rPr>
                <w:rFonts w:hint="eastAsia"/>
                <w:kern w:val="0"/>
                <w:sz w:val="24"/>
                <w:szCs w:val="24"/>
              </w:rPr>
              <w:t>13508个</w:t>
            </w:r>
          </w:p>
        </w:tc>
        <w:tc>
          <w:tcPr>
            <w:tcW w:w="1784" w:type="pct"/>
            <w:vAlign w:val="center"/>
          </w:tcPr>
          <w:p w14:paraId="2FA4BDA7">
            <w:pPr>
              <w:widowControl/>
              <w:spacing w:line="320" w:lineRule="exact"/>
              <w:ind w:firstLine="0" w:firstLineChars="0"/>
              <w:jc w:val="left"/>
              <w:rPr>
                <w:rFonts w:hint="eastAsia"/>
                <w:kern w:val="0"/>
                <w:sz w:val="24"/>
                <w:szCs w:val="24"/>
              </w:rPr>
            </w:pPr>
            <w:r>
              <w:rPr>
                <w:rFonts w:hint="eastAsia"/>
                <w:kern w:val="0"/>
                <w:sz w:val="24"/>
                <w:szCs w:val="24"/>
              </w:rPr>
              <w:t>开发区管委会：1.2022—2023年，我区按照《2022年廊坊市停车设施建设工作实施方案》的通知要求，共计新增3个临时停车场，分别是：汇源道临时停车场、官东路临时停车场、友谊路临时停车场；备案开放8个专用停车场，分别是：廊坊开发区鸬鹚佩罗停车场服务部专用停车场、廊坊保航智能停车管理有限公司专用停车场、廊坊开发区宇拓房地产开发有限公司专用停车场、映山红酒店管理有限公司专用停车场、廊坊万达学苑投资有限公司开发区分公司专用停车场、廊坊艾力枫社物业服务有限公司专用停车场、廊坊新绎水云间商业管理有限公司开发区第一分公司专用停车场、廊坊汇佳物业有限公司专用停车场。共计新增或开放停车泊位2874个。</w:t>
            </w:r>
          </w:p>
          <w:p w14:paraId="5E0C6D1C">
            <w:pPr>
              <w:widowControl/>
              <w:spacing w:line="320" w:lineRule="exact"/>
              <w:ind w:firstLine="0" w:firstLineChars="0"/>
              <w:jc w:val="left"/>
              <w:rPr>
                <w:rFonts w:hint="eastAsia"/>
                <w:kern w:val="0"/>
                <w:sz w:val="24"/>
                <w:szCs w:val="24"/>
              </w:rPr>
            </w:pPr>
            <w:r>
              <w:rPr>
                <w:rFonts w:hint="eastAsia"/>
                <w:kern w:val="0"/>
                <w:sz w:val="24"/>
                <w:szCs w:val="24"/>
              </w:rPr>
              <w:t>结合廊坊市人民政府办公室《关于进一步推进停车设施建设的实施方案》要求，清退路内停车泊位980个，分别是：四海路（金源道-花园道）、华祥路（汇源道－金源道）、华祥路（祥云道-北凤道）、北凤道（华祥路－荣府南门）、芙蓉道（创业路－官东路）、官东路、友谊路与广阳道交口南侧、友谊路与广阳道交口东侧、友谊路与北凤道交口东侧、友谊路与祥云道交口南侧的东西侧车位。</w:t>
            </w:r>
          </w:p>
        </w:tc>
        <w:tc>
          <w:tcPr>
            <w:tcW w:w="1413" w:type="pct"/>
            <w:vAlign w:val="center"/>
          </w:tcPr>
          <w:p w14:paraId="1DC2A2EA">
            <w:pPr>
              <w:widowControl/>
              <w:spacing w:line="320" w:lineRule="exact"/>
              <w:ind w:firstLine="0" w:firstLineChars="0"/>
              <w:jc w:val="left"/>
              <w:rPr>
                <w:rFonts w:hint="eastAsia"/>
                <w:kern w:val="0"/>
                <w:sz w:val="24"/>
                <w:szCs w:val="24"/>
              </w:rPr>
            </w:pPr>
            <w:r>
              <w:rPr>
                <w:rFonts w:hint="eastAsia"/>
                <w:kern w:val="0"/>
                <w:sz w:val="24"/>
                <w:szCs w:val="24"/>
              </w:rPr>
              <w:t>针对问题清单中“祥泰社区附近存在停车泊位缺口”，“开发区祥泰社区附近存在新能源汽车充电桩缺口”等问题，2024年有关单位将分别督导前进广场、开新广场将内部停车场备案开放，共计开放停车位875个。结合《廊坊市中心城区公共停车场建设三年行动计划》目标任务，持续推进保航停车小镇公共停车设施建设项目，此项目可增加停车泊位467个，供周边社区使用。同时积极推进“廊坊开发区停车场充电设施及社区充电设施统筹统建项目”，计划在全区建设充电桩端口1106个，目前该项目正在积极推进建设中，建成后可有效解决新能源汽车充电桩不足问题。</w:t>
            </w:r>
          </w:p>
        </w:tc>
      </w:tr>
      <w:tr w14:paraId="3D915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88" w:type="pct"/>
            <w:vMerge w:val="continue"/>
            <w:vAlign w:val="center"/>
          </w:tcPr>
          <w:p w14:paraId="0404BE4B">
            <w:pPr>
              <w:widowControl/>
              <w:spacing w:line="320" w:lineRule="exact"/>
              <w:ind w:firstLine="0" w:firstLineChars="0"/>
              <w:jc w:val="center"/>
              <w:rPr>
                <w:rFonts w:hint="eastAsia"/>
                <w:kern w:val="0"/>
                <w:sz w:val="24"/>
                <w:szCs w:val="24"/>
              </w:rPr>
            </w:pPr>
          </w:p>
        </w:tc>
        <w:tc>
          <w:tcPr>
            <w:tcW w:w="211" w:type="pct"/>
            <w:vMerge w:val="continue"/>
            <w:vAlign w:val="center"/>
          </w:tcPr>
          <w:p w14:paraId="450506FB">
            <w:pPr>
              <w:widowControl/>
              <w:spacing w:line="320" w:lineRule="exact"/>
              <w:ind w:firstLine="0" w:firstLineChars="0"/>
              <w:jc w:val="center"/>
              <w:rPr>
                <w:rFonts w:hint="eastAsia"/>
                <w:kern w:val="0"/>
                <w:sz w:val="24"/>
                <w:szCs w:val="24"/>
              </w:rPr>
            </w:pPr>
          </w:p>
        </w:tc>
        <w:tc>
          <w:tcPr>
            <w:tcW w:w="343" w:type="pct"/>
            <w:vMerge w:val="continue"/>
            <w:vAlign w:val="center"/>
          </w:tcPr>
          <w:p w14:paraId="6CE9ACD0">
            <w:pPr>
              <w:widowControl/>
              <w:spacing w:line="320" w:lineRule="exact"/>
              <w:ind w:firstLine="0" w:firstLineChars="0"/>
              <w:jc w:val="center"/>
              <w:rPr>
                <w:rFonts w:hint="eastAsia"/>
                <w:kern w:val="0"/>
                <w:sz w:val="24"/>
                <w:szCs w:val="24"/>
              </w:rPr>
            </w:pPr>
          </w:p>
        </w:tc>
        <w:tc>
          <w:tcPr>
            <w:tcW w:w="259" w:type="pct"/>
            <w:vMerge w:val="continue"/>
            <w:vAlign w:val="center"/>
          </w:tcPr>
          <w:p w14:paraId="5B979B66">
            <w:pPr>
              <w:widowControl/>
              <w:spacing w:line="320" w:lineRule="exact"/>
              <w:ind w:firstLine="0" w:firstLineChars="0"/>
              <w:jc w:val="center"/>
              <w:rPr>
                <w:rFonts w:hint="eastAsia"/>
                <w:kern w:val="0"/>
                <w:sz w:val="24"/>
                <w:szCs w:val="24"/>
              </w:rPr>
            </w:pPr>
          </w:p>
        </w:tc>
        <w:tc>
          <w:tcPr>
            <w:tcW w:w="311" w:type="pct"/>
            <w:vMerge w:val="continue"/>
            <w:vAlign w:val="center"/>
          </w:tcPr>
          <w:p w14:paraId="6231915D">
            <w:pPr>
              <w:widowControl/>
              <w:spacing w:line="320" w:lineRule="exact"/>
              <w:ind w:firstLine="0" w:firstLineChars="0"/>
              <w:jc w:val="center"/>
              <w:rPr>
                <w:rFonts w:hint="eastAsia"/>
                <w:kern w:val="0"/>
                <w:sz w:val="24"/>
                <w:szCs w:val="24"/>
              </w:rPr>
            </w:pPr>
          </w:p>
        </w:tc>
        <w:tc>
          <w:tcPr>
            <w:tcW w:w="389" w:type="pct"/>
            <w:vMerge w:val="continue"/>
            <w:vAlign w:val="center"/>
          </w:tcPr>
          <w:p w14:paraId="22A2798C">
            <w:pPr>
              <w:widowControl/>
              <w:spacing w:line="320" w:lineRule="exact"/>
              <w:ind w:firstLine="0" w:firstLineChars="0"/>
              <w:jc w:val="center"/>
              <w:rPr>
                <w:rFonts w:hint="eastAsia"/>
                <w:kern w:val="0"/>
                <w:sz w:val="24"/>
                <w:szCs w:val="24"/>
              </w:rPr>
            </w:pPr>
          </w:p>
        </w:tc>
        <w:tc>
          <w:tcPr>
            <w:tcW w:w="1784" w:type="pct"/>
            <w:vAlign w:val="center"/>
          </w:tcPr>
          <w:p w14:paraId="4E1DC4C1">
            <w:pPr>
              <w:widowControl/>
              <w:spacing w:line="320" w:lineRule="exact"/>
              <w:ind w:firstLine="0" w:firstLineChars="0"/>
              <w:jc w:val="left"/>
              <w:rPr>
                <w:rFonts w:hint="eastAsia"/>
                <w:kern w:val="0"/>
                <w:sz w:val="24"/>
                <w:szCs w:val="24"/>
              </w:rPr>
            </w:pPr>
            <w:r>
              <w:rPr>
                <w:rFonts w:hint="eastAsia"/>
                <w:kern w:val="0"/>
                <w:sz w:val="24"/>
                <w:szCs w:val="24"/>
              </w:rPr>
              <w:t>市城市管理综合行政执法局：（一）超额完成年度建设任务，全市新建公共停车设施数量实现“三连增”。坚持“五个优先”原则，从大型商圈、游园、医院、学校周边“停车难”问题突出地段为切入点，新建停车场72处，新增机动车停车泊位1.7万余个，其中立体停车泊位3003个。（二）市区经营性停车场管理实现规范化。瞄准市民群众关注的圈占停车场收费问题重拳出击，清理取缔违规设置停车场25处，释放停车位825个，完成市区40处经营性停车场规范化管理升级。</w:t>
            </w:r>
          </w:p>
          <w:p w14:paraId="6711F23C">
            <w:pPr>
              <w:widowControl/>
              <w:spacing w:line="320" w:lineRule="exact"/>
              <w:ind w:firstLine="0" w:firstLineChars="0"/>
              <w:jc w:val="left"/>
              <w:rPr>
                <w:rFonts w:hint="eastAsia"/>
                <w:kern w:val="0"/>
                <w:sz w:val="24"/>
                <w:szCs w:val="24"/>
              </w:rPr>
            </w:pPr>
            <w:r>
              <w:rPr>
                <w:rFonts w:hint="eastAsia"/>
                <w:kern w:val="0"/>
                <w:sz w:val="24"/>
                <w:szCs w:val="24"/>
              </w:rPr>
              <w:t>（三）利用政府专项债券改造既有公园绿地地下空间，打造全省示范工程，集中解决中心城区“停车难”问题。充分利用城市地下空间，促进土地节约集约利用，申请政府专项债券资金，启动华夏奥韵小区、阿尔卡迪亚小区、瑞丰公园、文明公园4个地下停车设施项目建设，有效破解土地资源短缺难题，提高中心城区土地利用效率。</w:t>
            </w:r>
          </w:p>
          <w:p w14:paraId="3686C4A2">
            <w:pPr>
              <w:widowControl/>
              <w:spacing w:line="320" w:lineRule="exact"/>
              <w:ind w:firstLine="0" w:firstLineChars="0"/>
              <w:jc w:val="left"/>
              <w:rPr>
                <w:rFonts w:hint="eastAsia"/>
                <w:kern w:val="0"/>
                <w:sz w:val="24"/>
                <w:szCs w:val="24"/>
              </w:rPr>
            </w:pPr>
            <w:r>
              <w:rPr>
                <w:rFonts w:hint="eastAsia"/>
                <w:kern w:val="0"/>
                <w:sz w:val="24"/>
                <w:szCs w:val="24"/>
              </w:rPr>
              <w:t>阿尔卡迪亚小区停车场建设项目占地面积18151.91平方米（合27.23亩），总建筑面积约15198平方米，总投资16435.55万元，共规划公共停车泊位322个。项目对阿尔卡迪亚小区南侧带状公园进行改造提升，建设一个地下停车库，配建约3807平米商业，配建商业将以便民市场为主，另该项目先期配置116个充电车位，并为所有车位配置充电桩做好预留，以解决远期阿尔卡迪亚小区及其周边的充电需求。</w:t>
            </w:r>
          </w:p>
          <w:p w14:paraId="6B3256B6">
            <w:pPr>
              <w:widowControl/>
              <w:spacing w:line="320" w:lineRule="exact"/>
              <w:ind w:firstLine="0" w:firstLineChars="0"/>
              <w:jc w:val="left"/>
              <w:rPr>
                <w:rFonts w:hint="eastAsia"/>
                <w:kern w:val="0"/>
                <w:sz w:val="24"/>
                <w:szCs w:val="24"/>
              </w:rPr>
            </w:pPr>
            <w:r>
              <w:rPr>
                <w:rFonts w:hint="eastAsia"/>
                <w:kern w:val="0"/>
                <w:sz w:val="24"/>
                <w:szCs w:val="24"/>
              </w:rPr>
              <w:t>华夏奥韵小区停车场建设项目占地面积22071.18平方米（合33.11亩），总建筑面积约18287平方米，总投资20015.28万元，共规划公共停车泊位406个。项目对华夏奥韵小区西侧带状公园进行改造提升，建设一个地下停车库，配建约3498平米商业，配建商业将以便民市场为主，另该项目先期配置130个充电车位，并为所有车位配置充电桩做好预留，以解决远期奥韵小区及其周边居民的充电需求。</w:t>
            </w:r>
          </w:p>
          <w:p w14:paraId="0535787C">
            <w:pPr>
              <w:widowControl/>
              <w:spacing w:line="320" w:lineRule="exact"/>
              <w:ind w:firstLine="0" w:firstLineChars="0"/>
              <w:jc w:val="left"/>
              <w:rPr>
                <w:rFonts w:hint="eastAsia"/>
                <w:kern w:val="0"/>
                <w:sz w:val="24"/>
                <w:szCs w:val="24"/>
              </w:rPr>
            </w:pPr>
            <w:r>
              <w:rPr>
                <w:rFonts w:hint="eastAsia"/>
                <w:kern w:val="0"/>
                <w:sz w:val="24"/>
                <w:szCs w:val="24"/>
              </w:rPr>
              <w:t>文明公园停车场建设项目占地面积871.55平方米（合10.31亩），总建筑面积约5786平方米，总投资6055.24万元，共规划公共停车泊位130个。项目对文明公园进行改造提升，建设一个地下停车库，配建约1150平米商业，该项目配建商业可与停车功能进行转换，将确保优先解决周边停车问题，另该项目先期配置37个充电车位，并为所有车位配置充电桩做好预留，以解决远期文明公园周边的充电需求。</w:t>
            </w:r>
          </w:p>
          <w:p w14:paraId="6F5BE3F7">
            <w:pPr>
              <w:widowControl/>
              <w:spacing w:line="320" w:lineRule="exact"/>
              <w:ind w:firstLine="0" w:firstLineChars="0"/>
              <w:jc w:val="left"/>
              <w:rPr>
                <w:rFonts w:hint="eastAsia"/>
                <w:kern w:val="0"/>
                <w:sz w:val="24"/>
                <w:szCs w:val="24"/>
              </w:rPr>
            </w:pPr>
            <w:r>
              <w:rPr>
                <w:rFonts w:hint="eastAsia"/>
                <w:kern w:val="0"/>
                <w:sz w:val="24"/>
                <w:szCs w:val="24"/>
              </w:rPr>
              <w:t>瑞丰公园停车场建设项目占地面积13831.38平方米（合20.75亩），总建筑面积约12229平方米，总投资13012.50万元，共规划公共停车泊位292个。项目对瑞丰公园的东门地下空间进行改造，建设一个地下停车库，配建约1863平米商业，地面按原有景观进行恢复。另该项目先期配置97个充电车位，并为所有车位配置充电桩做好预留，以解决远期瑞丰公园周边的充电需求。4个停车场建设项目于2022年7月完成项目立项，并申报了2022年第三批地方政府专项债券资金，于2022年10月获得批准。受2022年底疫情的影响，项目在2022年11月至2023年1月期间进展缓慢，项目方案于2022年12月底通过规委会审核，并随即展开项目初步设计工作、概算审核及招标等相关工作，于2023年8月初，完成4个项目EPC总承包招标工作。目前，4个项目EPC总承包单位已经进场，进入现场施工阶段。管线迁改、绿植迁移已进入尾声，场地平整即将完成。</w:t>
            </w:r>
          </w:p>
        </w:tc>
        <w:tc>
          <w:tcPr>
            <w:tcW w:w="1413" w:type="pct"/>
            <w:vAlign w:val="center"/>
          </w:tcPr>
          <w:p w14:paraId="33458067">
            <w:pPr>
              <w:widowControl/>
              <w:spacing w:line="320" w:lineRule="exact"/>
              <w:ind w:firstLine="0" w:firstLineChars="0"/>
              <w:jc w:val="left"/>
              <w:rPr>
                <w:rFonts w:hint="eastAsia"/>
                <w:kern w:val="0"/>
                <w:sz w:val="24"/>
                <w:szCs w:val="24"/>
              </w:rPr>
            </w:pPr>
            <w:r>
              <w:rPr>
                <w:rFonts w:hint="eastAsia"/>
                <w:kern w:val="0"/>
                <w:sz w:val="24"/>
                <w:szCs w:val="24"/>
              </w:rPr>
              <w:t>2024年，我局将采取更加精准和机动灵活的举措，有序推进停车场建设项目建设，确保任务高质量完成，使“城市机动车停车位供给总量与机动车保有量的比例”指标达标，为建设宜居、绿色、韧性、智慧的人文城市积极贡献城管力量。</w:t>
            </w:r>
          </w:p>
          <w:p w14:paraId="0C5BCB0F">
            <w:pPr>
              <w:widowControl/>
              <w:spacing w:line="320" w:lineRule="exact"/>
              <w:ind w:firstLine="0" w:firstLineChars="0"/>
              <w:jc w:val="left"/>
              <w:rPr>
                <w:rFonts w:hint="eastAsia"/>
                <w:kern w:val="0"/>
                <w:sz w:val="24"/>
                <w:szCs w:val="24"/>
              </w:rPr>
            </w:pPr>
            <w:r>
              <w:rPr>
                <w:rFonts w:hint="eastAsia"/>
                <w:kern w:val="0"/>
                <w:sz w:val="24"/>
                <w:szCs w:val="24"/>
              </w:rPr>
              <w:t>继续推进停车场项目建设。2024年，华夏奥韵小区、阿尔卡迪亚小区、瑞丰公园、文明公园4个停车设施项目，将按照施工计划进行桩基施工及开槽施工。项目建成后，将集中解决大型社区、公园周边“停车难”问题。</w:t>
            </w:r>
          </w:p>
          <w:p w14:paraId="3889B78C">
            <w:pPr>
              <w:widowControl/>
              <w:spacing w:line="320" w:lineRule="exact"/>
              <w:ind w:firstLine="0" w:firstLineChars="0"/>
              <w:jc w:val="left"/>
              <w:rPr>
                <w:rFonts w:hint="eastAsia"/>
                <w:kern w:val="0"/>
                <w:sz w:val="24"/>
                <w:szCs w:val="24"/>
              </w:rPr>
            </w:pPr>
            <w:r>
              <w:rPr>
                <w:rFonts w:hint="eastAsia"/>
                <w:kern w:val="0"/>
                <w:sz w:val="24"/>
                <w:szCs w:val="24"/>
              </w:rPr>
              <w:t>（二）开放共享停车场。2024年，将对市区内住宅集中区域进行再次走访调研，依据走访实际情况编制共享停车场实施方案，并依据方案开始推进与目标共享停车场经营方座谈工作，商讨共享停车场落地实施细则，后续依据实施方案常态化推进共享停车场工作。共享停车场常态化推进后，将有效提高停车场使用效率，缓解城市停车压力。</w:t>
            </w:r>
          </w:p>
          <w:p w14:paraId="16533913">
            <w:pPr>
              <w:widowControl/>
              <w:spacing w:line="320" w:lineRule="exact"/>
              <w:ind w:firstLine="0" w:firstLineChars="0"/>
              <w:jc w:val="left"/>
              <w:rPr>
                <w:rFonts w:hint="eastAsia"/>
                <w:kern w:val="0"/>
                <w:sz w:val="24"/>
                <w:szCs w:val="24"/>
              </w:rPr>
            </w:pPr>
            <w:r>
              <w:rPr>
                <w:rFonts w:hint="eastAsia"/>
                <w:kern w:val="0"/>
                <w:sz w:val="24"/>
                <w:szCs w:val="24"/>
              </w:rPr>
              <w:t>（三）加快建设智慧停车平台建设。2024年，首先完成方案编制、市级审核，确定实施方案、国有资产整合运营主体及项目出资单位，之后成立资产运营主体公司，完成国有路内外公共停车泊位（场）资源的整合工作，后续在完成国有公共停车泊位（场）的智慧化改造、智慧停车平台的接入工作后，项目投入试运营，将市区停车场和道路停车泊位全部接入平台统一管理，依托智慧停车平台实现智能化、社会化监督管理，有效提高停车场使用效率，改善停车秩序，积极助推“城市机动车停车位供给总量与机动车保有量的比例”指标达标，推进我市高质量发展。</w:t>
            </w:r>
          </w:p>
          <w:p w14:paraId="11C13EC2">
            <w:pPr>
              <w:widowControl/>
              <w:spacing w:line="320" w:lineRule="exact"/>
              <w:ind w:firstLine="0" w:firstLineChars="0"/>
              <w:jc w:val="left"/>
              <w:rPr>
                <w:rFonts w:hint="eastAsia"/>
                <w:kern w:val="0"/>
                <w:sz w:val="24"/>
                <w:szCs w:val="24"/>
              </w:rPr>
            </w:pPr>
          </w:p>
        </w:tc>
      </w:tr>
      <w:tr w14:paraId="6A844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 w:type="pct"/>
            <w:vMerge w:val="restart"/>
            <w:vAlign w:val="center"/>
          </w:tcPr>
          <w:p w14:paraId="0C9404DD">
            <w:pPr>
              <w:widowControl/>
              <w:spacing w:line="320" w:lineRule="exact"/>
              <w:ind w:firstLine="0" w:firstLineChars="0"/>
              <w:jc w:val="center"/>
              <w:rPr>
                <w:rFonts w:hint="eastAsia"/>
                <w:kern w:val="0"/>
                <w:sz w:val="24"/>
                <w:szCs w:val="24"/>
              </w:rPr>
            </w:pPr>
            <w:r>
              <w:rPr>
                <w:rFonts w:hint="eastAsia"/>
                <w:kern w:val="0"/>
                <w:sz w:val="24"/>
                <w:szCs w:val="24"/>
              </w:rPr>
              <w:t>开发区管委会、清泉供水公司、市燃气热力服务中心</w:t>
            </w:r>
          </w:p>
        </w:tc>
        <w:tc>
          <w:tcPr>
            <w:tcW w:w="211" w:type="pct"/>
            <w:vMerge w:val="restart"/>
            <w:vAlign w:val="center"/>
          </w:tcPr>
          <w:p w14:paraId="258B5366">
            <w:pPr>
              <w:widowControl/>
              <w:spacing w:line="320" w:lineRule="exact"/>
              <w:ind w:firstLine="0" w:firstLineChars="0"/>
              <w:jc w:val="center"/>
              <w:rPr>
                <w:rFonts w:hint="eastAsia"/>
                <w:kern w:val="0"/>
                <w:sz w:val="24"/>
                <w:szCs w:val="24"/>
              </w:rPr>
            </w:pPr>
            <w:r>
              <w:rPr>
                <w:rFonts w:hint="eastAsia"/>
                <w:kern w:val="0"/>
                <w:sz w:val="24"/>
                <w:szCs w:val="24"/>
              </w:rPr>
              <w:t>7</w:t>
            </w:r>
          </w:p>
        </w:tc>
        <w:tc>
          <w:tcPr>
            <w:tcW w:w="343" w:type="pct"/>
            <w:vMerge w:val="restart"/>
            <w:vAlign w:val="center"/>
          </w:tcPr>
          <w:p w14:paraId="6D0B43F9">
            <w:pPr>
              <w:widowControl/>
              <w:spacing w:line="320" w:lineRule="exact"/>
              <w:ind w:firstLine="0" w:firstLineChars="0"/>
              <w:jc w:val="center"/>
              <w:rPr>
                <w:rFonts w:hint="eastAsia"/>
                <w:kern w:val="0"/>
                <w:sz w:val="24"/>
                <w:szCs w:val="24"/>
              </w:rPr>
            </w:pPr>
            <w:r>
              <w:rPr>
                <w:rFonts w:hint="eastAsia"/>
                <w:kern w:val="0"/>
                <w:sz w:val="24"/>
                <w:szCs w:val="24"/>
              </w:rPr>
              <w:t>存在管线管道破损的住宅数量（栋）★</w:t>
            </w:r>
          </w:p>
        </w:tc>
        <w:tc>
          <w:tcPr>
            <w:tcW w:w="259" w:type="pct"/>
            <w:vMerge w:val="restart"/>
            <w:vAlign w:val="center"/>
          </w:tcPr>
          <w:p w14:paraId="643B9214">
            <w:pPr>
              <w:widowControl/>
              <w:spacing w:line="320" w:lineRule="exact"/>
              <w:ind w:firstLine="0" w:firstLineChars="0"/>
              <w:jc w:val="center"/>
              <w:rPr>
                <w:rFonts w:hint="eastAsia"/>
                <w:kern w:val="0"/>
                <w:sz w:val="24"/>
                <w:szCs w:val="24"/>
              </w:rPr>
            </w:pPr>
            <w:r>
              <w:rPr>
                <w:rFonts w:hint="eastAsia"/>
                <w:kern w:val="0"/>
                <w:sz w:val="24"/>
                <w:szCs w:val="24"/>
              </w:rPr>
              <w:t>582栋</w:t>
            </w:r>
          </w:p>
        </w:tc>
        <w:tc>
          <w:tcPr>
            <w:tcW w:w="311" w:type="pct"/>
            <w:vMerge w:val="restart"/>
            <w:vAlign w:val="center"/>
          </w:tcPr>
          <w:p w14:paraId="5C5FF563">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Merge w:val="restart"/>
            <w:vAlign w:val="center"/>
          </w:tcPr>
          <w:p w14:paraId="6855B4EC">
            <w:pPr>
              <w:widowControl/>
              <w:spacing w:line="320" w:lineRule="exact"/>
              <w:ind w:firstLine="0" w:firstLineChars="0"/>
              <w:jc w:val="center"/>
              <w:rPr>
                <w:rFonts w:hint="eastAsia"/>
                <w:kern w:val="0"/>
                <w:sz w:val="24"/>
                <w:szCs w:val="24"/>
              </w:rPr>
            </w:pPr>
            <w:r>
              <w:rPr>
                <w:rFonts w:hint="eastAsia"/>
                <w:kern w:val="0"/>
                <w:sz w:val="24"/>
                <w:szCs w:val="24"/>
              </w:rPr>
              <w:t>582栋</w:t>
            </w:r>
          </w:p>
        </w:tc>
        <w:tc>
          <w:tcPr>
            <w:tcW w:w="1784" w:type="pct"/>
            <w:vAlign w:val="center"/>
          </w:tcPr>
          <w:p w14:paraId="3B0AB965">
            <w:pPr>
              <w:widowControl/>
              <w:spacing w:line="320" w:lineRule="exact"/>
              <w:ind w:firstLine="0" w:firstLineChars="0"/>
              <w:jc w:val="left"/>
              <w:rPr>
                <w:rFonts w:hint="eastAsia"/>
                <w:kern w:val="0"/>
                <w:sz w:val="24"/>
                <w:szCs w:val="24"/>
              </w:rPr>
            </w:pPr>
            <w:r>
              <w:rPr>
                <w:rFonts w:hint="eastAsia"/>
                <w:kern w:val="0"/>
                <w:sz w:val="24"/>
                <w:szCs w:val="24"/>
              </w:rPr>
              <w:t>开发区管委会：1、2023年度对开发区范围内的居民小区进行现场勘查摸底，对漏损隐患的老旧居民小区进行统计，主要涉及帼华邮、蓝多廊等小区的给水管道铺设、水表更新。编制“开发区居民小区计量及管网改造项目”列入廊坊开发区2023年度基建计划。2023年度已完成项目招标工作。</w:t>
            </w:r>
          </w:p>
          <w:p w14:paraId="2577349B">
            <w:pPr>
              <w:widowControl/>
              <w:spacing w:line="320" w:lineRule="exact"/>
              <w:ind w:firstLine="0" w:firstLineChars="0"/>
              <w:jc w:val="left"/>
              <w:rPr>
                <w:rFonts w:hint="eastAsia"/>
                <w:kern w:val="0"/>
                <w:sz w:val="24"/>
                <w:szCs w:val="24"/>
              </w:rPr>
            </w:pPr>
            <w:r>
              <w:rPr>
                <w:rFonts w:hint="eastAsia"/>
                <w:kern w:val="0"/>
                <w:sz w:val="24"/>
                <w:szCs w:val="24"/>
              </w:rPr>
              <w:t>2、2023年廊坊市城市自体检问题清单中开发区憩园社区44个采暖季温度不达标问题，主要集中在塞纳荣府和塞纳河谷小区。由于这两个小区建成时，供热设施存在质量问题，供热管网已经锈蚀、损坏严重。今冬供暖前期，小区内供热管道多次多地发生泄漏，导致用户室温不达标。经过对小区供热管道多日连续抢修后，小区供热已经稳定。目前这两个小区的室温不达标投诉几乎为零。</w:t>
            </w:r>
          </w:p>
        </w:tc>
        <w:tc>
          <w:tcPr>
            <w:tcW w:w="1413" w:type="pct"/>
            <w:vAlign w:val="center"/>
          </w:tcPr>
          <w:p w14:paraId="6929DAC6">
            <w:pPr>
              <w:widowControl/>
              <w:spacing w:line="320" w:lineRule="exact"/>
              <w:ind w:firstLine="0" w:firstLineChars="0"/>
              <w:jc w:val="left"/>
              <w:rPr>
                <w:rFonts w:hint="eastAsia"/>
                <w:kern w:val="0"/>
                <w:sz w:val="24"/>
                <w:szCs w:val="24"/>
              </w:rPr>
            </w:pPr>
            <w:r>
              <w:rPr>
                <w:rFonts w:hint="eastAsia"/>
                <w:kern w:val="0"/>
                <w:sz w:val="24"/>
                <w:szCs w:val="24"/>
              </w:rPr>
              <w:t>1、针对有水管损漏问题的小区，2024年开始实施“开发区居民小区计量及管网改造项目”。计划完成包括帼华邮、蓝多廊、塞纳河谷、憩园新区、香榭丽舍五个小区的给水管道铺设（总长约7500米），水表更新（总数约2400块），更换相应阀门及阀门井，拆除便道及绿化并恢复原貌。进一步减少跑冒滴漏，解决漏损隐患，防止出现大面积停水和突发性停水。</w:t>
            </w:r>
          </w:p>
          <w:p w14:paraId="05BACE2D">
            <w:pPr>
              <w:widowControl/>
              <w:spacing w:line="320" w:lineRule="exact"/>
              <w:ind w:firstLine="0" w:firstLineChars="0"/>
              <w:jc w:val="left"/>
              <w:rPr>
                <w:rFonts w:hint="eastAsia"/>
                <w:kern w:val="0"/>
                <w:sz w:val="24"/>
                <w:szCs w:val="24"/>
              </w:rPr>
            </w:pPr>
            <w:r>
              <w:rPr>
                <w:rFonts w:hint="eastAsia"/>
                <w:kern w:val="0"/>
                <w:sz w:val="24"/>
                <w:szCs w:val="24"/>
              </w:rPr>
              <w:t>2、针对“供暖管道漏水、压力不足等原因导致采暖季温度不达标问题”，开发区热力中心将对小区前期室温不达标的用户及往年存在供热问题的用户建立台账，制定上门服务计划，安排专人上门问暖，解决问题。增加设备巡检的频次，通过全环节检查，找出薄弱点、排除各种隐患，杜绝事故发生。同时加强供热服务保障，畅通沟通渠道。将服务热线从原来的7部增加至10部，安排专人24小时接听，方便群众第一时间反映问题。</w:t>
            </w:r>
          </w:p>
        </w:tc>
      </w:tr>
      <w:tr w14:paraId="0B294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 w:type="pct"/>
            <w:vMerge w:val="continue"/>
            <w:vAlign w:val="center"/>
          </w:tcPr>
          <w:p w14:paraId="7053F4DB">
            <w:pPr>
              <w:widowControl/>
              <w:spacing w:line="320" w:lineRule="exact"/>
              <w:ind w:firstLine="0" w:firstLineChars="0"/>
              <w:jc w:val="center"/>
              <w:rPr>
                <w:rFonts w:hint="eastAsia"/>
                <w:kern w:val="0"/>
                <w:sz w:val="24"/>
                <w:szCs w:val="24"/>
              </w:rPr>
            </w:pPr>
          </w:p>
        </w:tc>
        <w:tc>
          <w:tcPr>
            <w:tcW w:w="211" w:type="pct"/>
            <w:vMerge w:val="continue"/>
            <w:vAlign w:val="center"/>
          </w:tcPr>
          <w:p w14:paraId="5FE56713">
            <w:pPr>
              <w:widowControl/>
              <w:spacing w:line="320" w:lineRule="exact"/>
              <w:ind w:firstLine="0" w:firstLineChars="0"/>
              <w:jc w:val="center"/>
              <w:rPr>
                <w:rFonts w:hint="eastAsia"/>
                <w:kern w:val="0"/>
                <w:sz w:val="24"/>
                <w:szCs w:val="24"/>
              </w:rPr>
            </w:pPr>
          </w:p>
        </w:tc>
        <w:tc>
          <w:tcPr>
            <w:tcW w:w="343" w:type="pct"/>
            <w:vMerge w:val="continue"/>
            <w:vAlign w:val="center"/>
          </w:tcPr>
          <w:p w14:paraId="7EB024EE">
            <w:pPr>
              <w:widowControl/>
              <w:spacing w:line="320" w:lineRule="exact"/>
              <w:ind w:firstLine="0" w:firstLineChars="0"/>
              <w:jc w:val="center"/>
              <w:rPr>
                <w:rFonts w:hint="eastAsia"/>
                <w:kern w:val="0"/>
                <w:sz w:val="24"/>
                <w:szCs w:val="24"/>
              </w:rPr>
            </w:pPr>
          </w:p>
        </w:tc>
        <w:tc>
          <w:tcPr>
            <w:tcW w:w="259" w:type="pct"/>
            <w:vMerge w:val="continue"/>
            <w:vAlign w:val="center"/>
          </w:tcPr>
          <w:p w14:paraId="4685C748">
            <w:pPr>
              <w:widowControl/>
              <w:spacing w:line="320" w:lineRule="exact"/>
              <w:ind w:firstLine="0" w:firstLineChars="0"/>
              <w:jc w:val="center"/>
              <w:rPr>
                <w:rFonts w:hint="eastAsia"/>
                <w:kern w:val="0"/>
                <w:sz w:val="24"/>
                <w:szCs w:val="24"/>
              </w:rPr>
            </w:pPr>
          </w:p>
        </w:tc>
        <w:tc>
          <w:tcPr>
            <w:tcW w:w="311" w:type="pct"/>
            <w:vMerge w:val="continue"/>
            <w:vAlign w:val="center"/>
          </w:tcPr>
          <w:p w14:paraId="153AE2B6">
            <w:pPr>
              <w:widowControl/>
              <w:spacing w:line="320" w:lineRule="exact"/>
              <w:ind w:firstLine="0" w:firstLineChars="0"/>
              <w:jc w:val="center"/>
              <w:rPr>
                <w:rFonts w:hint="eastAsia"/>
                <w:kern w:val="0"/>
                <w:sz w:val="24"/>
                <w:szCs w:val="24"/>
              </w:rPr>
            </w:pPr>
          </w:p>
        </w:tc>
        <w:tc>
          <w:tcPr>
            <w:tcW w:w="389" w:type="pct"/>
            <w:vMerge w:val="continue"/>
            <w:vAlign w:val="center"/>
          </w:tcPr>
          <w:p w14:paraId="0F181385">
            <w:pPr>
              <w:widowControl/>
              <w:spacing w:line="320" w:lineRule="exact"/>
              <w:ind w:firstLine="0" w:firstLineChars="0"/>
              <w:jc w:val="center"/>
              <w:rPr>
                <w:rFonts w:hint="eastAsia"/>
                <w:kern w:val="0"/>
                <w:sz w:val="24"/>
                <w:szCs w:val="24"/>
              </w:rPr>
            </w:pPr>
          </w:p>
        </w:tc>
        <w:tc>
          <w:tcPr>
            <w:tcW w:w="1784" w:type="pct"/>
            <w:vAlign w:val="center"/>
          </w:tcPr>
          <w:p w14:paraId="29B1A006">
            <w:pPr>
              <w:widowControl/>
              <w:spacing w:line="320" w:lineRule="exact"/>
              <w:ind w:firstLine="0" w:firstLineChars="0"/>
              <w:jc w:val="left"/>
              <w:rPr>
                <w:rFonts w:hint="eastAsia"/>
                <w:kern w:val="0"/>
                <w:sz w:val="24"/>
                <w:szCs w:val="24"/>
              </w:rPr>
            </w:pPr>
            <w:bookmarkStart w:id="64" w:name="_Toc23937"/>
            <w:r>
              <w:rPr>
                <w:rFonts w:hint="eastAsia"/>
                <w:kern w:val="0"/>
                <w:sz w:val="24"/>
                <w:szCs w:val="24"/>
              </w:rPr>
              <w:t>清泉供水公司：1.推行网格化管理，提高对外服务质量</w:t>
            </w:r>
            <w:bookmarkEnd w:id="64"/>
            <w:r>
              <w:rPr>
                <w:rFonts w:hint="eastAsia"/>
                <w:kern w:val="0"/>
                <w:sz w:val="24"/>
                <w:szCs w:val="24"/>
              </w:rPr>
              <w:t>。</w:t>
            </w:r>
          </w:p>
          <w:p w14:paraId="1E54BD54">
            <w:pPr>
              <w:widowControl/>
              <w:spacing w:line="320" w:lineRule="exact"/>
              <w:ind w:firstLine="0" w:firstLineChars="0"/>
              <w:jc w:val="left"/>
              <w:rPr>
                <w:rFonts w:hint="eastAsia"/>
                <w:kern w:val="0"/>
                <w:sz w:val="24"/>
                <w:szCs w:val="24"/>
              </w:rPr>
            </w:pPr>
            <w:r>
              <w:rPr>
                <w:rFonts w:hint="eastAsia"/>
                <w:kern w:val="0"/>
                <w:sz w:val="24"/>
                <w:szCs w:val="24"/>
              </w:rPr>
              <w:t>推行区块化管理，进一步化小核算单位，建设四级区域，截至目前，安装电磁流量计293块，已建设完成四级区域170余个。</w:t>
            </w:r>
          </w:p>
          <w:p w14:paraId="33F00D5E">
            <w:pPr>
              <w:widowControl/>
              <w:spacing w:line="320" w:lineRule="exact"/>
              <w:ind w:firstLine="0" w:firstLineChars="0"/>
              <w:jc w:val="left"/>
              <w:rPr>
                <w:rFonts w:hint="eastAsia"/>
                <w:kern w:val="0"/>
                <w:sz w:val="24"/>
                <w:szCs w:val="24"/>
              </w:rPr>
            </w:pPr>
            <w:r>
              <w:rPr>
                <w:rFonts w:hint="eastAsia"/>
                <w:kern w:val="0"/>
                <w:sz w:val="24"/>
                <w:szCs w:val="24"/>
              </w:rPr>
              <w:t>2.完善GIS系统数据，为实现区块化管理奠定基础。管网信息系统技术人员掌握GIS切图技术，将重要技术掌握在自己手上，为管网数据准确性提供有力支持。供水管网总长度：913.26公里（其中DN75以上827.91公里），消防栓总数2501个，阀门总数9675个。2023年新增146.45km，其中市政管网27.96公里（含临空14公里），庭院管网118.49公里。为尽快实现区块化管理奠定坚实基础。</w:t>
            </w:r>
          </w:p>
          <w:p w14:paraId="1B3D9E6D">
            <w:pPr>
              <w:widowControl/>
              <w:spacing w:line="320" w:lineRule="exact"/>
              <w:ind w:firstLine="0" w:firstLineChars="0"/>
              <w:jc w:val="left"/>
              <w:rPr>
                <w:rFonts w:hint="eastAsia"/>
                <w:kern w:val="0"/>
                <w:sz w:val="24"/>
                <w:szCs w:val="24"/>
              </w:rPr>
            </w:pPr>
            <w:r>
              <w:rPr>
                <w:rFonts w:hint="eastAsia"/>
                <w:kern w:val="0"/>
                <w:sz w:val="24"/>
                <w:szCs w:val="24"/>
              </w:rPr>
              <w:t>3.加强重要管网监测。重要管网（DN75以上）的贸易结算水表约12.6万块，其中，远程抄表11.92万块，人工抄表0.68万块。目前重要管网可进行实时压力监测的压力点11个。</w:t>
            </w:r>
          </w:p>
          <w:p w14:paraId="25F375D2">
            <w:pPr>
              <w:widowControl/>
              <w:spacing w:line="320" w:lineRule="exact"/>
              <w:ind w:firstLine="0" w:firstLineChars="0"/>
              <w:jc w:val="left"/>
              <w:rPr>
                <w:rFonts w:hint="eastAsia"/>
                <w:kern w:val="0"/>
                <w:sz w:val="24"/>
                <w:szCs w:val="24"/>
              </w:rPr>
            </w:pPr>
            <w:r>
              <w:rPr>
                <w:rFonts w:hint="eastAsia"/>
                <w:kern w:val="0"/>
                <w:sz w:val="24"/>
                <w:szCs w:val="24"/>
              </w:rPr>
              <w:t>4.实施考核表与计量表的在线检测。为保证表具计量的准确性，夯实分区计量硬件设备基础，营业公司分批次对各服务所考核表与计量表进行在线检测。目前已完成77块水表的周期检测工作，助力水表规范性使用。</w:t>
            </w:r>
          </w:p>
          <w:p w14:paraId="07FBB1F0">
            <w:pPr>
              <w:widowControl/>
              <w:spacing w:line="320" w:lineRule="exact"/>
              <w:ind w:firstLine="0" w:firstLineChars="0"/>
              <w:jc w:val="left"/>
              <w:rPr>
                <w:rFonts w:hint="eastAsia"/>
                <w:kern w:val="0"/>
                <w:sz w:val="24"/>
                <w:szCs w:val="24"/>
              </w:rPr>
            </w:pPr>
            <w:r>
              <w:rPr>
                <w:rFonts w:hint="eastAsia"/>
                <w:kern w:val="0"/>
                <w:sz w:val="24"/>
                <w:szCs w:val="24"/>
              </w:rPr>
              <w:t>5.推进旧改工作，有效减差降漏。为提升居民的居住环境，改善用水质量，有效降低产销产，提高水费回收率，营业公司积极推进旧改工作，已完成广阳区住建局宿舍、裕华小区改造共769户，其他待改造小区已列入漏损城市治理项目，目前正在对接社区及居民，积极宣传改造事宜，待项目招标后动工，助力旧改工作顺利推进。更换老旧管道3101米，更换阀门28处，切断老旧管线13处。加强与市政处沟通，完成银河南路（光明西道－廊霸路）DN400给水管线2459米、东安路DN400管线1041米，为居民用水安全提供有力保障。</w:t>
            </w:r>
          </w:p>
        </w:tc>
        <w:tc>
          <w:tcPr>
            <w:tcW w:w="1413" w:type="pct"/>
            <w:vAlign w:val="center"/>
          </w:tcPr>
          <w:p w14:paraId="5DE603F3">
            <w:pPr>
              <w:widowControl/>
              <w:spacing w:line="320" w:lineRule="exact"/>
              <w:ind w:firstLine="0" w:firstLineChars="0"/>
              <w:jc w:val="left"/>
              <w:rPr>
                <w:rFonts w:hint="eastAsia"/>
                <w:kern w:val="0"/>
                <w:sz w:val="24"/>
                <w:szCs w:val="24"/>
              </w:rPr>
            </w:pPr>
            <w:r>
              <w:rPr>
                <w:rFonts w:hint="eastAsia"/>
                <w:kern w:val="0"/>
                <w:sz w:val="24"/>
                <w:szCs w:val="24"/>
              </w:rPr>
              <w:t>1、全力推进漏损城市治理项目。推广智能消防栓、噪声测漏管理系统建设，积极推进老旧小区户表、二供设施改造等，持续降漏增效。通过优化分区计量、管网压力调控、计量设备校核及新增水质监测等措施，继续在水量、水压、水表、水质上面下功夫，逐步推进区块化管理。</w:t>
            </w:r>
          </w:p>
          <w:p w14:paraId="5C327138">
            <w:pPr>
              <w:widowControl/>
              <w:spacing w:line="320" w:lineRule="exact"/>
              <w:ind w:firstLine="0" w:firstLineChars="0"/>
              <w:jc w:val="left"/>
              <w:rPr>
                <w:rFonts w:hint="eastAsia"/>
                <w:kern w:val="0"/>
                <w:sz w:val="24"/>
                <w:szCs w:val="24"/>
              </w:rPr>
            </w:pPr>
            <w:r>
              <w:rPr>
                <w:rFonts w:hint="eastAsia"/>
                <w:kern w:val="0"/>
                <w:sz w:val="24"/>
                <w:szCs w:val="24"/>
              </w:rPr>
              <w:t>2、逐步提升二供泵房运维管理水平。逐步实现新建地产二供泵房的统建统管，统一泵房建设标准，从源头上控制泵房及设备质量，实现同网、同质、同管理。</w:t>
            </w:r>
          </w:p>
          <w:p w14:paraId="162E596C">
            <w:pPr>
              <w:widowControl/>
              <w:spacing w:line="320" w:lineRule="exact"/>
              <w:ind w:firstLine="0" w:firstLineChars="0"/>
              <w:jc w:val="left"/>
              <w:rPr>
                <w:rFonts w:hint="eastAsia"/>
                <w:kern w:val="0"/>
                <w:sz w:val="24"/>
                <w:szCs w:val="24"/>
              </w:rPr>
            </w:pPr>
            <w:r>
              <w:rPr>
                <w:rFonts w:hint="eastAsia"/>
                <w:kern w:val="0"/>
                <w:sz w:val="24"/>
                <w:szCs w:val="24"/>
              </w:rPr>
              <w:t>3、建立健全安全管理机制。着力完善部门安全管理制度，明晰公司安全生产职责内容。全面梳理风险隐患，结合实际制定专项应急处置预案，增强职工应急处置能力。</w:t>
            </w:r>
          </w:p>
        </w:tc>
      </w:tr>
      <w:tr w14:paraId="02B3E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 w:type="pct"/>
            <w:vMerge w:val="continue"/>
            <w:vAlign w:val="center"/>
          </w:tcPr>
          <w:p w14:paraId="4902DF00">
            <w:pPr>
              <w:widowControl/>
              <w:spacing w:line="320" w:lineRule="exact"/>
              <w:ind w:firstLine="0" w:firstLineChars="0"/>
              <w:jc w:val="center"/>
              <w:rPr>
                <w:rFonts w:hint="eastAsia"/>
                <w:kern w:val="0"/>
                <w:sz w:val="24"/>
                <w:szCs w:val="24"/>
              </w:rPr>
            </w:pPr>
          </w:p>
        </w:tc>
        <w:tc>
          <w:tcPr>
            <w:tcW w:w="211" w:type="pct"/>
            <w:vMerge w:val="continue"/>
            <w:vAlign w:val="center"/>
          </w:tcPr>
          <w:p w14:paraId="0E31F20C">
            <w:pPr>
              <w:widowControl/>
              <w:spacing w:line="320" w:lineRule="exact"/>
              <w:ind w:firstLine="0" w:firstLineChars="0"/>
              <w:jc w:val="center"/>
              <w:rPr>
                <w:rFonts w:hint="eastAsia"/>
                <w:kern w:val="0"/>
                <w:sz w:val="24"/>
                <w:szCs w:val="24"/>
              </w:rPr>
            </w:pPr>
          </w:p>
        </w:tc>
        <w:tc>
          <w:tcPr>
            <w:tcW w:w="343" w:type="pct"/>
            <w:vMerge w:val="continue"/>
            <w:vAlign w:val="center"/>
          </w:tcPr>
          <w:p w14:paraId="2D1F712E">
            <w:pPr>
              <w:widowControl/>
              <w:spacing w:line="320" w:lineRule="exact"/>
              <w:ind w:firstLine="0" w:firstLineChars="0"/>
              <w:jc w:val="center"/>
              <w:rPr>
                <w:rFonts w:hint="eastAsia"/>
                <w:kern w:val="0"/>
                <w:sz w:val="24"/>
                <w:szCs w:val="24"/>
              </w:rPr>
            </w:pPr>
          </w:p>
        </w:tc>
        <w:tc>
          <w:tcPr>
            <w:tcW w:w="259" w:type="pct"/>
            <w:vMerge w:val="continue"/>
            <w:vAlign w:val="center"/>
          </w:tcPr>
          <w:p w14:paraId="2A45BBBE">
            <w:pPr>
              <w:widowControl/>
              <w:spacing w:line="320" w:lineRule="exact"/>
              <w:ind w:firstLine="0" w:firstLineChars="0"/>
              <w:jc w:val="center"/>
              <w:rPr>
                <w:rFonts w:hint="eastAsia"/>
                <w:kern w:val="0"/>
                <w:sz w:val="24"/>
                <w:szCs w:val="24"/>
              </w:rPr>
            </w:pPr>
          </w:p>
        </w:tc>
        <w:tc>
          <w:tcPr>
            <w:tcW w:w="311" w:type="pct"/>
            <w:vMerge w:val="continue"/>
            <w:vAlign w:val="center"/>
          </w:tcPr>
          <w:p w14:paraId="50402D2E">
            <w:pPr>
              <w:widowControl/>
              <w:spacing w:line="320" w:lineRule="exact"/>
              <w:ind w:firstLine="0" w:firstLineChars="0"/>
              <w:jc w:val="center"/>
              <w:rPr>
                <w:rFonts w:hint="eastAsia"/>
                <w:kern w:val="0"/>
                <w:sz w:val="24"/>
                <w:szCs w:val="24"/>
              </w:rPr>
            </w:pPr>
          </w:p>
        </w:tc>
        <w:tc>
          <w:tcPr>
            <w:tcW w:w="389" w:type="pct"/>
            <w:vMerge w:val="continue"/>
            <w:vAlign w:val="center"/>
          </w:tcPr>
          <w:p w14:paraId="491230A7">
            <w:pPr>
              <w:widowControl/>
              <w:spacing w:line="320" w:lineRule="exact"/>
              <w:ind w:firstLine="0" w:firstLineChars="0"/>
              <w:jc w:val="center"/>
              <w:rPr>
                <w:rFonts w:hint="eastAsia"/>
                <w:kern w:val="0"/>
                <w:sz w:val="24"/>
                <w:szCs w:val="24"/>
              </w:rPr>
            </w:pPr>
          </w:p>
        </w:tc>
        <w:tc>
          <w:tcPr>
            <w:tcW w:w="1784" w:type="pct"/>
            <w:vAlign w:val="center"/>
          </w:tcPr>
          <w:p w14:paraId="59E14292">
            <w:pPr>
              <w:widowControl/>
              <w:spacing w:line="320" w:lineRule="exact"/>
              <w:ind w:firstLine="0" w:firstLineChars="0"/>
              <w:jc w:val="left"/>
              <w:rPr>
                <w:rFonts w:hint="eastAsia"/>
                <w:kern w:val="0"/>
                <w:sz w:val="24"/>
                <w:szCs w:val="24"/>
              </w:rPr>
            </w:pPr>
            <w:r>
              <w:rPr>
                <w:rFonts w:hint="eastAsia"/>
                <w:kern w:val="0"/>
                <w:sz w:val="24"/>
                <w:szCs w:val="24"/>
              </w:rPr>
              <w:t>市燃气热力服务中心：因供暖管道漏水、压力不足等原因导致采暖季温度不达标问题</w:t>
            </w:r>
          </w:p>
          <w:p w14:paraId="31C3B4F4">
            <w:pPr>
              <w:widowControl/>
              <w:spacing w:line="320" w:lineRule="exact"/>
              <w:ind w:firstLine="0" w:firstLineChars="0"/>
              <w:jc w:val="left"/>
              <w:rPr>
                <w:rFonts w:hint="eastAsia"/>
                <w:kern w:val="0"/>
                <w:sz w:val="24"/>
                <w:szCs w:val="24"/>
              </w:rPr>
            </w:pPr>
            <w:r>
              <w:rPr>
                <w:rFonts w:hint="eastAsia"/>
                <w:kern w:val="0"/>
                <w:sz w:val="24"/>
                <w:szCs w:val="24"/>
              </w:rPr>
              <w:t>（一）安次区亿合社区的亿和家园小区，吉祥社区的顺安小区、富强小区、华意楼小区、农林楼小区、钢厂宿舍、煤炭五部小区，博通社区的安通汽修宿舍。亿和家园小区、顺安小区、富强小区、华意楼小区、农林楼小区、煤炭五部小区已于2023年度采暖季前由安次区政府指定南城热力公司代为管理。为保障以上小区居民温暖过冬，南城热力公司于采暖季前对损毁严重、影响供热效果的部分锁闭阀、球阀进行了更换，对跑冒滴漏严重的部分院区管网进行了改造。钢厂宿舍于2016年实施的“气代煤”改造，现为壁挂炉自取暖小区，由廊坊新奥燃气负责供气保障。安通汽修宿舍于2016年拆除了院内燃煤供热锅炉，实施了蓄能式电热设备取暖改造。目前廊坊市正在积极推进廊坊热电厂二期项目及环城管网配套设施建设，计划待热电厂二期项目投产后，结合实际情况，推动该小区实施热电联产并网改造。为了保障以上小区居民供热室温达标，安次区设置了24小时统一的客服投诉、报修热线，增派专业维修人员进驻小区，及时上门解决群众不热问题。</w:t>
            </w:r>
          </w:p>
          <w:p w14:paraId="3C01CD48">
            <w:pPr>
              <w:widowControl/>
              <w:spacing w:line="320" w:lineRule="exact"/>
              <w:ind w:firstLine="0" w:firstLineChars="0"/>
              <w:jc w:val="left"/>
              <w:rPr>
                <w:rFonts w:hint="eastAsia"/>
                <w:kern w:val="0"/>
                <w:sz w:val="24"/>
                <w:szCs w:val="24"/>
              </w:rPr>
            </w:pPr>
            <w:r>
              <w:rPr>
                <w:rFonts w:hint="eastAsia"/>
                <w:kern w:val="0"/>
                <w:sz w:val="24"/>
                <w:szCs w:val="24"/>
              </w:rPr>
              <w:t>（二）广阳区的林园里社区、迎春北路社区</w:t>
            </w:r>
          </w:p>
          <w:p w14:paraId="2C2D186D">
            <w:pPr>
              <w:widowControl/>
              <w:spacing w:line="320" w:lineRule="exact"/>
              <w:ind w:firstLine="0" w:firstLineChars="0"/>
              <w:jc w:val="left"/>
              <w:rPr>
                <w:rFonts w:hint="eastAsia"/>
                <w:kern w:val="0"/>
                <w:sz w:val="24"/>
                <w:szCs w:val="24"/>
              </w:rPr>
            </w:pPr>
            <w:r>
              <w:rPr>
                <w:rFonts w:hint="eastAsia"/>
                <w:kern w:val="0"/>
                <w:sz w:val="24"/>
                <w:szCs w:val="24"/>
              </w:rPr>
              <w:t>广阳区的林园里社区、迎春北路社区均由廊坊市广达供热有限公司负责供暖。为了保障以上小区居民室温达标，广达供热公司增派了专业维修人员，加大了对小区供热设施设备的巡查检查，发现管网及设备故障后第一时间进行抢修，以最大限度地减少对用户的影响。同时，通过微信公众号、张贴通知单等方式公布24小时客服电话，并加大了随机测温力度，及时、主动发现并解决用户不热问题。</w:t>
            </w:r>
          </w:p>
          <w:p w14:paraId="590EDC32">
            <w:pPr>
              <w:widowControl/>
              <w:spacing w:line="320" w:lineRule="exact"/>
              <w:ind w:firstLine="0" w:firstLineChars="0"/>
              <w:jc w:val="left"/>
              <w:rPr>
                <w:rFonts w:hint="eastAsia"/>
                <w:kern w:val="0"/>
                <w:sz w:val="24"/>
                <w:szCs w:val="24"/>
              </w:rPr>
            </w:pPr>
            <w:r>
              <w:rPr>
                <w:rFonts w:hint="eastAsia"/>
                <w:kern w:val="0"/>
                <w:sz w:val="24"/>
                <w:szCs w:val="24"/>
              </w:rPr>
              <w:t>（三）开发区憩园社区。开发区憩园社区由开发区热力供应中心负责供暖。开发区热力供应中心针对以上问题，一是积极开展“访民问暖”活动，建立了供热问题台账。安排专业维修人员逐户制定解决措施。同时，制作了服务标牌固定在各楼层的井室门上，方便群众在遇到取暖问题时第一时间报修解决。二是加强巡查检查频次，安排热力工作人员进驻社区群，及时了解群众用暖情况。三是建立了“党员示范岗”和“抢修突击队”，并通过公开招标方式选定了3支专业应急抢修队伍，确保发生供暖故障时，最短时间赶赴现场及时处置。</w:t>
            </w:r>
          </w:p>
        </w:tc>
        <w:tc>
          <w:tcPr>
            <w:tcW w:w="1413" w:type="pct"/>
            <w:vAlign w:val="center"/>
          </w:tcPr>
          <w:p w14:paraId="2A2258C3">
            <w:pPr>
              <w:widowControl/>
              <w:spacing w:line="320" w:lineRule="exact"/>
              <w:ind w:firstLine="0" w:firstLineChars="0"/>
              <w:jc w:val="left"/>
              <w:rPr>
                <w:rFonts w:hint="eastAsia"/>
                <w:kern w:val="0"/>
                <w:sz w:val="24"/>
                <w:szCs w:val="24"/>
              </w:rPr>
            </w:pPr>
            <w:r>
              <w:rPr>
                <w:rFonts w:hint="eastAsia"/>
                <w:kern w:val="0"/>
                <w:sz w:val="24"/>
                <w:szCs w:val="24"/>
              </w:rPr>
              <w:t>针对以上小区存在问题，我局将积极落实行业监管责任，督导三区供热主管部门、相关供热企业集合采暖季供热运行情况，建立供暖问题台账、合理制定“冬病夏治”工作计划，针对院区供热管网、阀门等供热设施进行改造，以彻底解决群众不热问题。</w:t>
            </w:r>
          </w:p>
        </w:tc>
      </w:tr>
      <w:tr w14:paraId="4747E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 w:hRule="atLeast"/>
        </w:trPr>
        <w:tc>
          <w:tcPr>
            <w:tcW w:w="288" w:type="pct"/>
            <w:vAlign w:val="center"/>
          </w:tcPr>
          <w:p w14:paraId="4AE0425F">
            <w:pPr>
              <w:widowControl/>
              <w:spacing w:line="320" w:lineRule="exact"/>
              <w:ind w:firstLine="0" w:firstLineChars="0"/>
              <w:jc w:val="center"/>
              <w:rPr>
                <w:rFonts w:hint="eastAsia"/>
                <w:kern w:val="0"/>
                <w:sz w:val="24"/>
                <w:szCs w:val="24"/>
              </w:rPr>
            </w:pPr>
            <w:r>
              <w:rPr>
                <w:rFonts w:hint="eastAsia"/>
                <w:kern w:val="0"/>
                <w:sz w:val="24"/>
                <w:szCs w:val="24"/>
              </w:rPr>
              <w:t>开发区管委会</w:t>
            </w:r>
          </w:p>
        </w:tc>
        <w:tc>
          <w:tcPr>
            <w:tcW w:w="211" w:type="pct"/>
            <w:vAlign w:val="center"/>
          </w:tcPr>
          <w:p w14:paraId="185F1FCB">
            <w:pPr>
              <w:widowControl/>
              <w:spacing w:line="320" w:lineRule="exact"/>
              <w:ind w:firstLine="0" w:firstLineChars="0"/>
              <w:jc w:val="center"/>
              <w:rPr>
                <w:rFonts w:hint="eastAsia"/>
                <w:kern w:val="0"/>
                <w:sz w:val="24"/>
                <w:szCs w:val="24"/>
              </w:rPr>
            </w:pPr>
            <w:r>
              <w:rPr>
                <w:rFonts w:hint="eastAsia"/>
                <w:kern w:val="0"/>
                <w:sz w:val="24"/>
                <w:szCs w:val="24"/>
              </w:rPr>
              <w:t>8</w:t>
            </w:r>
          </w:p>
        </w:tc>
        <w:tc>
          <w:tcPr>
            <w:tcW w:w="343" w:type="pct"/>
            <w:vAlign w:val="center"/>
          </w:tcPr>
          <w:p w14:paraId="14535ABB">
            <w:pPr>
              <w:widowControl/>
              <w:spacing w:line="320" w:lineRule="exact"/>
              <w:ind w:firstLine="0" w:firstLineChars="0"/>
              <w:jc w:val="center"/>
              <w:rPr>
                <w:rFonts w:hint="eastAsia"/>
                <w:kern w:val="0"/>
                <w:sz w:val="24"/>
                <w:szCs w:val="24"/>
              </w:rPr>
            </w:pPr>
            <w:r>
              <w:rPr>
                <w:rFonts w:hint="eastAsia"/>
                <w:kern w:val="0"/>
                <w:sz w:val="24"/>
                <w:szCs w:val="24"/>
              </w:rPr>
              <w:t>存在楼道安全隐患的住宅数量（栋）★</w:t>
            </w:r>
          </w:p>
        </w:tc>
        <w:tc>
          <w:tcPr>
            <w:tcW w:w="259" w:type="pct"/>
            <w:vAlign w:val="center"/>
          </w:tcPr>
          <w:p w14:paraId="5CCC834F">
            <w:pPr>
              <w:widowControl/>
              <w:spacing w:line="320" w:lineRule="exact"/>
              <w:ind w:firstLine="0" w:firstLineChars="0"/>
              <w:jc w:val="center"/>
              <w:rPr>
                <w:rFonts w:hint="eastAsia"/>
                <w:kern w:val="0"/>
                <w:sz w:val="24"/>
                <w:szCs w:val="24"/>
              </w:rPr>
            </w:pPr>
            <w:r>
              <w:rPr>
                <w:rFonts w:hint="eastAsia"/>
                <w:kern w:val="0"/>
                <w:sz w:val="24"/>
                <w:szCs w:val="24"/>
              </w:rPr>
              <w:t>387栋</w:t>
            </w:r>
          </w:p>
        </w:tc>
        <w:tc>
          <w:tcPr>
            <w:tcW w:w="311" w:type="pct"/>
            <w:vAlign w:val="center"/>
          </w:tcPr>
          <w:p w14:paraId="2CD66390">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37B65A70">
            <w:pPr>
              <w:widowControl/>
              <w:spacing w:line="320" w:lineRule="exact"/>
              <w:ind w:firstLine="0" w:firstLineChars="0"/>
              <w:jc w:val="center"/>
              <w:rPr>
                <w:rFonts w:hint="eastAsia"/>
                <w:kern w:val="0"/>
                <w:sz w:val="24"/>
                <w:szCs w:val="24"/>
              </w:rPr>
            </w:pPr>
            <w:r>
              <w:rPr>
                <w:rFonts w:hint="eastAsia"/>
                <w:kern w:val="0"/>
                <w:sz w:val="24"/>
                <w:szCs w:val="24"/>
              </w:rPr>
              <w:t>387栋</w:t>
            </w:r>
          </w:p>
        </w:tc>
        <w:tc>
          <w:tcPr>
            <w:tcW w:w="1784" w:type="pct"/>
            <w:vAlign w:val="center"/>
          </w:tcPr>
          <w:p w14:paraId="69B84D55">
            <w:pPr>
              <w:widowControl/>
              <w:spacing w:line="320" w:lineRule="exact"/>
              <w:ind w:firstLine="0" w:firstLineChars="0"/>
              <w:jc w:val="left"/>
              <w:rPr>
                <w:rFonts w:hint="eastAsia"/>
                <w:kern w:val="0"/>
                <w:sz w:val="24"/>
                <w:szCs w:val="24"/>
              </w:rPr>
            </w:pPr>
            <w:r>
              <w:rPr>
                <w:rFonts w:hint="eastAsia"/>
                <w:kern w:val="0"/>
                <w:sz w:val="24"/>
                <w:szCs w:val="24"/>
              </w:rPr>
              <w:t>-</w:t>
            </w:r>
          </w:p>
        </w:tc>
        <w:tc>
          <w:tcPr>
            <w:tcW w:w="1413" w:type="pct"/>
            <w:vAlign w:val="center"/>
          </w:tcPr>
          <w:p w14:paraId="5E7B9D21">
            <w:pPr>
              <w:widowControl/>
              <w:spacing w:line="320" w:lineRule="exact"/>
              <w:ind w:firstLine="0" w:firstLineChars="0"/>
              <w:jc w:val="left"/>
              <w:rPr>
                <w:rFonts w:hint="eastAsia"/>
                <w:kern w:val="0"/>
                <w:sz w:val="24"/>
                <w:szCs w:val="24"/>
              </w:rPr>
            </w:pPr>
            <w:r>
              <w:rPr>
                <w:rFonts w:hint="eastAsia"/>
                <w:kern w:val="0"/>
                <w:sz w:val="24"/>
                <w:szCs w:val="24"/>
              </w:rPr>
              <w:t>针对问题清单中提到的存在楼道安全隐患的如“楼梯间楼梯踏步缺损、楼梯扶手松动损坏”等一系列小区物业问题，我区将要求物业公司加强管理、提升服务质量并对社区内绿地及时补种。在2024年的物业检查中，加强对物业的督导，及时维护整改。</w:t>
            </w:r>
          </w:p>
        </w:tc>
      </w:tr>
      <w:tr w14:paraId="750C7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2B7746C6">
            <w:pPr>
              <w:widowControl/>
              <w:spacing w:line="320" w:lineRule="exact"/>
              <w:ind w:firstLine="0" w:firstLineChars="0"/>
              <w:jc w:val="center"/>
              <w:rPr>
                <w:rFonts w:hint="eastAsia"/>
                <w:kern w:val="0"/>
                <w:sz w:val="24"/>
                <w:szCs w:val="24"/>
              </w:rPr>
            </w:pPr>
            <w:r>
              <w:rPr>
                <w:rFonts w:hint="eastAsia"/>
                <w:kern w:val="0"/>
                <w:sz w:val="24"/>
                <w:szCs w:val="24"/>
              </w:rPr>
              <w:t>市体育局</w:t>
            </w:r>
          </w:p>
        </w:tc>
        <w:tc>
          <w:tcPr>
            <w:tcW w:w="211" w:type="pct"/>
            <w:vAlign w:val="center"/>
          </w:tcPr>
          <w:p w14:paraId="19E2DE7E">
            <w:pPr>
              <w:widowControl/>
              <w:spacing w:line="320" w:lineRule="exact"/>
              <w:ind w:firstLine="0" w:firstLineChars="0"/>
              <w:jc w:val="center"/>
              <w:rPr>
                <w:rFonts w:hint="eastAsia"/>
                <w:kern w:val="0"/>
                <w:sz w:val="24"/>
                <w:szCs w:val="24"/>
              </w:rPr>
            </w:pPr>
            <w:r>
              <w:rPr>
                <w:rFonts w:hint="eastAsia"/>
                <w:kern w:val="0"/>
                <w:sz w:val="24"/>
                <w:szCs w:val="24"/>
              </w:rPr>
              <w:t>9</w:t>
            </w:r>
          </w:p>
        </w:tc>
        <w:tc>
          <w:tcPr>
            <w:tcW w:w="343" w:type="pct"/>
            <w:vAlign w:val="center"/>
          </w:tcPr>
          <w:p w14:paraId="2F7E42F8">
            <w:pPr>
              <w:widowControl/>
              <w:spacing w:line="320" w:lineRule="exact"/>
              <w:ind w:firstLine="0" w:firstLineChars="0"/>
              <w:jc w:val="center"/>
              <w:rPr>
                <w:rFonts w:hint="eastAsia"/>
                <w:kern w:val="0"/>
                <w:sz w:val="24"/>
                <w:szCs w:val="24"/>
              </w:rPr>
            </w:pPr>
            <w:r>
              <w:rPr>
                <w:rFonts w:hint="eastAsia"/>
                <w:kern w:val="0"/>
                <w:sz w:val="24"/>
                <w:szCs w:val="24"/>
              </w:rPr>
              <w:t>未达标配建多功能运动场地的数量（个）★</w:t>
            </w:r>
          </w:p>
        </w:tc>
        <w:tc>
          <w:tcPr>
            <w:tcW w:w="259" w:type="pct"/>
            <w:vAlign w:val="center"/>
          </w:tcPr>
          <w:p w14:paraId="19DBEA9B">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11" w:type="pct"/>
            <w:vAlign w:val="center"/>
          </w:tcPr>
          <w:p w14:paraId="24C3ECDD">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0B62A8BD">
            <w:pPr>
              <w:widowControl/>
              <w:spacing w:line="320" w:lineRule="exact"/>
              <w:ind w:firstLine="0" w:firstLineChars="0"/>
              <w:jc w:val="center"/>
              <w:rPr>
                <w:rFonts w:hint="eastAsia"/>
                <w:kern w:val="0"/>
                <w:sz w:val="24"/>
                <w:szCs w:val="24"/>
              </w:rPr>
            </w:pPr>
            <w:r>
              <w:rPr>
                <w:rFonts w:hint="eastAsia"/>
                <w:kern w:val="0"/>
                <w:sz w:val="24"/>
                <w:szCs w:val="24"/>
              </w:rPr>
              <w:t>已达标</w:t>
            </w:r>
          </w:p>
        </w:tc>
        <w:tc>
          <w:tcPr>
            <w:tcW w:w="1784" w:type="pct"/>
            <w:vAlign w:val="center"/>
          </w:tcPr>
          <w:p w14:paraId="62F014F4">
            <w:pPr>
              <w:widowControl/>
              <w:spacing w:line="320" w:lineRule="exact"/>
              <w:ind w:firstLine="0" w:firstLineChars="0"/>
              <w:jc w:val="left"/>
              <w:rPr>
                <w:rFonts w:hint="eastAsia"/>
                <w:kern w:val="0"/>
                <w:sz w:val="24"/>
                <w:szCs w:val="24"/>
              </w:rPr>
            </w:pPr>
            <w:r>
              <w:rPr>
                <w:rFonts w:hint="eastAsia"/>
                <w:kern w:val="0"/>
                <w:sz w:val="24"/>
                <w:szCs w:val="24"/>
              </w:rPr>
              <w:t>（一）体育惠民场地设施建设情况。根据省体育局体育场地设施惠民工作要求，制定《2023年廊坊市体育场地设施惠民工程实施方案》，成立了以王洪生局长任组长的工作领导小组，建立了包联督导机制，高频率现场督导。强化问题导向，重点破解堵点、卡点问题。目前已超额完成今年任务目标。更新健身设施563处、主题公园11个、足球场13个、篮球、乒乓球、羽毛球场地22个、健身步道13条.</w:t>
            </w:r>
          </w:p>
          <w:p w14:paraId="2F60BA9F">
            <w:pPr>
              <w:widowControl/>
              <w:spacing w:line="320" w:lineRule="exact"/>
              <w:ind w:firstLine="0" w:firstLineChars="0"/>
              <w:jc w:val="left"/>
              <w:rPr>
                <w:rFonts w:hint="eastAsia"/>
                <w:kern w:val="0"/>
                <w:sz w:val="24"/>
                <w:szCs w:val="24"/>
              </w:rPr>
            </w:pPr>
            <w:r>
              <w:rPr>
                <w:rFonts w:hint="eastAsia"/>
                <w:kern w:val="0"/>
                <w:sz w:val="24"/>
                <w:szCs w:val="24"/>
              </w:rPr>
              <w:t>（二）体育场馆建设情况。2023年SK爆燃运动中心项目项目总投资1.23亿元，目前青训馆、篮羽中心、室外足球场已经建成全部竣工，网球馆计划2月下旬完成。廊坊市体育场改造提升工程已经投入投资150余万元，对社会免费开放。为廊坊市滑冰馆、廊坊市体育馆申请免费或低收费开放补贴132万元。进一步完善城市15分钟健身圈。</w:t>
            </w:r>
          </w:p>
        </w:tc>
        <w:tc>
          <w:tcPr>
            <w:tcW w:w="1413" w:type="pct"/>
            <w:vAlign w:val="center"/>
          </w:tcPr>
          <w:p w14:paraId="2CE42168">
            <w:pPr>
              <w:widowControl/>
              <w:spacing w:line="320" w:lineRule="exact"/>
              <w:ind w:firstLine="0" w:firstLineChars="0"/>
              <w:jc w:val="left"/>
              <w:rPr>
                <w:rFonts w:hint="eastAsia"/>
                <w:kern w:val="0"/>
                <w:sz w:val="24"/>
                <w:szCs w:val="24"/>
              </w:rPr>
            </w:pPr>
            <w:r>
              <w:rPr>
                <w:rFonts w:hint="eastAsia"/>
                <w:kern w:val="0"/>
                <w:sz w:val="24"/>
                <w:szCs w:val="24"/>
              </w:rPr>
              <w:t>（一）高度重视，提前谋划，高质量完成体育惠民工作。按照河北省体育局《2024年体育惠民工程谋划安排》要求，我市制定了“廊坊市体育惠民工程实施方案”，对体育惠民工程目标任务进行分解，各县（市、区）要积极争取地方党委、政府重视支持，提前谋划选址，制定好实施方案。今年，我市将建设或提升标准化体育公园和小型体育主题公园12个，建设更新行政村（社区）新型健身器材24处，建设乡镇（街道）多功能运动场、百姓健身房等15个。</w:t>
            </w:r>
          </w:p>
          <w:p w14:paraId="46E25CBC">
            <w:pPr>
              <w:widowControl/>
              <w:spacing w:line="320" w:lineRule="exact"/>
              <w:ind w:firstLine="0" w:firstLineChars="0"/>
              <w:jc w:val="left"/>
              <w:rPr>
                <w:rFonts w:hint="eastAsia"/>
                <w:kern w:val="0"/>
                <w:sz w:val="24"/>
                <w:szCs w:val="24"/>
              </w:rPr>
            </w:pPr>
            <w:r>
              <w:rPr>
                <w:rFonts w:hint="eastAsia"/>
                <w:kern w:val="0"/>
                <w:sz w:val="24"/>
                <w:szCs w:val="24"/>
              </w:rPr>
              <w:t>（二）体育场馆情况。继续推进爆燃运动中心项目网球馆建设。为廊坊市体育场廊坊市滑冰馆、廊坊市体育馆、廊坊市游泳馆申请免费或低收费开放补贴。</w:t>
            </w:r>
          </w:p>
        </w:tc>
      </w:tr>
      <w:tr w14:paraId="56EFC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trPr>
        <w:tc>
          <w:tcPr>
            <w:tcW w:w="288" w:type="pct"/>
            <w:vAlign w:val="center"/>
          </w:tcPr>
          <w:p w14:paraId="7B1E87E4">
            <w:pPr>
              <w:widowControl/>
              <w:spacing w:line="320" w:lineRule="exact"/>
              <w:ind w:firstLine="0" w:firstLineChars="0"/>
              <w:jc w:val="center"/>
              <w:rPr>
                <w:rFonts w:hint="eastAsia"/>
                <w:kern w:val="0"/>
                <w:sz w:val="24"/>
                <w:szCs w:val="24"/>
              </w:rPr>
            </w:pPr>
            <w:r>
              <w:rPr>
                <w:rFonts w:hint="eastAsia"/>
                <w:kern w:val="0"/>
                <w:sz w:val="24"/>
                <w:szCs w:val="24"/>
              </w:rPr>
              <w:t>市卫健委</w:t>
            </w:r>
          </w:p>
        </w:tc>
        <w:tc>
          <w:tcPr>
            <w:tcW w:w="211" w:type="pct"/>
            <w:vAlign w:val="center"/>
          </w:tcPr>
          <w:p w14:paraId="5D5027CB">
            <w:pPr>
              <w:widowControl/>
              <w:spacing w:line="320" w:lineRule="exact"/>
              <w:ind w:firstLine="0" w:firstLineChars="0"/>
              <w:jc w:val="center"/>
              <w:rPr>
                <w:rFonts w:hint="eastAsia"/>
                <w:kern w:val="0"/>
                <w:sz w:val="24"/>
                <w:szCs w:val="24"/>
              </w:rPr>
            </w:pPr>
            <w:r>
              <w:rPr>
                <w:rFonts w:hint="eastAsia"/>
                <w:kern w:val="0"/>
                <w:sz w:val="24"/>
                <w:szCs w:val="24"/>
              </w:rPr>
              <w:t>10</w:t>
            </w:r>
          </w:p>
        </w:tc>
        <w:tc>
          <w:tcPr>
            <w:tcW w:w="343" w:type="pct"/>
            <w:vAlign w:val="center"/>
          </w:tcPr>
          <w:p w14:paraId="67137B39">
            <w:pPr>
              <w:widowControl/>
              <w:spacing w:line="320" w:lineRule="exact"/>
              <w:ind w:firstLine="0" w:firstLineChars="0"/>
              <w:jc w:val="center"/>
              <w:rPr>
                <w:rFonts w:hint="eastAsia"/>
                <w:kern w:val="0"/>
                <w:sz w:val="24"/>
                <w:szCs w:val="24"/>
              </w:rPr>
            </w:pPr>
            <w:r>
              <w:rPr>
                <w:rFonts w:hint="eastAsia"/>
                <w:kern w:val="0"/>
                <w:sz w:val="24"/>
                <w:szCs w:val="24"/>
              </w:rPr>
              <w:t>社区卫生服务中心门诊分担率（%）</w:t>
            </w:r>
          </w:p>
        </w:tc>
        <w:tc>
          <w:tcPr>
            <w:tcW w:w="259" w:type="pct"/>
            <w:vAlign w:val="center"/>
          </w:tcPr>
          <w:p w14:paraId="716B29CC">
            <w:pPr>
              <w:widowControl/>
              <w:spacing w:line="320" w:lineRule="exact"/>
              <w:ind w:firstLine="0" w:firstLineChars="0"/>
              <w:jc w:val="center"/>
              <w:rPr>
                <w:rFonts w:hint="eastAsia"/>
                <w:kern w:val="0"/>
                <w:sz w:val="24"/>
                <w:szCs w:val="24"/>
              </w:rPr>
            </w:pPr>
            <w:r>
              <w:rPr>
                <w:rFonts w:hint="eastAsia"/>
                <w:kern w:val="0"/>
                <w:sz w:val="24"/>
                <w:szCs w:val="24"/>
              </w:rPr>
              <w:t>12.59%</w:t>
            </w:r>
          </w:p>
        </w:tc>
        <w:tc>
          <w:tcPr>
            <w:tcW w:w="311" w:type="pct"/>
            <w:vAlign w:val="center"/>
          </w:tcPr>
          <w:p w14:paraId="372F6D1F">
            <w:pPr>
              <w:widowControl/>
              <w:spacing w:line="320" w:lineRule="exact"/>
              <w:ind w:firstLine="0" w:firstLineChars="0"/>
              <w:jc w:val="center"/>
              <w:rPr>
                <w:rFonts w:hint="eastAsia"/>
                <w:kern w:val="0"/>
                <w:sz w:val="24"/>
                <w:szCs w:val="24"/>
              </w:rPr>
            </w:pPr>
            <w:r>
              <w:rPr>
                <w:rFonts w:hint="eastAsia"/>
                <w:kern w:val="0"/>
                <w:sz w:val="24"/>
                <w:szCs w:val="24"/>
              </w:rPr>
              <w:t>≥23%</w:t>
            </w:r>
          </w:p>
        </w:tc>
        <w:tc>
          <w:tcPr>
            <w:tcW w:w="389" w:type="pct"/>
            <w:vAlign w:val="center"/>
          </w:tcPr>
          <w:p w14:paraId="317A1B66">
            <w:pPr>
              <w:widowControl/>
              <w:spacing w:line="320" w:lineRule="exact"/>
              <w:ind w:firstLine="0" w:firstLineChars="0"/>
              <w:jc w:val="center"/>
              <w:rPr>
                <w:rFonts w:hint="eastAsia"/>
                <w:kern w:val="0"/>
                <w:sz w:val="24"/>
                <w:szCs w:val="24"/>
              </w:rPr>
            </w:pPr>
            <w:r>
              <w:rPr>
                <w:rFonts w:hint="eastAsia"/>
                <w:kern w:val="0"/>
                <w:sz w:val="24"/>
                <w:szCs w:val="24"/>
              </w:rPr>
              <w:t>10.41%</w:t>
            </w:r>
          </w:p>
        </w:tc>
        <w:tc>
          <w:tcPr>
            <w:tcW w:w="1784" w:type="pct"/>
            <w:vAlign w:val="center"/>
          </w:tcPr>
          <w:p w14:paraId="3479E96E">
            <w:pPr>
              <w:widowControl/>
              <w:spacing w:line="320" w:lineRule="exact"/>
              <w:ind w:firstLine="0" w:firstLineChars="0"/>
              <w:jc w:val="left"/>
              <w:rPr>
                <w:rFonts w:hint="eastAsia"/>
                <w:kern w:val="0"/>
                <w:sz w:val="24"/>
                <w:szCs w:val="24"/>
              </w:rPr>
            </w:pPr>
            <w:r>
              <w:rPr>
                <w:rFonts w:hint="eastAsia"/>
                <w:kern w:val="0"/>
                <w:sz w:val="24"/>
                <w:szCs w:val="24"/>
              </w:rPr>
              <w:t>市卫健委：为切实将城市体检成果转化为实际应用，2023年以来，持续开展“优质服务基层行”活动，积极推进标准化建设，通过加强院内管理、发展特色专科、推进社区医院建设等措施，逐步提升社区卫生服务中心医疗服务水平，社区卫生服务中心门诊量较2022年大幅提升。广阳区花园楼社区卫生服务中心和宏泰社区卫生服务中心通过了省级社区医院验收，并分别建设康复科、儿科特色科室。同时，广阳区新成立了和平社区卫生服务中心，安次区新成立了龙腾路社区卫生服务中心，进一步提升社区卫生服务机构的整体服务能力。</w:t>
            </w:r>
          </w:p>
        </w:tc>
        <w:tc>
          <w:tcPr>
            <w:tcW w:w="1413" w:type="pct"/>
            <w:vAlign w:val="center"/>
          </w:tcPr>
          <w:p w14:paraId="43FCDE7A">
            <w:pPr>
              <w:widowControl/>
              <w:spacing w:line="320" w:lineRule="exact"/>
              <w:ind w:firstLine="0" w:firstLineChars="0"/>
              <w:jc w:val="left"/>
              <w:rPr>
                <w:rFonts w:hint="eastAsia"/>
                <w:kern w:val="0"/>
                <w:sz w:val="24"/>
                <w:szCs w:val="24"/>
              </w:rPr>
            </w:pPr>
            <w:r>
              <w:rPr>
                <w:rFonts w:hint="eastAsia"/>
                <w:kern w:val="0"/>
                <w:sz w:val="24"/>
                <w:szCs w:val="24"/>
              </w:rPr>
              <w:t>持续开展“优质服务基层行”活动。进一步加强对社区卫生服务中心的指导，及时整改发现的问题，不断提高社区卫生服务中心服务能力标准和综合服务能力，进一步提高诊疗人次，努力为辖区居民提供优质的基本医疗卫生服务。</w:t>
            </w:r>
          </w:p>
        </w:tc>
      </w:tr>
      <w:tr w14:paraId="745D5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48997629">
            <w:pPr>
              <w:widowControl/>
              <w:spacing w:line="320" w:lineRule="exact"/>
              <w:ind w:firstLine="0" w:firstLineChars="0"/>
              <w:jc w:val="center"/>
              <w:rPr>
                <w:rFonts w:hint="eastAsia"/>
                <w:kern w:val="0"/>
                <w:sz w:val="24"/>
                <w:szCs w:val="24"/>
              </w:rPr>
            </w:pPr>
            <w:r>
              <w:rPr>
                <w:rFonts w:hint="eastAsia"/>
                <w:kern w:val="0"/>
                <w:sz w:val="24"/>
                <w:szCs w:val="24"/>
              </w:rPr>
              <w:t>市卫健委</w:t>
            </w:r>
          </w:p>
        </w:tc>
        <w:tc>
          <w:tcPr>
            <w:tcW w:w="211" w:type="pct"/>
            <w:vAlign w:val="center"/>
          </w:tcPr>
          <w:p w14:paraId="4256DCF5">
            <w:pPr>
              <w:widowControl/>
              <w:spacing w:line="320" w:lineRule="exact"/>
              <w:ind w:firstLine="0" w:firstLineChars="0"/>
              <w:jc w:val="center"/>
              <w:rPr>
                <w:rFonts w:hint="eastAsia"/>
                <w:kern w:val="0"/>
                <w:sz w:val="24"/>
                <w:szCs w:val="24"/>
              </w:rPr>
            </w:pPr>
            <w:r>
              <w:rPr>
                <w:rFonts w:hint="eastAsia"/>
                <w:kern w:val="0"/>
                <w:sz w:val="24"/>
                <w:szCs w:val="24"/>
              </w:rPr>
              <w:t>11</w:t>
            </w:r>
          </w:p>
        </w:tc>
        <w:tc>
          <w:tcPr>
            <w:tcW w:w="343" w:type="pct"/>
            <w:vAlign w:val="center"/>
          </w:tcPr>
          <w:p w14:paraId="19678995">
            <w:pPr>
              <w:widowControl/>
              <w:spacing w:line="320" w:lineRule="exact"/>
              <w:ind w:firstLine="0" w:firstLineChars="0"/>
              <w:jc w:val="center"/>
              <w:rPr>
                <w:rFonts w:hint="eastAsia"/>
                <w:kern w:val="0"/>
                <w:sz w:val="24"/>
                <w:szCs w:val="24"/>
              </w:rPr>
            </w:pPr>
            <w:r>
              <w:rPr>
                <w:rFonts w:hint="eastAsia"/>
                <w:kern w:val="0"/>
                <w:sz w:val="24"/>
                <w:szCs w:val="24"/>
              </w:rPr>
              <w:t>未达标配建婴幼儿照护服务设施的数量（个）★</w:t>
            </w:r>
          </w:p>
        </w:tc>
        <w:tc>
          <w:tcPr>
            <w:tcW w:w="259" w:type="pct"/>
            <w:vAlign w:val="center"/>
          </w:tcPr>
          <w:p w14:paraId="3415E628">
            <w:pPr>
              <w:widowControl/>
              <w:spacing w:line="320" w:lineRule="exact"/>
              <w:ind w:firstLine="0" w:firstLineChars="0"/>
              <w:jc w:val="center"/>
              <w:rPr>
                <w:rFonts w:hint="eastAsia"/>
                <w:kern w:val="0"/>
                <w:sz w:val="24"/>
                <w:szCs w:val="24"/>
              </w:rPr>
            </w:pPr>
            <w:r>
              <w:rPr>
                <w:rFonts w:hint="eastAsia"/>
                <w:kern w:val="0"/>
                <w:sz w:val="24"/>
                <w:szCs w:val="24"/>
              </w:rPr>
              <w:t>8个</w:t>
            </w:r>
          </w:p>
        </w:tc>
        <w:tc>
          <w:tcPr>
            <w:tcW w:w="311" w:type="pct"/>
            <w:vAlign w:val="center"/>
          </w:tcPr>
          <w:p w14:paraId="472B5BE1">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6570AE4A">
            <w:pPr>
              <w:widowControl/>
              <w:spacing w:line="320" w:lineRule="exact"/>
              <w:ind w:firstLine="0" w:firstLineChars="0"/>
              <w:jc w:val="center"/>
              <w:rPr>
                <w:rFonts w:hint="eastAsia"/>
                <w:kern w:val="0"/>
                <w:sz w:val="24"/>
                <w:szCs w:val="24"/>
              </w:rPr>
            </w:pPr>
            <w:r>
              <w:rPr>
                <w:rFonts w:hint="eastAsia"/>
                <w:kern w:val="0"/>
                <w:sz w:val="24"/>
                <w:szCs w:val="24"/>
              </w:rPr>
              <w:t>8个</w:t>
            </w:r>
          </w:p>
        </w:tc>
        <w:tc>
          <w:tcPr>
            <w:tcW w:w="1784" w:type="pct"/>
            <w:vAlign w:val="center"/>
          </w:tcPr>
          <w:p w14:paraId="2EDB27C6">
            <w:pPr>
              <w:widowControl/>
              <w:spacing w:line="320" w:lineRule="exact"/>
              <w:ind w:firstLine="0" w:firstLineChars="0"/>
              <w:jc w:val="left"/>
              <w:rPr>
                <w:rFonts w:hint="eastAsia"/>
                <w:kern w:val="0"/>
                <w:sz w:val="24"/>
                <w:szCs w:val="24"/>
              </w:rPr>
            </w:pPr>
            <w:r>
              <w:rPr>
                <w:rFonts w:hint="eastAsia"/>
                <w:kern w:val="0"/>
                <w:sz w:val="24"/>
                <w:szCs w:val="24"/>
              </w:rPr>
              <w:t>按照“一年试点先行，三年全面铺开，五年巩固提升”总体思路，分阶段开展婴幼儿照护服务机构建设，市建成区共有社区106个，托育服务机构65家（8家为省级托育服务示范试点机构），覆盖率62.3%，具体工作如下。一是加大“托幼一体化”建设。根据省、市有关文件要求，有条件的幼儿园要向下延伸开设托班，在3-6岁适龄幼儿入园学位需求得到保障的前提下，可以采取改造设施和在现有人员中增加育婴人员资质等措施招收2至3岁幼儿。2023年市城区新增16家托育服务机构。二是加强业务指导。印发了《廊坊市成立婴幼儿照护服务指导中心工作方案》，6月28日，在市妇幼保健院举行廊坊市婴幼儿照护服务指导中心揭牌仪式。11个县（市、区）也均建立了县级婴幼照护服务指导中心并根据工作职能开展相关业务工作。三是强化宣传引导。按照省卫健委要求，从6月3日—30日，利用一个月的时间，以“普惠托育、共同行动”为主题集中开展托育服务宣传月活动。全市共开展各类宣传活动30余场，发放宣传资料8000余份，受益群众1万余人。四是注重婴幼儿安全。按照国家和省卫健委有关开展托育机构安全隐患专项排查整改工作的要求，进一步加强全市托育机构安全防范工作，利用2个月时间，在全市范围内开展托育机构安全隐患专项排查整改工作，进一步提升托育服务机构的规范化管理水平。五是开展业务培训。7月15日组织全市部分托育机构负责同志开展了以消防安全、食品卫生、科学育儿重点内容的培训。六是加强备案管理。严格按照《河北省托育机构登记和备案实施细则（试行）》要求，通过规范招生对象、经营范围、人员管理、食品安全等方面资质，进一步提升托育机构服务水平。目前，市城区65家托育机构全部在县级卫健部门备案。</w:t>
            </w:r>
          </w:p>
        </w:tc>
        <w:tc>
          <w:tcPr>
            <w:tcW w:w="1413" w:type="pct"/>
            <w:vAlign w:val="center"/>
          </w:tcPr>
          <w:p w14:paraId="28919712">
            <w:pPr>
              <w:widowControl/>
              <w:spacing w:line="320" w:lineRule="exact"/>
              <w:ind w:firstLine="0" w:firstLineChars="0"/>
              <w:jc w:val="left"/>
              <w:rPr>
                <w:rFonts w:hint="eastAsia"/>
                <w:kern w:val="0"/>
                <w:sz w:val="24"/>
                <w:szCs w:val="24"/>
              </w:rPr>
            </w:pPr>
            <w:r>
              <w:rPr>
                <w:rFonts w:hint="eastAsia"/>
                <w:kern w:val="0"/>
                <w:sz w:val="24"/>
                <w:szCs w:val="24"/>
              </w:rPr>
              <w:t>扎实推进婴幼儿照护服务机构建设。一是优先保障托育服务设施用地。支持利用低效土地或闲置土地建设婴幼儿照护服务机构和设施。按照常住人口每千人4.5个托位的要求，在新建住宅小区配套建设托育服务设施，与住宅同步规划、同步建设、同步验收，建成后无偿移交当地政府举办公办托育机构或普惠性托育机构。在老城区和已建成居住区改造工程中，通过购置、置换、租赁等方式配置托育服务设施。盘活闲置校舍、厂房等资源，发展普惠性托育服务。大力优化整合社区配套建设用房等公共空间，清理非必要、不合理用房，腾退资源优先用于发展社区托育服务。二是继续扩大“托幼一体化”建设。鼓励和支持有条件的幼儿园利用现有资源，向下延伸，开设托班，招收2至3岁幼儿。鼓励公办和民办幼儿园通过改扩建，增加托班资源供给。支持学前教育机构通过新建、改扩建等方式提供托育服务。三是鼓励用人单位提供托育服务。适龄婴幼儿达到20人及以上的国有企业、机关、事业单位，通过自建自营或委托第三方托育机构运营等方式，就近建设完善托育服务设施，开展单位福利性托育服务，为职工提供福利性婴幼儿照护服务，有条件的可以向附近居民开放。四是支持家庭小型化托育服务。支持符合条件的户主提供家庭小型化托育服务，支持隔代照料、家庭互助等照护模式。加强家庭托育点管理，按照国家和省相关工作部署，探索建立家庭托育点登记备案、信息公示、检查评估等制度，稳步推进家庭托育点管理制度化、规范化</w:t>
            </w:r>
          </w:p>
        </w:tc>
      </w:tr>
      <w:tr w14:paraId="2C7A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3B5CE80E">
            <w:pPr>
              <w:widowControl/>
              <w:spacing w:line="320" w:lineRule="exact"/>
              <w:ind w:firstLine="0" w:firstLineChars="0"/>
              <w:jc w:val="center"/>
              <w:rPr>
                <w:rFonts w:hint="eastAsia"/>
                <w:kern w:val="0"/>
                <w:sz w:val="24"/>
                <w:szCs w:val="24"/>
              </w:rPr>
            </w:pPr>
            <w:r>
              <w:rPr>
                <w:rFonts w:hint="eastAsia"/>
                <w:kern w:val="0"/>
                <w:sz w:val="24"/>
                <w:szCs w:val="24"/>
              </w:rPr>
              <w:t>市卫健委</w:t>
            </w:r>
          </w:p>
        </w:tc>
        <w:tc>
          <w:tcPr>
            <w:tcW w:w="211" w:type="pct"/>
            <w:vAlign w:val="center"/>
          </w:tcPr>
          <w:p w14:paraId="763F220C">
            <w:pPr>
              <w:widowControl/>
              <w:spacing w:line="320" w:lineRule="exact"/>
              <w:ind w:firstLine="0" w:firstLineChars="0"/>
              <w:jc w:val="center"/>
              <w:rPr>
                <w:rFonts w:hint="eastAsia"/>
                <w:kern w:val="0"/>
                <w:sz w:val="24"/>
                <w:szCs w:val="24"/>
              </w:rPr>
            </w:pPr>
            <w:r>
              <w:rPr>
                <w:rFonts w:hint="eastAsia"/>
                <w:kern w:val="0"/>
                <w:sz w:val="24"/>
                <w:szCs w:val="24"/>
              </w:rPr>
              <w:t>12</w:t>
            </w:r>
          </w:p>
        </w:tc>
        <w:tc>
          <w:tcPr>
            <w:tcW w:w="343" w:type="pct"/>
            <w:vAlign w:val="center"/>
          </w:tcPr>
          <w:p w14:paraId="6F0A12B4">
            <w:pPr>
              <w:widowControl/>
              <w:spacing w:line="320" w:lineRule="exact"/>
              <w:ind w:firstLine="0" w:firstLineChars="0"/>
              <w:jc w:val="center"/>
              <w:rPr>
                <w:rFonts w:hint="eastAsia"/>
                <w:kern w:val="0"/>
                <w:sz w:val="24"/>
                <w:szCs w:val="24"/>
              </w:rPr>
            </w:pPr>
            <w:r>
              <w:rPr>
                <w:rFonts w:hint="eastAsia"/>
                <w:kern w:val="0"/>
                <w:sz w:val="24"/>
                <w:szCs w:val="24"/>
              </w:rPr>
              <w:t>未达标配建的妇幼保健机构数量（个）★</w:t>
            </w:r>
          </w:p>
        </w:tc>
        <w:tc>
          <w:tcPr>
            <w:tcW w:w="259" w:type="pct"/>
            <w:vAlign w:val="center"/>
          </w:tcPr>
          <w:p w14:paraId="707C7667">
            <w:pPr>
              <w:widowControl/>
              <w:spacing w:line="320" w:lineRule="exact"/>
              <w:ind w:firstLine="0" w:firstLineChars="0"/>
              <w:jc w:val="center"/>
              <w:rPr>
                <w:rFonts w:hint="eastAsia"/>
                <w:kern w:val="0"/>
                <w:sz w:val="24"/>
                <w:szCs w:val="24"/>
              </w:rPr>
            </w:pPr>
            <w:r>
              <w:rPr>
                <w:rFonts w:hint="eastAsia"/>
                <w:kern w:val="0"/>
                <w:sz w:val="24"/>
                <w:szCs w:val="24"/>
              </w:rPr>
              <w:t>1个</w:t>
            </w:r>
          </w:p>
        </w:tc>
        <w:tc>
          <w:tcPr>
            <w:tcW w:w="311" w:type="pct"/>
            <w:vAlign w:val="center"/>
          </w:tcPr>
          <w:p w14:paraId="71D746B9">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6AC12A67">
            <w:pPr>
              <w:widowControl/>
              <w:spacing w:line="320" w:lineRule="exact"/>
              <w:ind w:firstLine="0" w:firstLineChars="0"/>
              <w:jc w:val="center"/>
              <w:rPr>
                <w:rFonts w:hint="eastAsia"/>
                <w:kern w:val="0"/>
                <w:sz w:val="24"/>
                <w:szCs w:val="24"/>
              </w:rPr>
            </w:pPr>
            <w:r>
              <w:rPr>
                <w:rFonts w:hint="eastAsia"/>
                <w:kern w:val="0"/>
                <w:sz w:val="24"/>
                <w:szCs w:val="24"/>
              </w:rPr>
              <w:t>1个</w:t>
            </w:r>
          </w:p>
        </w:tc>
        <w:tc>
          <w:tcPr>
            <w:tcW w:w="1784" w:type="pct"/>
            <w:vAlign w:val="center"/>
          </w:tcPr>
          <w:p w14:paraId="0F84B3B9">
            <w:pPr>
              <w:widowControl/>
              <w:spacing w:line="320" w:lineRule="exact"/>
              <w:ind w:firstLine="0" w:firstLineChars="0"/>
              <w:jc w:val="left"/>
              <w:rPr>
                <w:rFonts w:hint="eastAsia"/>
                <w:kern w:val="0"/>
                <w:sz w:val="24"/>
                <w:szCs w:val="24"/>
              </w:rPr>
            </w:pPr>
            <w:r>
              <w:rPr>
                <w:rFonts w:hint="eastAsia"/>
                <w:kern w:val="0"/>
                <w:sz w:val="24"/>
                <w:szCs w:val="24"/>
              </w:rPr>
              <w:t>妇幼保健机构数量提升工作情况。安次区妇幼保健所设置在廊坊市安次区医院，为廊坊市安次区医院的一个科室，编制属于廊坊市安次区医院，安次区妇幼保健所现有人员21人，卫生技术人员20人，目前没有开设临床业务。2023年9月份，安次区卫生健康局组织起草了安次区妇幼保健院建设方案，方案就项目建设的目的，建设依据，建设背景，建设地址和面积，项目规模，前期手续办理，项目工期进行了谋划测算。</w:t>
            </w:r>
          </w:p>
        </w:tc>
        <w:tc>
          <w:tcPr>
            <w:tcW w:w="1413" w:type="pct"/>
            <w:vAlign w:val="center"/>
          </w:tcPr>
          <w:p w14:paraId="70EF6ECF">
            <w:pPr>
              <w:widowControl/>
              <w:spacing w:line="320" w:lineRule="exact"/>
              <w:ind w:firstLine="0" w:firstLineChars="0"/>
              <w:jc w:val="left"/>
              <w:rPr>
                <w:rFonts w:hint="eastAsia"/>
                <w:kern w:val="0"/>
                <w:sz w:val="24"/>
                <w:szCs w:val="24"/>
              </w:rPr>
            </w:pPr>
            <w:r>
              <w:rPr>
                <w:rFonts w:hint="eastAsia"/>
                <w:kern w:val="0"/>
                <w:sz w:val="24"/>
                <w:szCs w:val="24"/>
              </w:rPr>
              <w:t>着力抓实妇幼保健机构数量提升。持续指导安次区卫生健康局按照《中国妇女发展纲要》《中国儿童发展纲要》要求，推进区妇幼保健机构单独设立。</w:t>
            </w:r>
          </w:p>
        </w:tc>
      </w:tr>
      <w:tr w14:paraId="6A307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04EEB176">
            <w:pPr>
              <w:widowControl/>
              <w:spacing w:line="320" w:lineRule="exact"/>
              <w:ind w:firstLine="0" w:firstLineChars="0"/>
              <w:jc w:val="center"/>
              <w:rPr>
                <w:rFonts w:hint="eastAsia"/>
                <w:kern w:val="0"/>
                <w:sz w:val="24"/>
                <w:szCs w:val="24"/>
              </w:rPr>
            </w:pPr>
            <w:r>
              <w:rPr>
                <w:rFonts w:hint="eastAsia"/>
                <w:kern w:val="0"/>
                <w:sz w:val="24"/>
                <w:szCs w:val="24"/>
              </w:rPr>
              <w:t>市社工部</w:t>
            </w:r>
          </w:p>
        </w:tc>
        <w:tc>
          <w:tcPr>
            <w:tcW w:w="211" w:type="pct"/>
            <w:vAlign w:val="center"/>
          </w:tcPr>
          <w:p w14:paraId="541AB8B5">
            <w:pPr>
              <w:widowControl/>
              <w:spacing w:line="320" w:lineRule="exact"/>
              <w:ind w:firstLine="0" w:firstLineChars="0"/>
              <w:jc w:val="center"/>
              <w:rPr>
                <w:rFonts w:hint="eastAsia"/>
                <w:kern w:val="0"/>
                <w:sz w:val="24"/>
                <w:szCs w:val="24"/>
              </w:rPr>
            </w:pPr>
            <w:r>
              <w:rPr>
                <w:rFonts w:hint="eastAsia"/>
                <w:kern w:val="0"/>
                <w:sz w:val="24"/>
                <w:szCs w:val="24"/>
              </w:rPr>
              <w:t>13</w:t>
            </w:r>
          </w:p>
        </w:tc>
        <w:tc>
          <w:tcPr>
            <w:tcW w:w="343" w:type="pct"/>
            <w:vAlign w:val="center"/>
          </w:tcPr>
          <w:p w14:paraId="202CE47A">
            <w:pPr>
              <w:widowControl/>
              <w:spacing w:line="320" w:lineRule="exact"/>
              <w:ind w:firstLine="0" w:firstLineChars="0"/>
              <w:jc w:val="center"/>
              <w:rPr>
                <w:rFonts w:hint="eastAsia"/>
                <w:kern w:val="0"/>
                <w:sz w:val="24"/>
                <w:szCs w:val="24"/>
              </w:rPr>
            </w:pPr>
            <w:r>
              <w:rPr>
                <w:rFonts w:hint="eastAsia"/>
                <w:kern w:val="0"/>
                <w:sz w:val="24"/>
                <w:szCs w:val="24"/>
              </w:rPr>
              <w:t>需要进行智慧化改造的小区数量（个）★</w:t>
            </w:r>
          </w:p>
        </w:tc>
        <w:tc>
          <w:tcPr>
            <w:tcW w:w="259" w:type="pct"/>
            <w:vAlign w:val="center"/>
          </w:tcPr>
          <w:p w14:paraId="7545E54C">
            <w:pPr>
              <w:widowControl/>
              <w:spacing w:line="320" w:lineRule="exact"/>
              <w:ind w:firstLine="0" w:firstLineChars="0"/>
              <w:jc w:val="center"/>
              <w:rPr>
                <w:rFonts w:hint="eastAsia"/>
                <w:kern w:val="0"/>
                <w:sz w:val="24"/>
                <w:szCs w:val="24"/>
              </w:rPr>
            </w:pPr>
            <w:r>
              <w:rPr>
                <w:rFonts w:hint="eastAsia"/>
                <w:kern w:val="0"/>
                <w:sz w:val="24"/>
                <w:szCs w:val="24"/>
              </w:rPr>
              <w:t>76个</w:t>
            </w:r>
          </w:p>
        </w:tc>
        <w:tc>
          <w:tcPr>
            <w:tcW w:w="311" w:type="pct"/>
            <w:vAlign w:val="center"/>
          </w:tcPr>
          <w:p w14:paraId="157A91AB">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89" w:type="pct"/>
            <w:vAlign w:val="center"/>
          </w:tcPr>
          <w:p w14:paraId="1A3306BE">
            <w:pPr>
              <w:widowControl/>
              <w:spacing w:line="320" w:lineRule="exact"/>
              <w:ind w:firstLine="0" w:firstLineChars="0"/>
              <w:jc w:val="center"/>
              <w:rPr>
                <w:rFonts w:hint="eastAsia"/>
                <w:kern w:val="0"/>
                <w:sz w:val="24"/>
                <w:szCs w:val="24"/>
              </w:rPr>
            </w:pPr>
            <w:r>
              <w:rPr>
                <w:rFonts w:hint="eastAsia"/>
                <w:kern w:val="0"/>
                <w:sz w:val="24"/>
                <w:szCs w:val="24"/>
              </w:rPr>
              <w:t>76个</w:t>
            </w:r>
          </w:p>
        </w:tc>
        <w:tc>
          <w:tcPr>
            <w:tcW w:w="1784" w:type="pct"/>
            <w:vAlign w:val="center"/>
          </w:tcPr>
          <w:p w14:paraId="329674A6">
            <w:pPr>
              <w:widowControl/>
              <w:spacing w:line="320" w:lineRule="exact"/>
              <w:ind w:firstLine="0" w:firstLineChars="0"/>
              <w:jc w:val="left"/>
              <w:rPr>
                <w:rFonts w:hint="eastAsia"/>
                <w:kern w:val="0"/>
                <w:sz w:val="24"/>
                <w:szCs w:val="24"/>
              </w:rPr>
            </w:pPr>
            <w:r>
              <w:rPr>
                <w:rFonts w:hint="eastAsia"/>
                <w:kern w:val="0"/>
                <w:sz w:val="24"/>
                <w:szCs w:val="24"/>
              </w:rPr>
              <w:t>对照城市体检发现的问题，我局立足部门职能，认真做好城市体检成果转化应用，积极推进智慧社区建设。2023年制定印发了《廊坊市人民政府办公室关于印发廊坊市城乡社区服务体系建设“十四五”规划的通知》，对“十四五”时期我市智慧社区建设进行了专门安排部署；联合市委政法委、市委网信办等11部门印发了《关于贯彻落实河北省民政厅等十部门〈关于深入推进智慧社区建设的实施意见〉的通知》，结合我市实际，提出了推进智慧社区建设的具体措施，持续完善智慧社区建设政策体系。为加快构建共建共治共享的社会治理格局，我市各县（市、区）民政部门结合当地实际情况，因地制宜，会同相关部门积极整合各方资源，探索推进智慧社区建设。</w:t>
            </w:r>
          </w:p>
        </w:tc>
        <w:tc>
          <w:tcPr>
            <w:tcW w:w="1413" w:type="pct"/>
            <w:vAlign w:val="center"/>
          </w:tcPr>
          <w:p w14:paraId="5105E509">
            <w:pPr>
              <w:widowControl/>
              <w:spacing w:line="320" w:lineRule="exact"/>
              <w:ind w:firstLine="0" w:firstLineChars="0"/>
              <w:jc w:val="left"/>
              <w:rPr>
                <w:rFonts w:hint="eastAsia"/>
                <w:kern w:val="0"/>
                <w:sz w:val="24"/>
                <w:szCs w:val="24"/>
              </w:rPr>
            </w:pPr>
            <w:r>
              <w:rPr>
                <w:rFonts w:hint="eastAsia"/>
                <w:kern w:val="0"/>
                <w:sz w:val="24"/>
                <w:szCs w:val="24"/>
              </w:rPr>
              <w:t>下一步，我局将结合廊坊实际情况，继续探索推进智慧社区建设，努力构建网格化管理、精细化服务、信息化支撑、开放共享的智慧社区服务平台，不断提升城乡社区治理服务智慧化、智能化水平，让广大居民的获得感、幸福感、安全感更加充实、更有保障、更可持续。</w:t>
            </w:r>
          </w:p>
        </w:tc>
      </w:tr>
      <w:tr w14:paraId="5A489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5" w:hRule="atLeast"/>
        </w:trPr>
        <w:tc>
          <w:tcPr>
            <w:tcW w:w="288" w:type="pct"/>
            <w:vAlign w:val="center"/>
          </w:tcPr>
          <w:p w14:paraId="605A56DD">
            <w:pPr>
              <w:widowControl/>
              <w:spacing w:line="320" w:lineRule="exact"/>
              <w:ind w:firstLine="0" w:firstLineChars="0"/>
              <w:jc w:val="center"/>
              <w:rPr>
                <w:rFonts w:hint="eastAsia"/>
                <w:kern w:val="0"/>
                <w:sz w:val="24"/>
                <w:szCs w:val="24"/>
              </w:rPr>
            </w:pPr>
            <w:r>
              <w:rPr>
                <w:rFonts w:hint="eastAsia"/>
                <w:kern w:val="0"/>
                <w:sz w:val="24"/>
                <w:szCs w:val="24"/>
              </w:rPr>
              <w:t>市生态环境局</w:t>
            </w:r>
          </w:p>
        </w:tc>
        <w:tc>
          <w:tcPr>
            <w:tcW w:w="211" w:type="pct"/>
            <w:vAlign w:val="center"/>
          </w:tcPr>
          <w:p w14:paraId="04C34CFB">
            <w:pPr>
              <w:widowControl/>
              <w:spacing w:line="320" w:lineRule="exact"/>
              <w:ind w:firstLine="0" w:firstLineChars="0"/>
              <w:jc w:val="center"/>
              <w:rPr>
                <w:rFonts w:hint="eastAsia"/>
                <w:kern w:val="0"/>
                <w:sz w:val="24"/>
                <w:szCs w:val="24"/>
              </w:rPr>
            </w:pPr>
            <w:r>
              <w:rPr>
                <w:rFonts w:hint="eastAsia"/>
                <w:kern w:val="0"/>
                <w:sz w:val="24"/>
                <w:szCs w:val="24"/>
              </w:rPr>
              <w:t>14</w:t>
            </w:r>
          </w:p>
        </w:tc>
        <w:tc>
          <w:tcPr>
            <w:tcW w:w="343" w:type="pct"/>
            <w:vAlign w:val="center"/>
          </w:tcPr>
          <w:p w14:paraId="536CF3DA">
            <w:pPr>
              <w:widowControl/>
              <w:spacing w:line="320" w:lineRule="exact"/>
              <w:ind w:firstLine="0" w:firstLineChars="0"/>
              <w:jc w:val="center"/>
              <w:rPr>
                <w:rFonts w:hint="eastAsia"/>
                <w:kern w:val="0"/>
                <w:sz w:val="24"/>
                <w:szCs w:val="24"/>
              </w:rPr>
            </w:pPr>
            <w:r>
              <w:rPr>
                <w:rFonts w:hint="eastAsia"/>
                <w:kern w:val="0"/>
                <w:sz w:val="24"/>
                <w:szCs w:val="24"/>
              </w:rPr>
              <w:t>空气质量优良天数（天）</w:t>
            </w:r>
          </w:p>
        </w:tc>
        <w:tc>
          <w:tcPr>
            <w:tcW w:w="259" w:type="pct"/>
            <w:vAlign w:val="center"/>
          </w:tcPr>
          <w:p w14:paraId="15D3D4A7">
            <w:pPr>
              <w:widowControl/>
              <w:spacing w:line="320" w:lineRule="exact"/>
              <w:ind w:firstLine="0" w:firstLineChars="0"/>
              <w:jc w:val="center"/>
              <w:rPr>
                <w:rFonts w:hint="eastAsia"/>
                <w:kern w:val="0"/>
                <w:sz w:val="24"/>
                <w:szCs w:val="24"/>
              </w:rPr>
            </w:pPr>
            <w:r>
              <w:rPr>
                <w:rFonts w:hint="eastAsia"/>
                <w:kern w:val="0"/>
                <w:sz w:val="24"/>
                <w:szCs w:val="24"/>
              </w:rPr>
              <w:t>265天</w:t>
            </w:r>
          </w:p>
        </w:tc>
        <w:tc>
          <w:tcPr>
            <w:tcW w:w="311" w:type="pct"/>
            <w:vAlign w:val="center"/>
          </w:tcPr>
          <w:p w14:paraId="7A91D811">
            <w:pPr>
              <w:widowControl/>
              <w:spacing w:line="320" w:lineRule="exact"/>
              <w:ind w:firstLine="0" w:firstLineChars="0"/>
              <w:jc w:val="center"/>
              <w:rPr>
                <w:rFonts w:hint="eastAsia"/>
                <w:kern w:val="0"/>
                <w:sz w:val="24"/>
                <w:szCs w:val="24"/>
              </w:rPr>
            </w:pPr>
            <w:r>
              <w:rPr>
                <w:rFonts w:hint="eastAsia"/>
                <w:kern w:val="0"/>
                <w:sz w:val="24"/>
                <w:szCs w:val="24"/>
              </w:rPr>
              <w:t>空气质量优良天数比率应≥75%</w:t>
            </w:r>
          </w:p>
        </w:tc>
        <w:tc>
          <w:tcPr>
            <w:tcW w:w="389" w:type="pct"/>
            <w:vAlign w:val="center"/>
          </w:tcPr>
          <w:p w14:paraId="481AF65E">
            <w:pPr>
              <w:widowControl/>
              <w:spacing w:line="320" w:lineRule="exact"/>
              <w:ind w:firstLine="0" w:firstLineChars="0"/>
              <w:jc w:val="center"/>
              <w:rPr>
                <w:rFonts w:hint="eastAsia"/>
                <w:kern w:val="0"/>
                <w:sz w:val="24"/>
                <w:szCs w:val="24"/>
              </w:rPr>
            </w:pPr>
            <w:r>
              <w:rPr>
                <w:rFonts w:hint="eastAsia"/>
                <w:kern w:val="0"/>
                <w:sz w:val="24"/>
                <w:szCs w:val="24"/>
              </w:rPr>
              <w:t>9天</w:t>
            </w:r>
          </w:p>
        </w:tc>
        <w:tc>
          <w:tcPr>
            <w:tcW w:w="1784" w:type="pct"/>
            <w:vAlign w:val="center"/>
          </w:tcPr>
          <w:p w14:paraId="4D6A4718">
            <w:pPr>
              <w:widowControl/>
              <w:spacing w:line="320" w:lineRule="exact"/>
              <w:ind w:firstLine="0" w:firstLineChars="0"/>
              <w:jc w:val="left"/>
              <w:rPr>
                <w:rFonts w:hint="eastAsia"/>
                <w:kern w:val="0"/>
                <w:sz w:val="24"/>
                <w:szCs w:val="24"/>
              </w:rPr>
            </w:pPr>
            <w:r>
              <w:rPr>
                <w:rFonts w:hint="eastAsia"/>
                <w:kern w:val="0"/>
                <w:sz w:val="24"/>
                <w:szCs w:val="24"/>
              </w:rPr>
              <w:t>市生态环境局：1、2023年空气质量状况。2023年，全市空气质量综合指数4.64，在全省8个传输通道城市中正排第2名，在全省正排第5名。PM2.5浓度40微克/立方米，在全省8个传输通道城市中正排第1名，在全省正排第4名</w:t>
            </w:r>
            <w:bookmarkStart w:id="65" w:name="_Hlk154671650"/>
            <w:r>
              <w:rPr>
                <w:rFonts w:hint="eastAsia"/>
                <w:kern w:val="0"/>
                <w:sz w:val="24"/>
                <w:szCs w:val="24"/>
              </w:rPr>
              <w:t>。优良天数239天，在全省8个传输通道城市中正排第2名，在全省正排第5名。</w:t>
            </w:r>
            <w:bookmarkEnd w:id="65"/>
          </w:p>
          <w:p w14:paraId="0136407C">
            <w:pPr>
              <w:widowControl/>
              <w:spacing w:line="320" w:lineRule="exact"/>
              <w:ind w:firstLine="0" w:firstLineChars="0"/>
              <w:jc w:val="left"/>
              <w:rPr>
                <w:rFonts w:hint="eastAsia"/>
                <w:kern w:val="0"/>
                <w:sz w:val="24"/>
                <w:szCs w:val="24"/>
              </w:rPr>
            </w:pPr>
            <w:r>
              <w:rPr>
                <w:rFonts w:hint="eastAsia"/>
                <w:kern w:val="0"/>
                <w:sz w:val="24"/>
                <w:szCs w:val="24"/>
              </w:rPr>
              <w:t>2、工作开展情况。一是持续加大大气污染防治工作统筹调度力度，通过调研、会议、24小时值班值守等多种方式，全天候调度大气污染防治工作。二是大力巩固重点行业深度治理成果，全面推进工业炉窑综合整治，强力实施涉VOCs行业企业深度治理，切实降低工业企业污染物排放。持续巩固清洁取暖替代成果，强化机动车常态化治理，扎实开展路检路查、入户抽查、遥感监测等任务。严格落实“六个百分百”和“两个全覆盖”要求，加强建筑施工和城乡裸露地面扬尘管控，持续严控道路扬尘污染。三是建立秸秆禁烧长效机制，严厉打击焚烧秸秆、垃圾、树叶杂草等露天焚烧行为，充分发挥秸秆禁烧红外视频监控和报警系统等大数据平台作用，严格落实24小时值守制度，有效控制露天焚烧现象。四是积极做好重污染天气过程应对工作，按照部省相关要求，我市及时启动重污染天气橙色预警，有效应对了重污染天气，减轻了污染程度。同时，在应急响应期间，严格按照应急减排清单，分类施策、分级管控，对绩效分级为A级和引领性的企业，采取自主应急减排措施。但由于京津冀地区气象条件整体偏差，北京、天津和河北中部地区不利气象条件多发，第一，四季度共经历了10轮污染过程，二、三季度受厄尔尼诺偏暖气候影响导致臭氧超标天数异常偏多，优良天数大幅减少。且2023年沙尘天气多发，拉高了颗粒物浓度，进一步导致我市优良天数同比减少。</w:t>
            </w:r>
          </w:p>
        </w:tc>
        <w:tc>
          <w:tcPr>
            <w:tcW w:w="1413" w:type="pct"/>
            <w:vAlign w:val="center"/>
          </w:tcPr>
          <w:p w14:paraId="19548394">
            <w:pPr>
              <w:widowControl/>
              <w:spacing w:line="320" w:lineRule="exact"/>
              <w:ind w:firstLine="0" w:firstLineChars="0"/>
              <w:jc w:val="left"/>
              <w:rPr>
                <w:rFonts w:hint="eastAsia"/>
                <w:kern w:val="0"/>
                <w:sz w:val="24"/>
                <w:szCs w:val="24"/>
              </w:rPr>
            </w:pPr>
            <w:r>
              <w:rPr>
                <w:rFonts w:hint="eastAsia"/>
                <w:kern w:val="0"/>
                <w:sz w:val="24"/>
                <w:szCs w:val="24"/>
              </w:rPr>
              <w:t>在接下来工作中，聚焦“十四五”深入打好大气污染防治攻坚战、基本消除重污染天气的目标要求，以改善空气质量为核心，以降低污染物浓度为主线，大力推动氮氧化物和VOCs协同减排，统筹推进重点区域、重点领域、重点时段污染防治，全面推进重点行业工业炉窑综合整治，持续抓好全域控尘，做好各类涉VOCs企业达标排放管控，进一步加强柴油货车入户检查，持续巩固成品油市场整治成果和散煤清零成果，严控露天焚烧，全力消除污染高值，推动我市空气质量持续改善。</w:t>
            </w:r>
          </w:p>
        </w:tc>
      </w:tr>
      <w:tr w14:paraId="59730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2DD16ACE">
            <w:pPr>
              <w:widowControl/>
              <w:spacing w:line="320" w:lineRule="exact"/>
              <w:ind w:firstLine="0" w:firstLineChars="0"/>
              <w:jc w:val="center"/>
              <w:rPr>
                <w:rFonts w:hint="eastAsia"/>
                <w:kern w:val="0"/>
                <w:sz w:val="24"/>
                <w:szCs w:val="24"/>
              </w:rPr>
            </w:pPr>
            <w:r>
              <w:rPr>
                <w:rFonts w:hint="eastAsia"/>
                <w:kern w:val="0"/>
                <w:sz w:val="24"/>
                <w:szCs w:val="24"/>
              </w:rPr>
              <w:t>市燃气热力服务中心</w:t>
            </w:r>
          </w:p>
        </w:tc>
        <w:tc>
          <w:tcPr>
            <w:tcW w:w="211" w:type="pct"/>
            <w:vAlign w:val="center"/>
          </w:tcPr>
          <w:p w14:paraId="55FB2505">
            <w:pPr>
              <w:widowControl/>
              <w:spacing w:line="320" w:lineRule="exact"/>
              <w:ind w:firstLine="0" w:firstLineChars="0"/>
              <w:jc w:val="center"/>
              <w:rPr>
                <w:rFonts w:hint="eastAsia"/>
                <w:kern w:val="0"/>
                <w:sz w:val="24"/>
                <w:szCs w:val="24"/>
              </w:rPr>
            </w:pPr>
            <w:r>
              <w:rPr>
                <w:rFonts w:hint="eastAsia"/>
                <w:kern w:val="0"/>
                <w:sz w:val="24"/>
                <w:szCs w:val="24"/>
              </w:rPr>
              <w:t>15</w:t>
            </w:r>
          </w:p>
        </w:tc>
        <w:tc>
          <w:tcPr>
            <w:tcW w:w="343" w:type="pct"/>
            <w:vAlign w:val="center"/>
          </w:tcPr>
          <w:p w14:paraId="1EC815E6">
            <w:pPr>
              <w:widowControl/>
              <w:spacing w:line="320" w:lineRule="exact"/>
              <w:ind w:firstLine="0" w:firstLineChars="0"/>
              <w:jc w:val="center"/>
              <w:rPr>
                <w:rFonts w:hint="eastAsia"/>
                <w:kern w:val="0"/>
                <w:sz w:val="24"/>
                <w:szCs w:val="24"/>
              </w:rPr>
            </w:pPr>
            <w:r>
              <w:rPr>
                <w:rFonts w:hint="eastAsia"/>
                <w:kern w:val="0"/>
                <w:sz w:val="24"/>
                <w:szCs w:val="24"/>
              </w:rPr>
              <w:t>热电联产供热占比（%）</w:t>
            </w:r>
          </w:p>
        </w:tc>
        <w:tc>
          <w:tcPr>
            <w:tcW w:w="259" w:type="pct"/>
            <w:vAlign w:val="center"/>
          </w:tcPr>
          <w:p w14:paraId="7CFCCD4D">
            <w:pPr>
              <w:widowControl/>
              <w:spacing w:line="320" w:lineRule="exact"/>
              <w:ind w:firstLine="0" w:firstLineChars="0"/>
              <w:jc w:val="center"/>
              <w:rPr>
                <w:rFonts w:hint="eastAsia"/>
                <w:kern w:val="0"/>
                <w:sz w:val="24"/>
                <w:szCs w:val="24"/>
              </w:rPr>
            </w:pPr>
            <w:r>
              <w:rPr>
                <w:rFonts w:hint="eastAsia"/>
                <w:kern w:val="0"/>
                <w:sz w:val="24"/>
                <w:szCs w:val="24"/>
              </w:rPr>
              <w:t>44.88%</w:t>
            </w:r>
          </w:p>
        </w:tc>
        <w:tc>
          <w:tcPr>
            <w:tcW w:w="311" w:type="pct"/>
            <w:vAlign w:val="center"/>
          </w:tcPr>
          <w:p w14:paraId="095CFE62">
            <w:pPr>
              <w:widowControl/>
              <w:spacing w:line="320" w:lineRule="exact"/>
              <w:ind w:firstLine="0" w:firstLineChars="0"/>
              <w:jc w:val="center"/>
              <w:rPr>
                <w:rFonts w:hint="eastAsia"/>
                <w:kern w:val="0"/>
                <w:sz w:val="24"/>
                <w:szCs w:val="24"/>
              </w:rPr>
            </w:pPr>
            <w:r>
              <w:rPr>
                <w:rFonts w:hint="eastAsia"/>
                <w:kern w:val="0"/>
                <w:sz w:val="24"/>
                <w:szCs w:val="24"/>
              </w:rPr>
              <w:t>-</w:t>
            </w:r>
          </w:p>
        </w:tc>
        <w:tc>
          <w:tcPr>
            <w:tcW w:w="389" w:type="pct"/>
            <w:vAlign w:val="center"/>
          </w:tcPr>
          <w:p w14:paraId="4F97AF5F">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092FAB14">
            <w:pPr>
              <w:widowControl/>
              <w:spacing w:line="320" w:lineRule="exact"/>
              <w:ind w:firstLine="0" w:firstLineChars="0"/>
              <w:jc w:val="left"/>
              <w:rPr>
                <w:rFonts w:hint="eastAsia"/>
                <w:kern w:val="0"/>
                <w:sz w:val="24"/>
                <w:szCs w:val="24"/>
              </w:rPr>
            </w:pPr>
            <w:r>
              <w:rPr>
                <w:rFonts w:hint="eastAsia"/>
                <w:kern w:val="0"/>
                <w:sz w:val="24"/>
                <w:szCs w:val="24"/>
              </w:rPr>
              <w:t>工作落实情况。我市积极推进廊坊热电厂二期项目及环城热网配套设施建设，对热电厂15公里范围内燃煤、燃气锅炉实施并网替代工程，实现以锅炉房供热为主、热电厂余热供热为辅的保障模式，根据天气变化及热电厂热量供应情况适时启动调峰备用热源保障供暖。2023年，廊坊热电厂二期项目实现形象开工，新建热电厂二期项目配套主管网11.86公里；《廊坊市区环城热网配套管网规划方案》已经市国土空间规划2023年第4次专题会议审议通过，现已按流程组织实施。截至目前，市区热电联产管网接带范围内总入网面积已达到2586.62万平方米，占市区总集中供热面积的52.78%。</w:t>
            </w:r>
          </w:p>
        </w:tc>
        <w:tc>
          <w:tcPr>
            <w:tcW w:w="1413" w:type="pct"/>
            <w:vAlign w:val="center"/>
          </w:tcPr>
          <w:p w14:paraId="04C2D066">
            <w:pPr>
              <w:widowControl/>
              <w:spacing w:line="320" w:lineRule="exact"/>
              <w:ind w:firstLine="0" w:firstLineChars="0"/>
              <w:jc w:val="left"/>
              <w:rPr>
                <w:rFonts w:hint="eastAsia"/>
                <w:kern w:val="0"/>
                <w:sz w:val="24"/>
                <w:szCs w:val="24"/>
              </w:rPr>
            </w:pPr>
            <w:r>
              <w:rPr>
                <w:rFonts w:hint="eastAsia"/>
                <w:kern w:val="0"/>
                <w:sz w:val="24"/>
                <w:szCs w:val="24"/>
              </w:rPr>
              <w:t>2024年度工作谋划。按照市政府工作部署，加快推进廊坊热电厂二期项目、环城供热主管网建设项目以及市区支线管网等设施建设项目，逐步推动市区供热能源结构优化整合、热电联产供热占比不断提高。</w:t>
            </w:r>
          </w:p>
          <w:p w14:paraId="40C17A06">
            <w:pPr>
              <w:widowControl/>
              <w:spacing w:line="320" w:lineRule="exact"/>
              <w:ind w:firstLine="0" w:firstLineChars="0"/>
              <w:jc w:val="left"/>
              <w:rPr>
                <w:rFonts w:hint="eastAsia"/>
                <w:kern w:val="0"/>
                <w:sz w:val="24"/>
                <w:szCs w:val="24"/>
              </w:rPr>
            </w:pPr>
          </w:p>
        </w:tc>
      </w:tr>
      <w:tr w14:paraId="6CE28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2E1420AA">
            <w:pPr>
              <w:widowControl/>
              <w:spacing w:line="320" w:lineRule="exact"/>
              <w:ind w:firstLine="0" w:firstLineChars="0"/>
              <w:jc w:val="center"/>
              <w:rPr>
                <w:rFonts w:hint="eastAsia"/>
                <w:kern w:val="0"/>
                <w:sz w:val="24"/>
                <w:szCs w:val="24"/>
              </w:rPr>
            </w:pPr>
            <w:r>
              <w:rPr>
                <w:rFonts w:hint="eastAsia"/>
                <w:kern w:val="0"/>
                <w:sz w:val="24"/>
                <w:szCs w:val="24"/>
              </w:rPr>
              <w:t>市燃气热力服务中心</w:t>
            </w:r>
          </w:p>
        </w:tc>
        <w:tc>
          <w:tcPr>
            <w:tcW w:w="211" w:type="pct"/>
            <w:vAlign w:val="center"/>
          </w:tcPr>
          <w:p w14:paraId="5535D82C">
            <w:pPr>
              <w:widowControl/>
              <w:spacing w:line="320" w:lineRule="exact"/>
              <w:ind w:firstLine="0" w:firstLineChars="0"/>
              <w:jc w:val="center"/>
              <w:rPr>
                <w:rFonts w:hint="eastAsia"/>
                <w:kern w:val="0"/>
                <w:sz w:val="24"/>
                <w:szCs w:val="24"/>
              </w:rPr>
            </w:pPr>
            <w:r>
              <w:rPr>
                <w:rFonts w:hint="eastAsia"/>
                <w:kern w:val="0"/>
                <w:sz w:val="24"/>
                <w:szCs w:val="24"/>
              </w:rPr>
              <w:t>16</w:t>
            </w:r>
          </w:p>
        </w:tc>
        <w:tc>
          <w:tcPr>
            <w:tcW w:w="343" w:type="pct"/>
            <w:vAlign w:val="center"/>
          </w:tcPr>
          <w:p w14:paraId="0DB2F597">
            <w:pPr>
              <w:widowControl/>
              <w:spacing w:line="320" w:lineRule="exact"/>
              <w:ind w:firstLine="0" w:firstLineChars="0"/>
              <w:jc w:val="center"/>
              <w:rPr>
                <w:rFonts w:hint="eastAsia"/>
                <w:kern w:val="0"/>
                <w:sz w:val="24"/>
                <w:szCs w:val="24"/>
              </w:rPr>
            </w:pPr>
            <w:r>
              <w:rPr>
                <w:rFonts w:hint="eastAsia"/>
                <w:kern w:val="0"/>
                <w:sz w:val="24"/>
                <w:szCs w:val="24"/>
              </w:rPr>
              <w:t>市政管网管线智能化监测管理率（%）</w:t>
            </w:r>
          </w:p>
        </w:tc>
        <w:tc>
          <w:tcPr>
            <w:tcW w:w="259" w:type="pct"/>
            <w:vAlign w:val="center"/>
          </w:tcPr>
          <w:p w14:paraId="25846106">
            <w:pPr>
              <w:widowControl/>
              <w:spacing w:line="320" w:lineRule="exact"/>
              <w:ind w:firstLine="0" w:firstLineChars="0"/>
              <w:jc w:val="center"/>
              <w:rPr>
                <w:rFonts w:hint="eastAsia"/>
                <w:kern w:val="0"/>
                <w:sz w:val="24"/>
                <w:szCs w:val="24"/>
              </w:rPr>
            </w:pPr>
            <w:r>
              <w:rPr>
                <w:rFonts w:hint="eastAsia"/>
                <w:kern w:val="0"/>
                <w:sz w:val="24"/>
                <w:szCs w:val="24"/>
              </w:rPr>
              <w:t>100%</w:t>
            </w:r>
          </w:p>
        </w:tc>
        <w:tc>
          <w:tcPr>
            <w:tcW w:w="311" w:type="pct"/>
            <w:vAlign w:val="center"/>
          </w:tcPr>
          <w:p w14:paraId="628ADB60">
            <w:pPr>
              <w:widowControl/>
              <w:spacing w:line="320" w:lineRule="exact"/>
              <w:ind w:firstLine="0" w:firstLineChars="0"/>
              <w:jc w:val="center"/>
              <w:rPr>
                <w:rFonts w:hint="eastAsia"/>
                <w:kern w:val="0"/>
                <w:sz w:val="24"/>
                <w:szCs w:val="24"/>
              </w:rPr>
            </w:pPr>
            <w:r>
              <w:rPr>
                <w:rFonts w:hint="eastAsia"/>
                <w:kern w:val="0"/>
                <w:sz w:val="24"/>
                <w:szCs w:val="24"/>
              </w:rPr>
              <w:t>≥90%</w:t>
            </w:r>
          </w:p>
        </w:tc>
        <w:tc>
          <w:tcPr>
            <w:tcW w:w="389" w:type="pct"/>
            <w:vAlign w:val="center"/>
          </w:tcPr>
          <w:p w14:paraId="040ED48F">
            <w:pPr>
              <w:widowControl/>
              <w:spacing w:line="320" w:lineRule="exact"/>
              <w:ind w:firstLine="0" w:firstLineChars="0"/>
              <w:jc w:val="center"/>
              <w:rPr>
                <w:rFonts w:hint="eastAsia"/>
                <w:kern w:val="0"/>
                <w:sz w:val="24"/>
                <w:szCs w:val="24"/>
              </w:rPr>
            </w:pPr>
            <w:r>
              <w:rPr>
                <w:rFonts w:hint="eastAsia"/>
                <w:kern w:val="0"/>
                <w:sz w:val="24"/>
                <w:szCs w:val="24"/>
              </w:rPr>
              <w:t>已达标</w:t>
            </w:r>
          </w:p>
        </w:tc>
        <w:tc>
          <w:tcPr>
            <w:tcW w:w="1784" w:type="pct"/>
            <w:vAlign w:val="center"/>
          </w:tcPr>
          <w:p w14:paraId="47FD2DE4">
            <w:pPr>
              <w:widowControl/>
              <w:spacing w:line="320" w:lineRule="exact"/>
              <w:ind w:firstLine="0" w:firstLineChars="0"/>
              <w:jc w:val="left"/>
              <w:rPr>
                <w:rFonts w:hint="eastAsia"/>
                <w:kern w:val="0"/>
                <w:sz w:val="24"/>
                <w:szCs w:val="24"/>
              </w:rPr>
            </w:pPr>
            <w:r>
              <w:rPr>
                <w:rFonts w:hint="eastAsia"/>
                <w:kern w:val="0"/>
                <w:sz w:val="24"/>
                <w:szCs w:val="24"/>
              </w:rPr>
              <w:t>市区供热主管网不存在监测监控设备安装率低的问题。</w:t>
            </w:r>
          </w:p>
          <w:p w14:paraId="56D669A8">
            <w:pPr>
              <w:widowControl/>
              <w:spacing w:line="320" w:lineRule="exact"/>
              <w:ind w:firstLine="0" w:firstLineChars="0"/>
              <w:jc w:val="left"/>
              <w:rPr>
                <w:rFonts w:hint="eastAsia"/>
                <w:kern w:val="0"/>
                <w:sz w:val="24"/>
                <w:szCs w:val="24"/>
              </w:rPr>
            </w:pPr>
            <w:r>
              <w:rPr>
                <w:rFonts w:hint="eastAsia"/>
                <w:kern w:val="0"/>
                <w:sz w:val="24"/>
                <w:szCs w:val="24"/>
              </w:rPr>
              <w:t>通过对热源及换热站端的供回水温度、压力、流量等监测装置，来实现对供热一次管网的在线监测。采暖季期间，通过供热监管信息平台，可实现在GIS地图上显示供热企业的热源、换热站、一次管网分布情况以及实时运行参数。目前，市区供热一次网智能化监测管理率为100%。</w:t>
            </w:r>
          </w:p>
        </w:tc>
        <w:tc>
          <w:tcPr>
            <w:tcW w:w="1413" w:type="pct"/>
            <w:vAlign w:val="center"/>
          </w:tcPr>
          <w:p w14:paraId="7AA02619">
            <w:pPr>
              <w:widowControl/>
              <w:spacing w:line="320" w:lineRule="exact"/>
              <w:ind w:firstLine="0" w:firstLineChars="0"/>
              <w:jc w:val="left"/>
              <w:rPr>
                <w:rFonts w:hint="eastAsia"/>
                <w:kern w:val="0"/>
                <w:sz w:val="24"/>
                <w:szCs w:val="24"/>
              </w:rPr>
            </w:pPr>
            <w:r>
              <w:rPr>
                <w:rFonts w:hint="eastAsia"/>
                <w:kern w:val="0"/>
                <w:sz w:val="24"/>
                <w:szCs w:val="24"/>
              </w:rPr>
              <w:t>-</w:t>
            </w:r>
          </w:p>
        </w:tc>
      </w:tr>
      <w:tr w14:paraId="6157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492DC875">
            <w:pPr>
              <w:widowControl/>
              <w:spacing w:line="320" w:lineRule="exact"/>
              <w:ind w:firstLine="0" w:firstLineChars="0"/>
              <w:jc w:val="center"/>
              <w:rPr>
                <w:rFonts w:hint="eastAsia"/>
                <w:kern w:val="0"/>
                <w:sz w:val="24"/>
                <w:szCs w:val="24"/>
              </w:rPr>
            </w:pPr>
            <w:r>
              <w:rPr>
                <w:rFonts w:hint="eastAsia"/>
                <w:kern w:val="0"/>
                <w:sz w:val="24"/>
                <w:szCs w:val="24"/>
              </w:rPr>
              <w:t>市园林中心</w:t>
            </w:r>
          </w:p>
        </w:tc>
        <w:tc>
          <w:tcPr>
            <w:tcW w:w="211" w:type="pct"/>
            <w:vAlign w:val="center"/>
          </w:tcPr>
          <w:p w14:paraId="7C700F49">
            <w:pPr>
              <w:widowControl/>
              <w:spacing w:line="320" w:lineRule="exact"/>
              <w:ind w:firstLine="0" w:firstLineChars="0"/>
              <w:jc w:val="center"/>
              <w:rPr>
                <w:rFonts w:hint="eastAsia"/>
                <w:kern w:val="0"/>
                <w:sz w:val="24"/>
                <w:szCs w:val="24"/>
              </w:rPr>
            </w:pPr>
            <w:r>
              <w:rPr>
                <w:rFonts w:hint="eastAsia"/>
                <w:kern w:val="0"/>
                <w:sz w:val="24"/>
                <w:szCs w:val="24"/>
              </w:rPr>
              <w:t>17</w:t>
            </w:r>
          </w:p>
        </w:tc>
        <w:tc>
          <w:tcPr>
            <w:tcW w:w="343" w:type="pct"/>
            <w:vAlign w:val="center"/>
          </w:tcPr>
          <w:p w14:paraId="72075B1A">
            <w:pPr>
              <w:widowControl/>
              <w:spacing w:line="320" w:lineRule="exact"/>
              <w:ind w:firstLine="0" w:firstLineChars="0"/>
              <w:jc w:val="center"/>
              <w:rPr>
                <w:rFonts w:hint="eastAsia"/>
                <w:kern w:val="0"/>
                <w:sz w:val="24"/>
                <w:szCs w:val="24"/>
              </w:rPr>
            </w:pPr>
            <w:r>
              <w:rPr>
                <w:rFonts w:hint="eastAsia"/>
                <w:kern w:val="0"/>
                <w:sz w:val="24"/>
                <w:szCs w:val="24"/>
              </w:rPr>
              <w:t>城市绿道服务半径覆盖率（%）★</w:t>
            </w:r>
          </w:p>
        </w:tc>
        <w:tc>
          <w:tcPr>
            <w:tcW w:w="259" w:type="pct"/>
            <w:vAlign w:val="center"/>
          </w:tcPr>
          <w:p w14:paraId="1F3EF0C1">
            <w:pPr>
              <w:widowControl/>
              <w:spacing w:line="320" w:lineRule="exact"/>
              <w:ind w:firstLine="0" w:firstLineChars="0"/>
              <w:jc w:val="center"/>
              <w:rPr>
                <w:rFonts w:hint="eastAsia"/>
                <w:kern w:val="0"/>
                <w:sz w:val="24"/>
                <w:szCs w:val="24"/>
              </w:rPr>
            </w:pPr>
            <w:r>
              <w:rPr>
                <w:rFonts w:hint="eastAsia"/>
                <w:kern w:val="0"/>
                <w:sz w:val="24"/>
                <w:szCs w:val="24"/>
              </w:rPr>
              <w:t>60.93%</w:t>
            </w:r>
          </w:p>
        </w:tc>
        <w:tc>
          <w:tcPr>
            <w:tcW w:w="311" w:type="pct"/>
            <w:vAlign w:val="center"/>
          </w:tcPr>
          <w:p w14:paraId="4CA6DCC7">
            <w:pPr>
              <w:widowControl/>
              <w:spacing w:line="320" w:lineRule="exact"/>
              <w:ind w:firstLine="0" w:firstLineChars="0"/>
              <w:jc w:val="center"/>
              <w:rPr>
                <w:rFonts w:hint="eastAsia"/>
                <w:kern w:val="0"/>
                <w:sz w:val="24"/>
                <w:szCs w:val="24"/>
              </w:rPr>
            </w:pPr>
            <w:r>
              <w:rPr>
                <w:rFonts w:hint="eastAsia"/>
                <w:kern w:val="0"/>
                <w:sz w:val="24"/>
                <w:szCs w:val="24"/>
              </w:rPr>
              <w:t>≥70%</w:t>
            </w:r>
          </w:p>
        </w:tc>
        <w:tc>
          <w:tcPr>
            <w:tcW w:w="389" w:type="pct"/>
            <w:vAlign w:val="center"/>
          </w:tcPr>
          <w:p w14:paraId="38708EC4">
            <w:pPr>
              <w:widowControl/>
              <w:spacing w:line="320" w:lineRule="exact"/>
              <w:ind w:firstLine="0" w:firstLineChars="0"/>
              <w:jc w:val="center"/>
              <w:rPr>
                <w:rFonts w:hint="eastAsia"/>
                <w:kern w:val="0"/>
                <w:sz w:val="24"/>
                <w:szCs w:val="24"/>
              </w:rPr>
            </w:pPr>
            <w:r>
              <w:rPr>
                <w:rFonts w:hint="eastAsia"/>
                <w:kern w:val="0"/>
                <w:sz w:val="24"/>
                <w:szCs w:val="24"/>
              </w:rPr>
              <w:t>9.07%</w:t>
            </w:r>
          </w:p>
        </w:tc>
        <w:tc>
          <w:tcPr>
            <w:tcW w:w="1784" w:type="pct"/>
            <w:vAlign w:val="center"/>
          </w:tcPr>
          <w:p w14:paraId="5121D230">
            <w:pPr>
              <w:widowControl/>
              <w:spacing w:line="320" w:lineRule="exact"/>
              <w:ind w:firstLine="0" w:firstLineChars="0"/>
              <w:jc w:val="left"/>
              <w:rPr>
                <w:rFonts w:hint="eastAsia"/>
                <w:kern w:val="0"/>
                <w:sz w:val="24"/>
                <w:szCs w:val="24"/>
              </w:rPr>
            </w:pPr>
            <w:r>
              <w:rPr>
                <w:rFonts w:hint="eastAsia"/>
                <w:kern w:val="0"/>
                <w:sz w:val="24"/>
                <w:szCs w:val="24"/>
              </w:rPr>
              <w:t>（一）城市更新重点绿化项目</w:t>
            </w:r>
          </w:p>
          <w:p w14:paraId="1989653D">
            <w:pPr>
              <w:widowControl/>
              <w:spacing w:line="320" w:lineRule="exact"/>
              <w:ind w:firstLine="0" w:firstLineChars="0"/>
              <w:jc w:val="left"/>
              <w:rPr>
                <w:rFonts w:hint="eastAsia"/>
                <w:kern w:val="0"/>
                <w:sz w:val="24"/>
                <w:szCs w:val="24"/>
              </w:rPr>
            </w:pPr>
            <w:r>
              <w:rPr>
                <w:rFonts w:hint="eastAsia"/>
                <w:kern w:val="0"/>
                <w:sz w:val="24"/>
                <w:szCs w:val="24"/>
              </w:rPr>
              <w:t>1.实施广阳道（西昌路－东安路）及银河南路（光明西道－廊霸路）道路提升配套绿化工程。其中广阳道（西昌路－东安路）绿化范围包括机非隔离带和便道绿地，全长约5.4公里，面积约29300平方米，包括绿化工程、小品工程、亮化工程、铺装工程及树木修剪，提升原有城市绿化景观效果。银河南路（光明西道－廊霸路）绿化范围包括机非隔离带、便道绿地和便道外绿化带及游园，全长约3.5公里，面积约22200平方米，包括绿化工程、绿化浇灌给水工程、小品工程、亮化工程、铺装工程及广场硬化拆除、花架拆除等。</w:t>
            </w:r>
          </w:p>
          <w:p w14:paraId="46FD9AEB">
            <w:pPr>
              <w:widowControl/>
              <w:spacing w:line="320" w:lineRule="exact"/>
              <w:ind w:firstLine="0" w:firstLineChars="0"/>
              <w:jc w:val="left"/>
              <w:rPr>
                <w:rFonts w:hint="eastAsia"/>
                <w:kern w:val="0"/>
                <w:sz w:val="24"/>
                <w:szCs w:val="24"/>
              </w:rPr>
            </w:pPr>
            <w:r>
              <w:rPr>
                <w:rFonts w:hint="eastAsia"/>
                <w:kern w:val="0"/>
                <w:sz w:val="24"/>
                <w:szCs w:val="24"/>
              </w:rPr>
              <w:t>2.实施新建道路绿化建设。包括规划三路（瑞丰道－南龙道、永华道-辛庄道）、瑞丰道（常青路－西昌路、规划二路－银河路）、辛庄道（常青路－永兴路、规划二路－银河路）、祥云北道等市政新建道路，建设绿地面积约2.1万平方米。</w:t>
            </w:r>
          </w:p>
          <w:p w14:paraId="0A2D0756">
            <w:pPr>
              <w:widowControl/>
              <w:spacing w:line="320" w:lineRule="exact"/>
              <w:ind w:firstLine="0" w:firstLineChars="0"/>
              <w:jc w:val="left"/>
              <w:rPr>
                <w:rFonts w:hint="eastAsia"/>
                <w:kern w:val="0"/>
                <w:sz w:val="24"/>
                <w:szCs w:val="24"/>
              </w:rPr>
            </w:pPr>
            <w:r>
              <w:rPr>
                <w:rFonts w:hint="eastAsia"/>
                <w:kern w:val="0"/>
                <w:sz w:val="24"/>
                <w:szCs w:val="24"/>
              </w:rPr>
              <w:t>（二）主要措施</w:t>
            </w:r>
          </w:p>
          <w:p w14:paraId="7C7F192C">
            <w:pPr>
              <w:widowControl/>
              <w:spacing w:line="320" w:lineRule="exact"/>
              <w:ind w:firstLine="0" w:firstLineChars="0"/>
              <w:jc w:val="left"/>
              <w:rPr>
                <w:rFonts w:hint="eastAsia"/>
                <w:kern w:val="0"/>
                <w:sz w:val="24"/>
                <w:szCs w:val="24"/>
              </w:rPr>
            </w:pPr>
            <w:r>
              <w:rPr>
                <w:rFonts w:hint="eastAsia"/>
                <w:kern w:val="0"/>
                <w:sz w:val="24"/>
                <w:szCs w:val="24"/>
              </w:rPr>
              <w:t>1.坚持提早谋划，积极启动各个绿化项目的前期工作。集中精力抓好立项审批、资金预算等前期工作，积极同财政、发改等部门沟通，争取财政资金支持及手续批复，努力把工作做实、做细，力争早进场、早开工、早竣工，早见效。</w:t>
            </w:r>
          </w:p>
          <w:p w14:paraId="32F5B043">
            <w:pPr>
              <w:widowControl/>
              <w:spacing w:line="320" w:lineRule="exact"/>
              <w:ind w:firstLine="0" w:firstLineChars="0"/>
              <w:jc w:val="left"/>
              <w:rPr>
                <w:rFonts w:hint="eastAsia"/>
                <w:kern w:val="0"/>
                <w:sz w:val="24"/>
                <w:szCs w:val="24"/>
              </w:rPr>
            </w:pPr>
            <w:r>
              <w:rPr>
                <w:rFonts w:hint="eastAsia"/>
                <w:kern w:val="0"/>
                <w:sz w:val="24"/>
                <w:szCs w:val="24"/>
              </w:rPr>
              <w:t>2.狠抓落实便民工程。针对城市体检发现的问题，在广泛征求人大代表、政协委员以及市民热线意见和建议的基础上，拟定工程项目，着力解决市民反映强烈的突出问题，满足市民对园林景观日益增长的高标准追求。</w:t>
            </w:r>
          </w:p>
          <w:p w14:paraId="1677B6CF">
            <w:pPr>
              <w:widowControl/>
              <w:spacing w:line="320" w:lineRule="exact"/>
              <w:ind w:firstLine="0" w:firstLineChars="0"/>
              <w:jc w:val="left"/>
              <w:rPr>
                <w:rFonts w:hint="eastAsia"/>
                <w:kern w:val="0"/>
                <w:sz w:val="24"/>
                <w:szCs w:val="24"/>
              </w:rPr>
            </w:pPr>
            <w:r>
              <w:rPr>
                <w:rFonts w:hint="eastAsia"/>
                <w:kern w:val="0"/>
                <w:sz w:val="24"/>
                <w:szCs w:val="24"/>
              </w:rPr>
              <w:t>3.加大绿化工程的建设管理力度。合理降低苗木规格，多选用乡土树种，严格设计、选苗、审价、验收等管理规程，提高苗木成活率，保证工程质量。</w:t>
            </w:r>
          </w:p>
        </w:tc>
        <w:tc>
          <w:tcPr>
            <w:tcW w:w="1413" w:type="pct"/>
            <w:vAlign w:val="center"/>
          </w:tcPr>
          <w:p w14:paraId="09ACED15">
            <w:pPr>
              <w:widowControl/>
              <w:spacing w:line="320" w:lineRule="exact"/>
              <w:ind w:firstLine="0" w:firstLineChars="0"/>
              <w:jc w:val="left"/>
              <w:rPr>
                <w:rFonts w:hint="eastAsia"/>
                <w:kern w:val="0"/>
                <w:sz w:val="24"/>
                <w:szCs w:val="24"/>
              </w:rPr>
            </w:pPr>
            <w:r>
              <w:rPr>
                <w:rFonts w:hint="eastAsia"/>
                <w:kern w:val="0"/>
                <w:sz w:val="24"/>
                <w:szCs w:val="24"/>
              </w:rPr>
              <w:t>针对城市体检中的“城市可渗透地面面积比例”指标低实际情况，市园林中心继续加大城市绿化力度，拟实施市区新源道（裕华路－银河路）、金光道（西昌路至海德公园车行主入口）、丰盛路（广阳道－汇源道）、北凤道（西昌路以西）、汇源道（经六路－永兴路）、永兴路（汇源道－纬一路）等新建道路的配套绿化工程，包括苗木种植、给水管网的铺设等，提升城市绿化面积，增加城市可渗透地面面积，计划投资1096万元。</w:t>
            </w:r>
          </w:p>
          <w:p w14:paraId="4A0FF5DA">
            <w:pPr>
              <w:widowControl/>
              <w:spacing w:line="320" w:lineRule="exact"/>
              <w:ind w:firstLine="0" w:firstLineChars="0"/>
              <w:jc w:val="left"/>
              <w:rPr>
                <w:rFonts w:hint="eastAsia"/>
                <w:kern w:val="0"/>
                <w:sz w:val="24"/>
                <w:szCs w:val="24"/>
              </w:rPr>
            </w:pPr>
          </w:p>
        </w:tc>
      </w:tr>
      <w:tr w14:paraId="0B361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74FD419A">
            <w:pPr>
              <w:widowControl/>
              <w:spacing w:line="320" w:lineRule="exact"/>
              <w:ind w:firstLine="0" w:firstLineChars="0"/>
              <w:jc w:val="center"/>
              <w:rPr>
                <w:rFonts w:hint="eastAsia"/>
                <w:kern w:val="0"/>
                <w:sz w:val="24"/>
                <w:szCs w:val="24"/>
              </w:rPr>
            </w:pPr>
            <w:r>
              <w:rPr>
                <w:rFonts w:hint="eastAsia"/>
                <w:kern w:val="0"/>
                <w:sz w:val="24"/>
                <w:szCs w:val="24"/>
              </w:rPr>
              <w:t>园林绿化指导科</w:t>
            </w:r>
          </w:p>
        </w:tc>
        <w:tc>
          <w:tcPr>
            <w:tcW w:w="211" w:type="pct"/>
            <w:vAlign w:val="center"/>
          </w:tcPr>
          <w:p w14:paraId="32CAB844">
            <w:pPr>
              <w:widowControl/>
              <w:spacing w:line="320" w:lineRule="exact"/>
              <w:ind w:firstLine="0" w:firstLineChars="0"/>
              <w:jc w:val="center"/>
              <w:rPr>
                <w:rFonts w:hint="eastAsia"/>
                <w:kern w:val="0"/>
                <w:sz w:val="24"/>
                <w:szCs w:val="24"/>
              </w:rPr>
            </w:pPr>
            <w:r>
              <w:rPr>
                <w:rFonts w:hint="eastAsia"/>
                <w:kern w:val="0"/>
                <w:sz w:val="24"/>
                <w:szCs w:val="24"/>
              </w:rPr>
              <w:t>18</w:t>
            </w:r>
          </w:p>
        </w:tc>
        <w:tc>
          <w:tcPr>
            <w:tcW w:w="343" w:type="pct"/>
            <w:vAlign w:val="center"/>
          </w:tcPr>
          <w:p w14:paraId="260BE458">
            <w:pPr>
              <w:widowControl/>
              <w:spacing w:line="320" w:lineRule="exact"/>
              <w:ind w:firstLine="0" w:firstLineChars="0"/>
              <w:jc w:val="center"/>
              <w:rPr>
                <w:rFonts w:hint="eastAsia"/>
                <w:kern w:val="0"/>
                <w:sz w:val="24"/>
                <w:szCs w:val="24"/>
              </w:rPr>
            </w:pPr>
            <w:r>
              <w:rPr>
                <w:rFonts w:hint="eastAsia"/>
                <w:kern w:val="0"/>
                <w:sz w:val="24"/>
                <w:szCs w:val="24"/>
              </w:rPr>
              <w:t>公园绿化活动场地服务半径覆盖率（%）★</w:t>
            </w:r>
          </w:p>
        </w:tc>
        <w:tc>
          <w:tcPr>
            <w:tcW w:w="259" w:type="pct"/>
            <w:vAlign w:val="center"/>
          </w:tcPr>
          <w:p w14:paraId="3143BD11">
            <w:pPr>
              <w:widowControl/>
              <w:spacing w:line="320" w:lineRule="exact"/>
              <w:ind w:firstLine="0" w:firstLineChars="0"/>
              <w:jc w:val="center"/>
              <w:rPr>
                <w:rFonts w:hint="eastAsia"/>
                <w:kern w:val="0"/>
                <w:sz w:val="24"/>
                <w:szCs w:val="24"/>
              </w:rPr>
            </w:pPr>
            <w:r>
              <w:rPr>
                <w:rFonts w:hint="eastAsia"/>
                <w:kern w:val="0"/>
                <w:sz w:val="24"/>
                <w:szCs w:val="24"/>
              </w:rPr>
              <w:t>银河北街道86.39%；银河南街道53.9%</w:t>
            </w:r>
          </w:p>
        </w:tc>
        <w:tc>
          <w:tcPr>
            <w:tcW w:w="311" w:type="pct"/>
            <w:vAlign w:val="center"/>
          </w:tcPr>
          <w:p w14:paraId="0EB8F864">
            <w:pPr>
              <w:widowControl/>
              <w:spacing w:line="320" w:lineRule="exact"/>
              <w:ind w:firstLine="0" w:firstLineChars="0"/>
              <w:jc w:val="center"/>
              <w:rPr>
                <w:rFonts w:hint="eastAsia"/>
                <w:kern w:val="0"/>
                <w:sz w:val="24"/>
                <w:szCs w:val="24"/>
              </w:rPr>
            </w:pPr>
            <w:r>
              <w:rPr>
                <w:rFonts w:hint="eastAsia"/>
                <w:kern w:val="0"/>
                <w:sz w:val="24"/>
                <w:szCs w:val="24"/>
              </w:rPr>
              <w:t>国家园林城市≥85%</w:t>
            </w:r>
          </w:p>
        </w:tc>
        <w:tc>
          <w:tcPr>
            <w:tcW w:w="389" w:type="pct"/>
            <w:vAlign w:val="center"/>
          </w:tcPr>
          <w:p w14:paraId="691DC52E">
            <w:pPr>
              <w:widowControl/>
              <w:spacing w:line="320" w:lineRule="exact"/>
              <w:ind w:firstLine="0" w:firstLineChars="0"/>
              <w:jc w:val="center"/>
              <w:rPr>
                <w:rFonts w:hint="eastAsia"/>
                <w:kern w:val="0"/>
                <w:sz w:val="24"/>
                <w:szCs w:val="24"/>
              </w:rPr>
            </w:pPr>
            <w:r>
              <w:rPr>
                <w:rFonts w:hint="eastAsia"/>
                <w:kern w:val="0"/>
                <w:sz w:val="24"/>
                <w:szCs w:val="24"/>
              </w:rPr>
              <w:t>银河南街道31.1%</w:t>
            </w:r>
          </w:p>
        </w:tc>
        <w:tc>
          <w:tcPr>
            <w:tcW w:w="1784" w:type="pct"/>
            <w:vAlign w:val="center"/>
          </w:tcPr>
          <w:p w14:paraId="36226009">
            <w:pPr>
              <w:widowControl/>
              <w:spacing w:line="320" w:lineRule="exact"/>
              <w:ind w:firstLine="0" w:firstLineChars="0"/>
              <w:jc w:val="left"/>
              <w:rPr>
                <w:rFonts w:hint="eastAsia"/>
                <w:kern w:val="0"/>
                <w:sz w:val="24"/>
                <w:szCs w:val="24"/>
              </w:rPr>
            </w:pPr>
            <w:r>
              <w:rPr>
                <w:rFonts w:hint="eastAsia"/>
                <w:kern w:val="0"/>
                <w:sz w:val="24"/>
                <w:szCs w:val="24"/>
              </w:rPr>
              <w:t>-</w:t>
            </w:r>
          </w:p>
        </w:tc>
        <w:tc>
          <w:tcPr>
            <w:tcW w:w="1413" w:type="pct"/>
            <w:vAlign w:val="center"/>
          </w:tcPr>
          <w:p w14:paraId="5FCB0971">
            <w:pPr>
              <w:widowControl/>
              <w:spacing w:line="320" w:lineRule="exact"/>
              <w:ind w:firstLine="0" w:firstLineChars="0"/>
              <w:jc w:val="left"/>
              <w:rPr>
                <w:rFonts w:hint="eastAsia"/>
                <w:kern w:val="0"/>
                <w:sz w:val="24"/>
                <w:szCs w:val="24"/>
              </w:rPr>
            </w:pPr>
            <w:r>
              <w:rPr>
                <w:rFonts w:hint="eastAsia"/>
                <w:kern w:val="0"/>
                <w:sz w:val="24"/>
                <w:szCs w:val="24"/>
              </w:rPr>
              <w:t>2024年我市将继续践行共享发展理念，进一步服务群众、使广大居民共享发展成果，稳步拓展城市绿色空间，因地制宜规划建设口袋公园，进一步提高公园绿地活动场地服务半径覆盖率，全市新建成高品质口袋公园6座，三河市、大厂县、香河县、固安县、大城县、广阳区各建成1个。</w:t>
            </w:r>
          </w:p>
        </w:tc>
      </w:tr>
      <w:tr w14:paraId="5EDFB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35CADDF7">
            <w:pPr>
              <w:widowControl/>
              <w:spacing w:line="320" w:lineRule="exact"/>
              <w:ind w:firstLine="0" w:firstLineChars="0"/>
              <w:jc w:val="center"/>
              <w:rPr>
                <w:rFonts w:hint="eastAsia"/>
                <w:kern w:val="0"/>
                <w:sz w:val="24"/>
                <w:szCs w:val="24"/>
              </w:rPr>
            </w:pPr>
            <w:r>
              <w:rPr>
                <w:rFonts w:hint="eastAsia"/>
                <w:kern w:val="0"/>
                <w:sz w:val="24"/>
                <w:szCs w:val="24"/>
              </w:rPr>
              <w:t>市消防救援支队</w:t>
            </w:r>
          </w:p>
        </w:tc>
        <w:tc>
          <w:tcPr>
            <w:tcW w:w="211" w:type="pct"/>
            <w:vAlign w:val="center"/>
          </w:tcPr>
          <w:p w14:paraId="42B210FE">
            <w:pPr>
              <w:widowControl/>
              <w:spacing w:line="320" w:lineRule="exact"/>
              <w:ind w:firstLine="0" w:firstLineChars="0"/>
              <w:jc w:val="center"/>
              <w:rPr>
                <w:rFonts w:hint="eastAsia"/>
                <w:kern w:val="0"/>
                <w:sz w:val="24"/>
                <w:szCs w:val="24"/>
              </w:rPr>
            </w:pPr>
            <w:r>
              <w:rPr>
                <w:rFonts w:hint="eastAsia"/>
                <w:kern w:val="0"/>
                <w:sz w:val="24"/>
                <w:szCs w:val="24"/>
              </w:rPr>
              <w:t>19</w:t>
            </w:r>
          </w:p>
        </w:tc>
        <w:tc>
          <w:tcPr>
            <w:tcW w:w="343" w:type="pct"/>
            <w:vAlign w:val="center"/>
          </w:tcPr>
          <w:p w14:paraId="4442A5F5">
            <w:pPr>
              <w:widowControl/>
              <w:spacing w:line="320" w:lineRule="exact"/>
              <w:ind w:firstLine="0" w:firstLineChars="0"/>
              <w:jc w:val="center"/>
              <w:rPr>
                <w:rFonts w:hint="eastAsia"/>
                <w:kern w:val="0"/>
                <w:sz w:val="24"/>
                <w:szCs w:val="24"/>
              </w:rPr>
            </w:pPr>
            <w:r>
              <w:rPr>
                <w:rFonts w:hint="eastAsia"/>
                <w:kern w:val="0"/>
                <w:sz w:val="24"/>
                <w:szCs w:val="24"/>
              </w:rPr>
              <w:t>城市标准消防站及小型普通消防站覆盖率（%）★</w:t>
            </w:r>
          </w:p>
        </w:tc>
        <w:tc>
          <w:tcPr>
            <w:tcW w:w="259" w:type="pct"/>
            <w:vAlign w:val="center"/>
          </w:tcPr>
          <w:p w14:paraId="4BE57EFF">
            <w:pPr>
              <w:widowControl/>
              <w:spacing w:line="320" w:lineRule="exact"/>
              <w:ind w:firstLine="0" w:firstLineChars="0"/>
              <w:jc w:val="center"/>
              <w:rPr>
                <w:rFonts w:hint="eastAsia"/>
                <w:kern w:val="0"/>
                <w:sz w:val="24"/>
                <w:szCs w:val="24"/>
              </w:rPr>
            </w:pPr>
            <w:r>
              <w:rPr>
                <w:rFonts w:hint="eastAsia"/>
                <w:kern w:val="0"/>
                <w:sz w:val="24"/>
                <w:szCs w:val="24"/>
              </w:rPr>
              <w:t>38.91%</w:t>
            </w:r>
          </w:p>
        </w:tc>
        <w:tc>
          <w:tcPr>
            <w:tcW w:w="311" w:type="pct"/>
            <w:vAlign w:val="center"/>
          </w:tcPr>
          <w:p w14:paraId="3E45D20E">
            <w:pPr>
              <w:widowControl/>
              <w:spacing w:line="320" w:lineRule="exact"/>
              <w:ind w:firstLine="0" w:firstLineChars="0"/>
              <w:jc w:val="center"/>
              <w:rPr>
                <w:rFonts w:hint="eastAsia"/>
                <w:kern w:val="0"/>
                <w:sz w:val="24"/>
                <w:szCs w:val="24"/>
              </w:rPr>
            </w:pPr>
            <w:r>
              <w:rPr>
                <w:rFonts w:hint="eastAsia"/>
                <w:kern w:val="0"/>
                <w:sz w:val="24"/>
                <w:szCs w:val="24"/>
              </w:rPr>
              <w:t>每年提高5个百分点；2025年≥75%</w:t>
            </w:r>
          </w:p>
        </w:tc>
        <w:tc>
          <w:tcPr>
            <w:tcW w:w="389" w:type="pct"/>
            <w:vAlign w:val="center"/>
          </w:tcPr>
          <w:p w14:paraId="17983FA0">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46CD9D1D">
            <w:pPr>
              <w:widowControl/>
              <w:spacing w:line="320" w:lineRule="exact"/>
              <w:ind w:firstLine="0" w:firstLineChars="0"/>
              <w:jc w:val="left"/>
              <w:rPr>
                <w:rFonts w:hint="eastAsia"/>
                <w:kern w:val="0"/>
                <w:sz w:val="24"/>
                <w:szCs w:val="24"/>
              </w:rPr>
            </w:pPr>
            <w:r>
              <w:rPr>
                <w:rFonts w:hint="eastAsia"/>
                <w:kern w:val="0"/>
                <w:sz w:val="24"/>
                <w:szCs w:val="24"/>
              </w:rPr>
              <w:t>对于消防站覆盖率的问题，截至2024年2月，我市市辖区建成区内共有10座投勤的消防站，2023年体检范围内共有6座消防站，每座站的建设用地面积为7平方公里，已知市辖区建成区面积为75.77平方公里，故市辖区建成区体检范围内消防站覆盖率为55.4%；</w:t>
            </w:r>
          </w:p>
        </w:tc>
        <w:tc>
          <w:tcPr>
            <w:tcW w:w="1413" w:type="pct"/>
            <w:vAlign w:val="center"/>
          </w:tcPr>
          <w:p w14:paraId="59114005">
            <w:pPr>
              <w:widowControl/>
              <w:spacing w:line="320" w:lineRule="exact"/>
              <w:ind w:firstLine="0" w:firstLineChars="0"/>
              <w:jc w:val="left"/>
              <w:rPr>
                <w:rFonts w:hint="eastAsia"/>
                <w:kern w:val="0"/>
                <w:sz w:val="24"/>
                <w:szCs w:val="24"/>
              </w:rPr>
            </w:pPr>
            <w:r>
              <w:rPr>
                <w:rFonts w:hint="eastAsia"/>
                <w:kern w:val="0"/>
                <w:sz w:val="24"/>
                <w:szCs w:val="24"/>
              </w:rPr>
              <w:t>对于2022、2023年城市体检提出的问题，我单位加快消防设施补短板，修编消防专项规划，解决布局不合理问题，《廊坊市中心城区消防专项规划（2024-2035年）》已经市长专题会审议通过；结合廊坊市消防事业发展“十四五”规划，优化站点布局，积极推进消防救援站建设工作，提升消防救援覆盖能力。推进新型智慧城市建设，我单位与技术研发机构合作研发“公共消防智慧管理平台”，通过大数据、物联网技术，将监测终端植入社会单位消防系统，实现实时采集联网单位消防设施、设备运行数据，实时监控预警，实现全天候巡检、管理、统计和分析。已按照计划，在全市多个火灾高风险场所接入物联网通讯模块和数据采集的设备。</w:t>
            </w:r>
          </w:p>
          <w:p w14:paraId="05D1DB88">
            <w:pPr>
              <w:widowControl/>
              <w:spacing w:line="320" w:lineRule="exact"/>
              <w:ind w:firstLine="0" w:firstLineChars="0"/>
              <w:jc w:val="left"/>
              <w:rPr>
                <w:rFonts w:hint="eastAsia"/>
                <w:kern w:val="0"/>
                <w:sz w:val="24"/>
                <w:szCs w:val="24"/>
              </w:rPr>
            </w:pPr>
            <w:r>
              <w:rPr>
                <w:rFonts w:hint="eastAsia"/>
                <w:kern w:val="0"/>
                <w:sz w:val="24"/>
                <w:szCs w:val="24"/>
              </w:rPr>
              <w:t>2024年我市市辖区内无消防站建设任务，我单位将继续推进火灾高风险场所智慧消防建设，补齐消防短板，为我市消防安全保驾护航。</w:t>
            </w:r>
          </w:p>
        </w:tc>
      </w:tr>
      <w:tr w14:paraId="24CF7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4681D10C">
            <w:pPr>
              <w:widowControl/>
              <w:spacing w:line="320" w:lineRule="exact"/>
              <w:ind w:firstLine="0" w:firstLineChars="0"/>
              <w:jc w:val="center"/>
              <w:rPr>
                <w:rFonts w:hint="eastAsia"/>
                <w:kern w:val="0"/>
                <w:sz w:val="24"/>
                <w:szCs w:val="24"/>
              </w:rPr>
            </w:pPr>
            <w:r>
              <w:rPr>
                <w:rFonts w:hint="eastAsia"/>
                <w:kern w:val="0"/>
                <w:sz w:val="24"/>
                <w:szCs w:val="24"/>
              </w:rPr>
              <w:t>城市更新办</w:t>
            </w:r>
          </w:p>
        </w:tc>
        <w:tc>
          <w:tcPr>
            <w:tcW w:w="211" w:type="pct"/>
            <w:vAlign w:val="center"/>
          </w:tcPr>
          <w:p w14:paraId="7D3D90F2">
            <w:pPr>
              <w:widowControl/>
              <w:spacing w:line="320" w:lineRule="exact"/>
              <w:ind w:firstLine="0" w:firstLineChars="0"/>
              <w:jc w:val="center"/>
              <w:rPr>
                <w:rFonts w:hint="eastAsia"/>
                <w:kern w:val="0"/>
                <w:sz w:val="24"/>
                <w:szCs w:val="24"/>
              </w:rPr>
            </w:pPr>
            <w:r>
              <w:rPr>
                <w:rFonts w:hint="eastAsia"/>
                <w:kern w:val="0"/>
                <w:sz w:val="24"/>
                <w:szCs w:val="24"/>
              </w:rPr>
              <w:t>20</w:t>
            </w:r>
          </w:p>
        </w:tc>
        <w:tc>
          <w:tcPr>
            <w:tcW w:w="343" w:type="pct"/>
            <w:vAlign w:val="center"/>
          </w:tcPr>
          <w:p w14:paraId="3DEEA114">
            <w:pPr>
              <w:widowControl/>
              <w:spacing w:line="320" w:lineRule="exact"/>
              <w:ind w:firstLine="0" w:firstLineChars="0"/>
              <w:jc w:val="center"/>
              <w:rPr>
                <w:rFonts w:hint="eastAsia"/>
                <w:kern w:val="0"/>
                <w:sz w:val="24"/>
                <w:szCs w:val="24"/>
              </w:rPr>
            </w:pPr>
            <w:r>
              <w:rPr>
                <w:rFonts w:hint="eastAsia"/>
                <w:kern w:val="0"/>
                <w:sz w:val="24"/>
                <w:szCs w:val="24"/>
              </w:rPr>
              <w:t>需要更新改造的老旧商业街数量（个）★</w:t>
            </w:r>
          </w:p>
        </w:tc>
        <w:tc>
          <w:tcPr>
            <w:tcW w:w="259" w:type="pct"/>
            <w:vAlign w:val="center"/>
          </w:tcPr>
          <w:p w14:paraId="06A65E33">
            <w:pPr>
              <w:widowControl/>
              <w:spacing w:line="320" w:lineRule="exact"/>
              <w:ind w:firstLine="0" w:firstLineChars="0"/>
              <w:jc w:val="center"/>
              <w:rPr>
                <w:rFonts w:hint="eastAsia"/>
                <w:kern w:val="0"/>
                <w:sz w:val="24"/>
                <w:szCs w:val="24"/>
              </w:rPr>
            </w:pPr>
            <w:r>
              <w:rPr>
                <w:rFonts w:hint="eastAsia"/>
                <w:kern w:val="0"/>
                <w:sz w:val="24"/>
                <w:szCs w:val="24"/>
              </w:rPr>
              <w:t>0</w:t>
            </w:r>
          </w:p>
        </w:tc>
        <w:tc>
          <w:tcPr>
            <w:tcW w:w="311" w:type="pct"/>
            <w:vAlign w:val="center"/>
          </w:tcPr>
          <w:p w14:paraId="37788D84">
            <w:pPr>
              <w:widowControl/>
              <w:spacing w:line="320" w:lineRule="exact"/>
              <w:ind w:firstLine="0" w:firstLineChars="0"/>
              <w:jc w:val="center"/>
              <w:rPr>
                <w:rFonts w:hint="eastAsia"/>
                <w:kern w:val="0"/>
                <w:sz w:val="24"/>
                <w:szCs w:val="24"/>
              </w:rPr>
            </w:pPr>
            <w:r>
              <w:rPr>
                <w:rFonts w:hint="eastAsia"/>
                <w:kern w:val="0"/>
                <w:sz w:val="24"/>
                <w:szCs w:val="24"/>
              </w:rPr>
              <w:t>-</w:t>
            </w:r>
          </w:p>
        </w:tc>
        <w:tc>
          <w:tcPr>
            <w:tcW w:w="389" w:type="pct"/>
            <w:vAlign w:val="center"/>
          </w:tcPr>
          <w:p w14:paraId="26D9C344">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0B24D808">
            <w:pPr>
              <w:widowControl/>
              <w:spacing w:line="320" w:lineRule="exact"/>
              <w:ind w:firstLine="0" w:firstLineChars="0"/>
              <w:jc w:val="left"/>
              <w:rPr>
                <w:rFonts w:hint="eastAsia"/>
                <w:kern w:val="0"/>
                <w:sz w:val="24"/>
                <w:szCs w:val="24"/>
              </w:rPr>
            </w:pPr>
            <w:r>
              <w:rPr>
                <w:rFonts w:hint="eastAsia"/>
                <w:kern w:val="0"/>
                <w:sz w:val="24"/>
                <w:szCs w:val="24"/>
              </w:rPr>
              <w:t>-</w:t>
            </w:r>
          </w:p>
        </w:tc>
        <w:tc>
          <w:tcPr>
            <w:tcW w:w="1413" w:type="pct"/>
            <w:vAlign w:val="center"/>
          </w:tcPr>
          <w:p w14:paraId="1F805398">
            <w:pPr>
              <w:widowControl/>
              <w:spacing w:line="320" w:lineRule="exact"/>
              <w:ind w:firstLine="0" w:firstLineChars="0"/>
              <w:jc w:val="left"/>
              <w:rPr>
                <w:rFonts w:hint="eastAsia"/>
                <w:kern w:val="0"/>
                <w:sz w:val="24"/>
                <w:szCs w:val="24"/>
              </w:rPr>
            </w:pPr>
            <w:r>
              <w:rPr>
                <w:rFonts w:hint="eastAsia"/>
                <w:kern w:val="0"/>
                <w:sz w:val="24"/>
                <w:szCs w:val="24"/>
              </w:rPr>
              <w:t>广阳区：1、新朝阳商圈片区更新项目，包含新朝阳广场一、二、三期及周边地块，现状多为城市核心区的老旧危房等，缺乏统一的产业统筹及建筑形象，现拟采用一体化运作模式，对该片区进行城市更新。项目建成后，通过优化资源配置，将极大促进我区购物，办公，居住，养老，商务，演艺，会展，文化，观光，休闲娱乐等各方面发展。整体提升我区建筑风貌和产业升级。该项目已列入2024年城市更新计划。</w:t>
            </w:r>
          </w:p>
          <w:p w14:paraId="1913B9E6">
            <w:pPr>
              <w:widowControl/>
              <w:spacing w:line="320" w:lineRule="exact"/>
              <w:ind w:firstLine="0" w:firstLineChars="0"/>
              <w:jc w:val="left"/>
              <w:rPr>
                <w:rFonts w:hint="eastAsia"/>
                <w:kern w:val="0"/>
                <w:sz w:val="24"/>
                <w:szCs w:val="24"/>
              </w:rPr>
            </w:pPr>
            <w:r>
              <w:rPr>
                <w:rFonts w:hint="eastAsia"/>
                <w:kern w:val="0"/>
                <w:sz w:val="24"/>
                <w:szCs w:val="24"/>
              </w:rPr>
              <w:t>2、新源天街商城改造升级项目，拟打造城市创新型综合体，由中商国恒实业发展集团有限公司投资1.9亿元进行改造，改造面积9万平米，集商超、文化、科普教育、娱乐、购物为一体，打造高性价比、全种类、功能化运动休闲一体的购物、餐饮、休闲中心。该商业中心为问题楼盘，正在推动投资企业与资产管理人就资产购买进行对接。</w:t>
            </w:r>
          </w:p>
        </w:tc>
      </w:tr>
      <w:tr w14:paraId="150B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45448651">
            <w:pPr>
              <w:widowControl/>
              <w:spacing w:line="320" w:lineRule="exact"/>
              <w:ind w:firstLine="0" w:firstLineChars="0"/>
              <w:jc w:val="center"/>
              <w:rPr>
                <w:rFonts w:hint="eastAsia"/>
                <w:kern w:val="0"/>
                <w:sz w:val="24"/>
                <w:szCs w:val="24"/>
              </w:rPr>
            </w:pPr>
            <w:r>
              <w:rPr>
                <w:rFonts w:hint="eastAsia"/>
                <w:kern w:val="0"/>
                <w:sz w:val="24"/>
                <w:szCs w:val="24"/>
              </w:rPr>
              <w:t>城市更新办</w:t>
            </w:r>
          </w:p>
        </w:tc>
        <w:tc>
          <w:tcPr>
            <w:tcW w:w="211" w:type="pct"/>
            <w:vAlign w:val="center"/>
          </w:tcPr>
          <w:p w14:paraId="70E1A591">
            <w:pPr>
              <w:widowControl/>
              <w:spacing w:line="320" w:lineRule="exact"/>
              <w:ind w:firstLine="0" w:firstLineChars="0"/>
              <w:jc w:val="center"/>
              <w:rPr>
                <w:rFonts w:hint="eastAsia"/>
                <w:kern w:val="0"/>
                <w:sz w:val="24"/>
                <w:szCs w:val="24"/>
              </w:rPr>
            </w:pPr>
            <w:r>
              <w:rPr>
                <w:rFonts w:hint="eastAsia"/>
                <w:kern w:val="0"/>
                <w:sz w:val="24"/>
                <w:szCs w:val="24"/>
              </w:rPr>
              <w:t>21</w:t>
            </w:r>
          </w:p>
        </w:tc>
        <w:tc>
          <w:tcPr>
            <w:tcW w:w="343" w:type="pct"/>
            <w:vAlign w:val="center"/>
          </w:tcPr>
          <w:p w14:paraId="1B99AB35">
            <w:pPr>
              <w:widowControl/>
              <w:spacing w:line="320" w:lineRule="exact"/>
              <w:ind w:firstLine="0" w:firstLineChars="0"/>
              <w:jc w:val="center"/>
              <w:rPr>
                <w:rFonts w:hint="eastAsia"/>
                <w:kern w:val="0"/>
                <w:sz w:val="24"/>
                <w:szCs w:val="24"/>
              </w:rPr>
            </w:pPr>
            <w:r>
              <w:rPr>
                <w:rFonts w:hint="eastAsia"/>
                <w:kern w:val="0"/>
                <w:sz w:val="24"/>
                <w:szCs w:val="24"/>
              </w:rPr>
              <w:t>需要更新改造的老旧厂区数量（个）★</w:t>
            </w:r>
          </w:p>
        </w:tc>
        <w:tc>
          <w:tcPr>
            <w:tcW w:w="259" w:type="pct"/>
            <w:vAlign w:val="center"/>
          </w:tcPr>
          <w:p w14:paraId="7149C9B9">
            <w:pPr>
              <w:widowControl/>
              <w:spacing w:line="320" w:lineRule="exact"/>
              <w:ind w:firstLine="0" w:firstLineChars="0"/>
              <w:jc w:val="center"/>
              <w:rPr>
                <w:rFonts w:hint="eastAsia"/>
                <w:kern w:val="0"/>
                <w:sz w:val="24"/>
                <w:szCs w:val="24"/>
              </w:rPr>
            </w:pPr>
            <w:r>
              <w:rPr>
                <w:rFonts w:hint="eastAsia"/>
                <w:kern w:val="0"/>
                <w:sz w:val="24"/>
                <w:szCs w:val="24"/>
              </w:rPr>
              <w:t>1</w:t>
            </w:r>
          </w:p>
        </w:tc>
        <w:tc>
          <w:tcPr>
            <w:tcW w:w="311" w:type="pct"/>
            <w:vAlign w:val="center"/>
          </w:tcPr>
          <w:p w14:paraId="36CCA443">
            <w:pPr>
              <w:widowControl/>
              <w:spacing w:line="320" w:lineRule="exact"/>
              <w:ind w:firstLine="0" w:firstLineChars="0"/>
              <w:jc w:val="center"/>
              <w:rPr>
                <w:rFonts w:hint="eastAsia"/>
                <w:kern w:val="0"/>
                <w:sz w:val="24"/>
                <w:szCs w:val="24"/>
              </w:rPr>
            </w:pPr>
            <w:r>
              <w:rPr>
                <w:rFonts w:hint="eastAsia"/>
                <w:kern w:val="0"/>
                <w:sz w:val="24"/>
                <w:szCs w:val="24"/>
              </w:rPr>
              <w:t>-</w:t>
            </w:r>
          </w:p>
        </w:tc>
        <w:tc>
          <w:tcPr>
            <w:tcW w:w="389" w:type="pct"/>
            <w:vAlign w:val="center"/>
          </w:tcPr>
          <w:p w14:paraId="63C66119">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4C87F637">
            <w:pPr>
              <w:widowControl/>
              <w:spacing w:line="320" w:lineRule="exact"/>
              <w:ind w:firstLine="0" w:firstLineChars="0"/>
              <w:jc w:val="left"/>
              <w:rPr>
                <w:rFonts w:hint="eastAsia"/>
                <w:kern w:val="0"/>
                <w:sz w:val="24"/>
                <w:szCs w:val="24"/>
              </w:rPr>
            </w:pPr>
            <w:r>
              <w:rPr>
                <w:rFonts w:hint="eastAsia"/>
                <w:kern w:val="0"/>
                <w:sz w:val="24"/>
                <w:szCs w:val="24"/>
              </w:rPr>
              <w:t>-</w:t>
            </w:r>
          </w:p>
        </w:tc>
        <w:tc>
          <w:tcPr>
            <w:tcW w:w="1413" w:type="pct"/>
            <w:vAlign w:val="center"/>
          </w:tcPr>
          <w:p w14:paraId="16FD78AB">
            <w:pPr>
              <w:widowControl/>
              <w:spacing w:line="320" w:lineRule="exact"/>
              <w:ind w:firstLine="0" w:firstLineChars="0"/>
              <w:jc w:val="left"/>
              <w:rPr>
                <w:rFonts w:hint="eastAsia"/>
                <w:kern w:val="0"/>
                <w:sz w:val="24"/>
                <w:szCs w:val="24"/>
              </w:rPr>
            </w:pPr>
            <w:r>
              <w:rPr>
                <w:rFonts w:hint="eastAsia"/>
                <w:kern w:val="0"/>
                <w:sz w:val="24"/>
                <w:szCs w:val="24"/>
              </w:rPr>
              <w:t>广阳区：中外运老厂区领秀天地项目，与福建领秀集团深度对接，引入泉州城市更新模式，对中外运厂区进行整体改造，融入购物、餐饮、文创、设计等生活性和生产性服务业，打造廊坊城市经济新场景，引领广阳现代城市经济新步伐。</w:t>
            </w:r>
          </w:p>
        </w:tc>
      </w:tr>
      <w:tr w14:paraId="490A7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88" w:type="pct"/>
            <w:vAlign w:val="center"/>
          </w:tcPr>
          <w:p w14:paraId="62F3D09A">
            <w:pPr>
              <w:widowControl/>
              <w:spacing w:line="320" w:lineRule="exact"/>
              <w:ind w:firstLine="0" w:firstLineChars="0"/>
              <w:jc w:val="center"/>
              <w:rPr>
                <w:rFonts w:hint="eastAsia"/>
                <w:kern w:val="0"/>
                <w:sz w:val="24"/>
                <w:szCs w:val="24"/>
              </w:rPr>
            </w:pPr>
            <w:r>
              <w:rPr>
                <w:rFonts w:hint="eastAsia"/>
                <w:kern w:val="0"/>
                <w:sz w:val="24"/>
                <w:szCs w:val="24"/>
              </w:rPr>
              <w:t>城市更新办</w:t>
            </w:r>
          </w:p>
        </w:tc>
        <w:tc>
          <w:tcPr>
            <w:tcW w:w="211" w:type="pct"/>
            <w:vAlign w:val="center"/>
          </w:tcPr>
          <w:p w14:paraId="3E968068">
            <w:pPr>
              <w:widowControl/>
              <w:spacing w:line="320" w:lineRule="exact"/>
              <w:ind w:firstLine="0" w:firstLineChars="0"/>
              <w:jc w:val="center"/>
              <w:rPr>
                <w:rFonts w:hint="eastAsia"/>
                <w:kern w:val="0"/>
                <w:sz w:val="24"/>
                <w:szCs w:val="24"/>
              </w:rPr>
            </w:pPr>
            <w:r>
              <w:rPr>
                <w:rFonts w:hint="eastAsia"/>
                <w:kern w:val="0"/>
                <w:sz w:val="24"/>
                <w:szCs w:val="24"/>
              </w:rPr>
              <w:t>22</w:t>
            </w:r>
          </w:p>
        </w:tc>
        <w:tc>
          <w:tcPr>
            <w:tcW w:w="343" w:type="pct"/>
            <w:vAlign w:val="center"/>
          </w:tcPr>
          <w:p w14:paraId="2EC8F52B">
            <w:pPr>
              <w:widowControl/>
              <w:spacing w:line="320" w:lineRule="exact"/>
              <w:ind w:firstLine="0" w:firstLineChars="0"/>
              <w:jc w:val="center"/>
              <w:rPr>
                <w:rFonts w:hint="eastAsia"/>
                <w:kern w:val="0"/>
                <w:sz w:val="24"/>
                <w:szCs w:val="24"/>
              </w:rPr>
            </w:pPr>
            <w:r>
              <w:rPr>
                <w:rFonts w:hint="eastAsia"/>
                <w:kern w:val="0"/>
                <w:sz w:val="24"/>
                <w:szCs w:val="24"/>
              </w:rPr>
              <w:t>需要更新改造的老旧街区数量（个）★</w:t>
            </w:r>
          </w:p>
        </w:tc>
        <w:tc>
          <w:tcPr>
            <w:tcW w:w="259" w:type="pct"/>
            <w:vAlign w:val="center"/>
          </w:tcPr>
          <w:p w14:paraId="6E722EDC">
            <w:pPr>
              <w:widowControl/>
              <w:spacing w:line="320" w:lineRule="exact"/>
              <w:ind w:firstLine="0" w:firstLineChars="0"/>
              <w:jc w:val="center"/>
              <w:rPr>
                <w:rFonts w:hint="eastAsia"/>
                <w:kern w:val="0"/>
                <w:sz w:val="24"/>
                <w:szCs w:val="24"/>
              </w:rPr>
            </w:pPr>
            <w:r>
              <w:rPr>
                <w:rFonts w:hint="eastAsia"/>
                <w:kern w:val="0"/>
                <w:sz w:val="24"/>
                <w:szCs w:val="24"/>
              </w:rPr>
              <w:t>1</w:t>
            </w:r>
          </w:p>
        </w:tc>
        <w:tc>
          <w:tcPr>
            <w:tcW w:w="311" w:type="pct"/>
            <w:vAlign w:val="center"/>
          </w:tcPr>
          <w:p w14:paraId="2D7CAFA0">
            <w:pPr>
              <w:widowControl/>
              <w:spacing w:line="320" w:lineRule="exact"/>
              <w:ind w:firstLine="0" w:firstLineChars="0"/>
              <w:jc w:val="center"/>
              <w:rPr>
                <w:rFonts w:hint="eastAsia"/>
                <w:kern w:val="0"/>
                <w:sz w:val="24"/>
                <w:szCs w:val="24"/>
              </w:rPr>
            </w:pPr>
            <w:r>
              <w:rPr>
                <w:rFonts w:hint="eastAsia"/>
                <w:kern w:val="0"/>
                <w:sz w:val="24"/>
                <w:szCs w:val="24"/>
              </w:rPr>
              <w:t>-</w:t>
            </w:r>
          </w:p>
        </w:tc>
        <w:tc>
          <w:tcPr>
            <w:tcW w:w="389" w:type="pct"/>
            <w:vAlign w:val="center"/>
          </w:tcPr>
          <w:p w14:paraId="236A50CA">
            <w:pPr>
              <w:widowControl/>
              <w:spacing w:line="320" w:lineRule="exact"/>
              <w:ind w:firstLine="0" w:firstLineChars="0"/>
              <w:jc w:val="center"/>
              <w:rPr>
                <w:rFonts w:hint="eastAsia"/>
                <w:kern w:val="0"/>
                <w:sz w:val="24"/>
                <w:szCs w:val="24"/>
              </w:rPr>
            </w:pPr>
            <w:r>
              <w:rPr>
                <w:rFonts w:hint="eastAsia"/>
                <w:kern w:val="0"/>
                <w:sz w:val="24"/>
                <w:szCs w:val="24"/>
              </w:rPr>
              <w:t>-</w:t>
            </w:r>
          </w:p>
        </w:tc>
        <w:tc>
          <w:tcPr>
            <w:tcW w:w="1784" w:type="pct"/>
            <w:vAlign w:val="center"/>
          </w:tcPr>
          <w:p w14:paraId="40AA09AF">
            <w:pPr>
              <w:widowControl/>
              <w:spacing w:line="320" w:lineRule="exact"/>
              <w:ind w:firstLine="0" w:firstLineChars="0"/>
              <w:jc w:val="left"/>
              <w:rPr>
                <w:rFonts w:hint="eastAsia"/>
                <w:kern w:val="0"/>
                <w:sz w:val="24"/>
                <w:szCs w:val="24"/>
              </w:rPr>
            </w:pPr>
            <w:r>
              <w:rPr>
                <w:rFonts w:hint="eastAsia"/>
                <w:kern w:val="0"/>
                <w:sz w:val="24"/>
                <w:szCs w:val="24"/>
              </w:rPr>
              <w:t>广阳区：改造涉及4类88个平房片区，分别为房屋存在安全隐患且基础设施不完备的片区6个、居民改造意愿强烈的片区21个、可打造为特色街区的片区17个和总体情况良好可完善城市功能的片区44个。按照“整体规划、分步实施”的原则，初步计划首先启动存在安全隐患的解放桥桥东、桥西、同安里3个平房片区的改造工作，总占地约81.46亩，涉及居民346户966人，总建筑面积约3.33万平方米。</w:t>
            </w:r>
          </w:p>
        </w:tc>
        <w:tc>
          <w:tcPr>
            <w:tcW w:w="1413" w:type="pct"/>
            <w:vAlign w:val="center"/>
          </w:tcPr>
          <w:p w14:paraId="5642502C">
            <w:pPr>
              <w:widowControl/>
              <w:spacing w:line="320" w:lineRule="exact"/>
              <w:ind w:firstLine="0" w:firstLineChars="0"/>
              <w:jc w:val="left"/>
              <w:rPr>
                <w:rFonts w:hint="eastAsia"/>
                <w:kern w:val="0"/>
                <w:sz w:val="24"/>
                <w:szCs w:val="24"/>
              </w:rPr>
            </w:pPr>
            <w:r>
              <w:rPr>
                <w:rFonts w:hint="eastAsia"/>
                <w:kern w:val="0"/>
                <w:sz w:val="24"/>
                <w:szCs w:val="24"/>
              </w:rPr>
              <w:t>广阳经开区产业园项目。该项目城市更新实施范围主要集中在西区，用地面积约2136.18亩，总投资269亿元，项目内容主要是征地、拆迁、安置、补偿和道路及市政基础设施、公共服务设施、湖心公园建设。</w:t>
            </w:r>
          </w:p>
        </w:tc>
      </w:tr>
    </w:tbl>
    <w:p w14:paraId="3206BA21">
      <w:pPr>
        <w:keepNext/>
        <w:keepLines/>
        <w:spacing w:before="200" w:after="200" w:line="480" w:lineRule="auto"/>
        <w:ind w:firstLine="0" w:firstLineChars="0"/>
        <w:jc w:val="center"/>
        <w:outlineLvl w:val="0"/>
        <w:rPr>
          <w:rFonts w:hint="eastAsia" w:ascii="方正小标宋_GBK" w:hAnsi="方正小标宋_GBK" w:eastAsia="方正小标宋_GBK" w:cs="方正小标宋_GBK"/>
          <w:bCs/>
          <w:kern w:val="44"/>
          <w:sz w:val="36"/>
          <w:szCs w:val="36"/>
        </w:rPr>
        <w:sectPr>
          <w:headerReference r:id="rId18" w:type="default"/>
          <w:footerReference r:id="rId19" w:type="default"/>
          <w:pgSz w:w="16838" w:h="11900" w:orient="landscape"/>
          <w:pgMar w:top="1803" w:right="1440" w:bottom="1803" w:left="1440" w:header="600" w:footer="360" w:gutter="0"/>
          <w:pgNumType w:fmt="decimal"/>
          <w:cols w:space="720" w:num="1"/>
        </w:sectPr>
      </w:pPr>
    </w:p>
    <w:p w14:paraId="471F4F5E">
      <w:pPr>
        <w:ind w:firstLine="0" w:firstLineChars="0"/>
        <w:jc w:val="left"/>
        <w:outlineLvl w:val="0"/>
        <w:rPr>
          <w:rFonts w:hint="eastAsia" w:ascii="方正黑体_GBK" w:hAnsi="方正黑体_GBK" w:eastAsia="方正黑体_GBK" w:cs="方正黑体_GBK"/>
          <w:bCs/>
        </w:rPr>
      </w:pPr>
      <w:bookmarkStart w:id="66" w:name="_Toc11478"/>
      <w:r>
        <w:rPr>
          <w:rFonts w:hint="eastAsia" w:ascii="方正黑体_GBK" w:hAnsi="方正黑体_GBK" w:eastAsia="方正黑体_GBK" w:cs="方正黑体_GBK"/>
          <w:bCs/>
        </w:rPr>
        <w:t>附件2：城市自体检指标数据统计结果表</w:t>
      </w:r>
      <w:bookmarkEnd w:id="66"/>
    </w:p>
    <w:p w14:paraId="173498A6">
      <w:pPr>
        <w:pStyle w:val="48"/>
        <w:outlineLvl w:val="2"/>
        <w:rPr>
          <w:rFonts w:hint="eastAsia"/>
        </w:rPr>
      </w:pPr>
      <w:r>
        <w:rPr>
          <w:rFonts w:hint="eastAsia"/>
        </w:rPr>
        <w:t>住房维度数据统计表</w:t>
      </w:r>
    </w:p>
    <w:tbl>
      <w:tblPr>
        <w:tblStyle w:val="2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
        <w:gridCol w:w="434"/>
        <w:gridCol w:w="434"/>
        <w:gridCol w:w="1663"/>
        <w:gridCol w:w="657"/>
        <w:gridCol w:w="4198"/>
        <w:gridCol w:w="913"/>
        <w:gridCol w:w="2597"/>
        <w:gridCol w:w="2680"/>
      </w:tblGrid>
      <w:tr w14:paraId="5AC6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trPr>
        <w:tc>
          <w:tcPr>
            <w:tcW w:w="207" w:type="pct"/>
            <w:shd w:val="clear" w:color="auto" w:fill="auto"/>
            <w:vAlign w:val="center"/>
          </w:tcPr>
          <w:p w14:paraId="57D0E76E">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维度</w:t>
            </w:r>
          </w:p>
        </w:tc>
        <w:tc>
          <w:tcPr>
            <w:tcW w:w="153" w:type="pct"/>
            <w:shd w:val="clear" w:color="auto" w:fill="auto"/>
            <w:vAlign w:val="center"/>
          </w:tcPr>
          <w:p w14:paraId="044B399C">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二级维度</w:t>
            </w:r>
          </w:p>
        </w:tc>
        <w:tc>
          <w:tcPr>
            <w:tcW w:w="153" w:type="pct"/>
            <w:shd w:val="clear" w:color="auto" w:fill="auto"/>
            <w:vAlign w:val="center"/>
          </w:tcPr>
          <w:p w14:paraId="54EDD68F">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序号</w:t>
            </w:r>
          </w:p>
        </w:tc>
        <w:tc>
          <w:tcPr>
            <w:tcW w:w="587" w:type="pct"/>
            <w:shd w:val="clear" w:color="auto" w:fill="auto"/>
            <w:vAlign w:val="center"/>
          </w:tcPr>
          <w:p w14:paraId="434D1154">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指标</w:t>
            </w:r>
          </w:p>
        </w:tc>
        <w:tc>
          <w:tcPr>
            <w:tcW w:w="232" w:type="pct"/>
            <w:shd w:val="clear" w:color="auto" w:fill="auto"/>
            <w:vAlign w:val="center"/>
          </w:tcPr>
          <w:p w14:paraId="7E9E9423">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指标值（栋）</w:t>
            </w:r>
          </w:p>
        </w:tc>
        <w:tc>
          <w:tcPr>
            <w:tcW w:w="1481" w:type="pct"/>
            <w:shd w:val="clear" w:color="auto" w:fill="auto"/>
            <w:vAlign w:val="center"/>
          </w:tcPr>
          <w:p w14:paraId="24A5EDA4">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分解指标</w:t>
            </w:r>
          </w:p>
        </w:tc>
        <w:tc>
          <w:tcPr>
            <w:tcW w:w="322" w:type="pct"/>
            <w:shd w:val="clear" w:color="auto" w:fill="auto"/>
            <w:vAlign w:val="center"/>
          </w:tcPr>
          <w:p w14:paraId="0C9A67DA">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分项体检值（栋）</w:t>
            </w:r>
          </w:p>
        </w:tc>
        <w:tc>
          <w:tcPr>
            <w:tcW w:w="916" w:type="pct"/>
            <w:shd w:val="clear" w:color="auto" w:fill="auto"/>
            <w:vAlign w:val="center"/>
          </w:tcPr>
          <w:p w14:paraId="1A8EBD4F">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体检内容</w:t>
            </w:r>
          </w:p>
        </w:tc>
        <w:tc>
          <w:tcPr>
            <w:tcW w:w="945" w:type="pct"/>
            <w:shd w:val="clear" w:color="auto" w:fill="auto"/>
            <w:vAlign w:val="center"/>
          </w:tcPr>
          <w:p w14:paraId="7101527E">
            <w:pPr>
              <w:adjustRightInd w:val="0"/>
              <w:snapToGrid w:val="0"/>
              <w:spacing w:line="240" w:lineRule="auto"/>
              <w:ind w:firstLine="0" w:firstLineChars="0"/>
              <w:jc w:val="center"/>
              <w:rPr>
                <w:rFonts w:hint="eastAsia" w:ascii="方正黑体_GBK" w:hAnsi="方正黑体_GBK" w:eastAsia="方正黑体_GBK" w:cs="方正黑体_GBK"/>
                <w:sz w:val="22"/>
                <w:szCs w:val="22"/>
              </w:rPr>
            </w:pPr>
            <w:r>
              <w:rPr>
                <w:rFonts w:hint="eastAsia" w:ascii="方正黑体_GBK" w:hAnsi="方正黑体_GBK" w:eastAsia="方正黑体_GBK" w:cs="方正黑体_GBK"/>
                <w:sz w:val="22"/>
                <w:szCs w:val="22"/>
              </w:rPr>
              <w:t>数据获取</w:t>
            </w:r>
          </w:p>
        </w:tc>
      </w:tr>
      <w:tr w14:paraId="7D520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restart"/>
            <w:shd w:val="clear" w:color="auto" w:fill="auto"/>
            <w:vAlign w:val="center"/>
          </w:tcPr>
          <w:p w14:paraId="1119DA82">
            <w:pPr>
              <w:adjustRightInd w:val="0"/>
              <w:snapToGrid w:val="0"/>
              <w:spacing w:line="240" w:lineRule="auto"/>
              <w:ind w:firstLine="0" w:firstLineChars="0"/>
              <w:jc w:val="center"/>
              <w:rPr>
                <w:rFonts w:hint="eastAsia"/>
                <w:sz w:val="22"/>
                <w:szCs w:val="22"/>
              </w:rPr>
            </w:pPr>
            <w:r>
              <w:rPr>
                <w:rFonts w:hint="eastAsia"/>
                <w:sz w:val="22"/>
                <w:szCs w:val="22"/>
              </w:rPr>
              <w:t>住房</w:t>
            </w:r>
          </w:p>
        </w:tc>
        <w:tc>
          <w:tcPr>
            <w:tcW w:w="153" w:type="pct"/>
            <w:vMerge w:val="restart"/>
            <w:shd w:val="clear" w:color="auto" w:fill="auto"/>
            <w:vAlign w:val="center"/>
          </w:tcPr>
          <w:p w14:paraId="27E0583D">
            <w:pPr>
              <w:adjustRightInd w:val="0"/>
              <w:snapToGrid w:val="0"/>
              <w:spacing w:line="240" w:lineRule="auto"/>
              <w:ind w:firstLine="0" w:firstLineChars="0"/>
              <w:jc w:val="center"/>
              <w:rPr>
                <w:rFonts w:hint="eastAsia"/>
                <w:sz w:val="22"/>
                <w:szCs w:val="22"/>
              </w:rPr>
            </w:pPr>
            <w:r>
              <w:rPr>
                <w:rFonts w:hint="eastAsia"/>
                <w:sz w:val="22"/>
                <w:szCs w:val="22"/>
              </w:rPr>
              <w:t>安全耐久</w:t>
            </w:r>
          </w:p>
        </w:tc>
        <w:tc>
          <w:tcPr>
            <w:tcW w:w="153" w:type="pct"/>
            <w:vMerge w:val="restart"/>
            <w:shd w:val="clear" w:color="auto" w:fill="auto"/>
            <w:vAlign w:val="center"/>
          </w:tcPr>
          <w:p w14:paraId="64A5D9AD">
            <w:pPr>
              <w:adjustRightInd w:val="0"/>
              <w:snapToGrid w:val="0"/>
              <w:spacing w:line="240" w:lineRule="auto"/>
              <w:ind w:firstLine="0" w:firstLineChars="0"/>
              <w:jc w:val="center"/>
              <w:rPr>
                <w:rFonts w:hint="eastAsia"/>
                <w:sz w:val="22"/>
                <w:szCs w:val="22"/>
              </w:rPr>
            </w:pPr>
            <w:r>
              <w:rPr>
                <w:rFonts w:hint="eastAsia"/>
                <w:sz w:val="22"/>
                <w:szCs w:val="22"/>
              </w:rPr>
              <w:t>1</w:t>
            </w:r>
          </w:p>
        </w:tc>
        <w:tc>
          <w:tcPr>
            <w:tcW w:w="587" w:type="pct"/>
            <w:vMerge w:val="restart"/>
            <w:shd w:val="clear" w:color="auto" w:fill="auto"/>
            <w:vAlign w:val="center"/>
          </w:tcPr>
          <w:p w14:paraId="499CA08F">
            <w:pPr>
              <w:adjustRightInd w:val="0"/>
              <w:snapToGrid w:val="0"/>
              <w:spacing w:line="240" w:lineRule="auto"/>
              <w:ind w:firstLine="0" w:firstLineChars="0"/>
              <w:jc w:val="center"/>
              <w:rPr>
                <w:rFonts w:hint="eastAsia"/>
                <w:sz w:val="22"/>
                <w:szCs w:val="22"/>
              </w:rPr>
            </w:pPr>
            <w:r>
              <w:rPr>
                <w:rFonts w:hint="eastAsia"/>
                <w:sz w:val="22"/>
                <w:szCs w:val="22"/>
              </w:rPr>
              <w:t>☆存在结构安全隐患的住宅数量（栋）</w:t>
            </w:r>
          </w:p>
        </w:tc>
        <w:tc>
          <w:tcPr>
            <w:tcW w:w="657" w:type="dxa"/>
            <w:vMerge w:val="restart"/>
            <w:shd w:val="clear" w:color="auto" w:fill="auto"/>
            <w:vAlign w:val="center"/>
          </w:tcPr>
          <w:p w14:paraId="18C85835">
            <w:pPr>
              <w:pStyle w:val="41"/>
              <w:rPr>
                <w:rFonts w:hint="eastAsia"/>
                <w:sz w:val="22"/>
                <w:szCs w:val="22"/>
              </w:rPr>
            </w:pPr>
            <w:r>
              <w:rPr>
                <w:rFonts w:hint="eastAsia"/>
              </w:rPr>
              <w:t>140</w:t>
            </w:r>
          </w:p>
        </w:tc>
        <w:tc>
          <w:tcPr>
            <w:tcW w:w="4198" w:type="dxa"/>
            <w:shd w:val="clear" w:color="auto" w:fill="auto"/>
            <w:vAlign w:val="center"/>
          </w:tcPr>
          <w:p w14:paraId="58EC9CF4">
            <w:pPr>
              <w:pStyle w:val="41"/>
              <w:jc w:val="left"/>
              <w:rPr>
                <w:rFonts w:hint="eastAsia"/>
                <w:sz w:val="22"/>
                <w:szCs w:val="22"/>
              </w:rPr>
            </w:pPr>
            <w:r>
              <w:rPr>
                <w:rFonts w:hint="eastAsia"/>
              </w:rPr>
              <w:t>1.1承重墙体、楼板、结构梁开裂且裂缝较深、清晰可见的住宅数量。</w:t>
            </w:r>
          </w:p>
        </w:tc>
        <w:tc>
          <w:tcPr>
            <w:tcW w:w="913" w:type="dxa"/>
            <w:shd w:val="clear" w:color="auto" w:fill="auto"/>
            <w:vAlign w:val="center"/>
          </w:tcPr>
          <w:p w14:paraId="084E2339">
            <w:pPr>
              <w:pStyle w:val="41"/>
              <w:rPr>
                <w:rFonts w:hint="eastAsia"/>
                <w:sz w:val="22"/>
                <w:szCs w:val="22"/>
              </w:rPr>
            </w:pPr>
            <w:r>
              <w:rPr>
                <w:rFonts w:hint="eastAsia"/>
              </w:rPr>
              <w:t>49</w:t>
            </w:r>
          </w:p>
        </w:tc>
        <w:tc>
          <w:tcPr>
            <w:tcW w:w="916" w:type="pct"/>
            <w:vMerge w:val="restart"/>
            <w:shd w:val="clear" w:color="auto" w:fill="auto"/>
            <w:vAlign w:val="center"/>
          </w:tcPr>
          <w:p w14:paraId="38A9E85F">
            <w:pPr>
              <w:adjustRightInd w:val="0"/>
              <w:snapToGrid w:val="0"/>
              <w:spacing w:line="240" w:lineRule="auto"/>
              <w:ind w:firstLine="0" w:firstLineChars="0"/>
              <w:jc w:val="center"/>
              <w:rPr>
                <w:rFonts w:hint="eastAsia"/>
                <w:sz w:val="22"/>
                <w:szCs w:val="22"/>
              </w:rPr>
            </w:pPr>
            <w:r>
              <w:rPr>
                <w:rFonts w:hint="eastAsia"/>
                <w:sz w:val="22"/>
                <w:szCs w:val="22"/>
              </w:rPr>
              <w:t>依托第一次全国自然灾害综合风险普查房屋建筑和市政设施调查数据成果，对住宅结构安全状况进行初步筛查，查找住宅的结构安全问题。</w:t>
            </w:r>
          </w:p>
        </w:tc>
        <w:tc>
          <w:tcPr>
            <w:tcW w:w="945" w:type="pct"/>
            <w:vMerge w:val="restart"/>
            <w:shd w:val="clear" w:color="auto" w:fill="auto"/>
            <w:vAlign w:val="center"/>
          </w:tcPr>
          <w:p w14:paraId="694453DC">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4C894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4ECF2AD8">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CAB870B">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B68A462">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58773950">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70DE999C">
            <w:pPr>
              <w:pStyle w:val="41"/>
              <w:rPr>
                <w:rFonts w:hint="eastAsia"/>
                <w:sz w:val="22"/>
                <w:szCs w:val="22"/>
              </w:rPr>
            </w:pPr>
          </w:p>
        </w:tc>
        <w:tc>
          <w:tcPr>
            <w:tcW w:w="4198" w:type="dxa"/>
            <w:shd w:val="clear" w:color="auto" w:fill="auto"/>
            <w:vAlign w:val="center"/>
          </w:tcPr>
          <w:p w14:paraId="26B7F6ED">
            <w:pPr>
              <w:pStyle w:val="41"/>
              <w:jc w:val="left"/>
              <w:rPr>
                <w:rFonts w:hint="eastAsia"/>
                <w:sz w:val="22"/>
                <w:szCs w:val="22"/>
              </w:rPr>
            </w:pPr>
            <w:r>
              <w:rPr>
                <w:rFonts w:hint="eastAsia"/>
              </w:rPr>
              <w:t>1.2违规拆除结构承重构件的住宅数量</w:t>
            </w:r>
          </w:p>
        </w:tc>
        <w:tc>
          <w:tcPr>
            <w:tcW w:w="913" w:type="dxa"/>
            <w:shd w:val="clear" w:color="auto" w:fill="auto"/>
            <w:vAlign w:val="center"/>
          </w:tcPr>
          <w:p w14:paraId="7A88A24F">
            <w:pPr>
              <w:pStyle w:val="41"/>
              <w:rPr>
                <w:rFonts w:hint="eastAsia"/>
                <w:sz w:val="22"/>
                <w:szCs w:val="22"/>
              </w:rPr>
            </w:pPr>
            <w:r>
              <w:rPr>
                <w:rFonts w:hint="eastAsia"/>
              </w:rPr>
              <w:t>51</w:t>
            </w:r>
          </w:p>
        </w:tc>
        <w:tc>
          <w:tcPr>
            <w:tcW w:w="916" w:type="pct"/>
            <w:vMerge w:val="continue"/>
            <w:shd w:val="clear" w:color="auto" w:fill="auto"/>
            <w:vAlign w:val="center"/>
          </w:tcPr>
          <w:p w14:paraId="66C7A416">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13EED5B5">
            <w:pPr>
              <w:adjustRightInd w:val="0"/>
              <w:snapToGrid w:val="0"/>
              <w:spacing w:line="240" w:lineRule="auto"/>
              <w:ind w:firstLine="0" w:firstLineChars="0"/>
              <w:jc w:val="center"/>
              <w:rPr>
                <w:rFonts w:hint="eastAsia"/>
                <w:sz w:val="22"/>
                <w:szCs w:val="22"/>
              </w:rPr>
            </w:pPr>
          </w:p>
        </w:tc>
      </w:tr>
      <w:tr w14:paraId="333A5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48B39570">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C78D031">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1D7ADDC">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3A35A465">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36F07781">
            <w:pPr>
              <w:pStyle w:val="41"/>
              <w:rPr>
                <w:rFonts w:hint="eastAsia"/>
                <w:sz w:val="22"/>
                <w:szCs w:val="22"/>
              </w:rPr>
            </w:pPr>
          </w:p>
        </w:tc>
        <w:tc>
          <w:tcPr>
            <w:tcW w:w="4198" w:type="dxa"/>
            <w:shd w:val="clear" w:color="auto" w:fill="auto"/>
            <w:vAlign w:val="center"/>
          </w:tcPr>
          <w:p w14:paraId="42256E46">
            <w:pPr>
              <w:pStyle w:val="41"/>
              <w:jc w:val="left"/>
              <w:rPr>
                <w:rFonts w:hint="eastAsia"/>
                <w:sz w:val="22"/>
                <w:szCs w:val="22"/>
              </w:rPr>
            </w:pPr>
            <w:r>
              <w:rPr>
                <w:rFonts w:hint="eastAsia"/>
              </w:rPr>
              <w:t>1.3砖混结构主体出现砖体缺棱掉角、存在裂缝、砂浆饱满度差，呈粉末状，砖与砖浆之间存在较大缝隙的住宅数量。</w:t>
            </w:r>
          </w:p>
        </w:tc>
        <w:tc>
          <w:tcPr>
            <w:tcW w:w="913" w:type="dxa"/>
            <w:shd w:val="clear" w:color="auto" w:fill="auto"/>
            <w:vAlign w:val="center"/>
          </w:tcPr>
          <w:p w14:paraId="3104482D">
            <w:pPr>
              <w:pStyle w:val="41"/>
              <w:rPr>
                <w:rFonts w:hint="eastAsia"/>
                <w:sz w:val="22"/>
                <w:szCs w:val="22"/>
              </w:rPr>
            </w:pPr>
            <w:r>
              <w:rPr>
                <w:rFonts w:hint="eastAsia"/>
              </w:rPr>
              <w:t>116</w:t>
            </w:r>
          </w:p>
        </w:tc>
        <w:tc>
          <w:tcPr>
            <w:tcW w:w="916" w:type="pct"/>
            <w:vMerge w:val="continue"/>
            <w:shd w:val="clear" w:color="auto" w:fill="auto"/>
            <w:vAlign w:val="center"/>
          </w:tcPr>
          <w:p w14:paraId="0C51AA89">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3408087C">
            <w:pPr>
              <w:adjustRightInd w:val="0"/>
              <w:snapToGrid w:val="0"/>
              <w:spacing w:line="240" w:lineRule="auto"/>
              <w:ind w:firstLine="0" w:firstLineChars="0"/>
              <w:jc w:val="center"/>
              <w:rPr>
                <w:rFonts w:hint="eastAsia"/>
                <w:sz w:val="22"/>
                <w:szCs w:val="22"/>
              </w:rPr>
            </w:pPr>
          </w:p>
        </w:tc>
      </w:tr>
      <w:tr w14:paraId="3CDC2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6054F1F0">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5D2643F">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35C997B">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7278E04B">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22418A92">
            <w:pPr>
              <w:pStyle w:val="41"/>
              <w:rPr>
                <w:rFonts w:hint="eastAsia"/>
                <w:sz w:val="22"/>
                <w:szCs w:val="22"/>
              </w:rPr>
            </w:pPr>
          </w:p>
        </w:tc>
        <w:tc>
          <w:tcPr>
            <w:tcW w:w="4198" w:type="dxa"/>
            <w:shd w:val="clear" w:color="auto" w:fill="auto"/>
            <w:vAlign w:val="center"/>
          </w:tcPr>
          <w:p w14:paraId="476DB71D">
            <w:pPr>
              <w:pStyle w:val="41"/>
              <w:jc w:val="left"/>
              <w:rPr>
                <w:rFonts w:hint="eastAsia"/>
                <w:sz w:val="22"/>
                <w:szCs w:val="22"/>
              </w:rPr>
            </w:pPr>
            <w:r>
              <w:rPr>
                <w:rFonts w:hint="eastAsia"/>
              </w:rPr>
              <w:t>1.4违规拆除外窗窗下墙体加建阳台，违规加建悬挑飘窗的住宅数量。</w:t>
            </w:r>
          </w:p>
        </w:tc>
        <w:tc>
          <w:tcPr>
            <w:tcW w:w="913" w:type="dxa"/>
            <w:shd w:val="clear" w:color="auto" w:fill="auto"/>
            <w:vAlign w:val="center"/>
          </w:tcPr>
          <w:p w14:paraId="5716B697">
            <w:pPr>
              <w:pStyle w:val="41"/>
              <w:rPr>
                <w:rFonts w:hint="eastAsia"/>
                <w:sz w:val="22"/>
                <w:szCs w:val="22"/>
              </w:rPr>
            </w:pPr>
            <w:r>
              <w:rPr>
                <w:rFonts w:hint="eastAsia"/>
              </w:rPr>
              <w:t>80</w:t>
            </w:r>
          </w:p>
        </w:tc>
        <w:tc>
          <w:tcPr>
            <w:tcW w:w="916" w:type="pct"/>
            <w:vMerge w:val="continue"/>
            <w:shd w:val="clear" w:color="auto" w:fill="auto"/>
            <w:vAlign w:val="center"/>
          </w:tcPr>
          <w:p w14:paraId="1D679DA4">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2B176DCD">
            <w:pPr>
              <w:adjustRightInd w:val="0"/>
              <w:snapToGrid w:val="0"/>
              <w:spacing w:line="240" w:lineRule="auto"/>
              <w:ind w:firstLine="0" w:firstLineChars="0"/>
              <w:jc w:val="center"/>
              <w:rPr>
                <w:rFonts w:hint="eastAsia"/>
                <w:sz w:val="22"/>
                <w:szCs w:val="22"/>
              </w:rPr>
            </w:pPr>
          </w:p>
        </w:tc>
      </w:tr>
      <w:tr w14:paraId="446C5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64E0F475">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50F1C60">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4FC0499E">
            <w:pPr>
              <w:adjustRightInd w:val="0"/>
              <w:snapToGrid w:val="0"/>
              <w:spacing w:line="240" w:lineRule="auto"/>
              <w:ind w:firstLine="0" w:firstLineChars="0"/>
              <w:jc w:val="center"/>
              <w:rPr>
                <w:rFonts w:hint="eastAsia"/>
                <w:sz w:val="22"/>
                <w:szCs w:val="22"/>
              </w:rPr>
            </w:pPr>
            <w:r>
              <w:rPr>
                <w:rFonts w:hint="eastAsia"/>
                <w:sz w:val="22"/>
                <w:szCs w:val="22"/>
              </w:rPr>
              <w:t>2</w:t>
            </w:r>
          </w:p>
        </w:tc>
        <w:tc>
          <w:tcPr>
            <w:tcW w:w="587" w:type="pct"/>
            <w:vMerge w:val="restart"/>
            <w:shd w:val="clear" w:color="auto" w:fill="auto"/>
            <w:vAlign w:val="center"/>
          </w:tcPr>
          <w:p w14:paraId="1ED51BD3">
            <w:pPr>
              <w:adjustRightInd w:val="0"/>
              <w:snapToGrid w:val="0"/>
              <w:spacing w:line="240" w:lineRule="auto"/>
              <w:ind w:firstLine="0" w:firstLineChars="0"/>
              <w:jc w:val="center"/>
              <w:rPr>
                <w:rFonts w:hint="eastAsia"/>
                <w:sz w:val="22"/>
                <w:szCs w:val="22"/>
              </w:rPr>
            </w:pPr>
            <w:r>
              <w:rPr>
                <w:rFonts w:hint="eastAsia"/>
                <w:sz w:val="22"/>
                <w:szCs w:val="22"/>
              </w:rPr>
              <w:t>存在燃气安全隐患的住宅数量（栋）</w:t>
            </w:r>
          </w:p>
        </w:tc>
        <w:tc>
          <w:tcPr>
            <w:tcW w:w="232" w:type="pct"/>
            <w:vMerge w:val="restart"/>
            <w:shd w:val="clear" w:color="auto" w:fill="auto"/>
            <w:vAlign w:val="center"/>
          </w:tcPr>
          <w:p w14:paraId="709936EE">
            <w:pPr>
              <w:adjustRightInd w:val="0"/>
              <w:snapToGrid w:val="0"/>
              <w:spacing w:line="240" w:lineRule="auto"/>
              <w:ind w:firstLine="0" w:firstLineChars="0"/>
              <w:jc w:val="center"/>
              <w:rPr>
                <w:rFonts w:hint="eastAsia"/>
                <w:sz w:val="22"/>
                <w:szCs w:val="22"/>
              </w:rPr>
            </w:pPr>
            <w:r>
              <w:rPr>
                <w:rFonts w:hint="eastAsia"/>
                <w:sz w:val="22"/>
                <w:szCs w:val="22"/>
              </w:rPr>
              <w:t>0</w:t>
            </w:r>
          </w:p>
        </w:tc>
        <w:tc>
          <w:tcPr>
            <w:tcW w:w="1481" w:type="pct"/>
            <w:shd w:val="clear" w:color="auto" w:fill="auto"/>
            <w:vAlign w:val="center"/>
          </w:tcPr>
          <w:p w14:paraId="40DD3B07">
            <w:pPr>
              <w:adjustRightInd w:val="0"/>
              <w:snapToGrid w:val="0"/>
              <w:spacing w:line="240" w:lineRule="auto"/>
              <w:ind w:firstLine="0" w:firstLineChars="0"/>
              <w:jc w:val="center"/>
              <w:rPr>
                <w:rFonts w:hint="eastAsia"/>
                <w:sz w:val="22"/>
                <w:szCs w:val="22"/>
              </w:rPr>
            </w:pPr>
            <w:r>
              <w:rPr>
                <w:rFonts w:hint="eastAsia"/>
                <w:sz w:val="22"/>
                <w:szCs w:val="22"/>
              </w:rPr>
              <w:t>2.1住宅燃气立管、引入管、水平管运行年限满20年，且存在锈蚀严重、破损等安全隐患。</w:t>
            </w:r>
          </w:p>
        </w:tc>
        <w:tc>
          <w:tcPr>
            <w:tcW w:w="322" w:type="pct"/>
            <w:shd w:val="clear" w:color="auto" w:fill="auto"/>
            <w:vAlign w:val="center"/>
          </w:tcPr>
          <w:p w14:paraId="022E4B0C">
            <w:pPr>
              <w:adjustRightInd w:val="0"/>
              <w:snapToGrid w:val="0"/>
              <w:spacing w:line="240" w:lineRule="auto"/>
              <w:ind w:firstLine="0" w:firstLineChars="0"/>
              <w:jc w:val="center"/>
              <w:rPr>
                <w:rFonts w:hint="eastAsia"/>
                <w:sz w:val="22"/>
                <w:szCs w:val="22"/>
              </w:rPr>
            </w:pPr>
            <w:r>
              <w:rPr>
                <w:rFonts w:hint="eastAsia"/>
                <w:sz w:val="22"/>
                <w:szCs w:val="22"/>
              </w:rPr>
              <w:t>0</w:t>
            </w:r>
          </w:p>
        </w:tc>
        <w:tc>
          <w:tcPr>
            <w:tcW w:w="916" w:type="pct"/>
            <w:vMerge w:val="restart"/>
            <w:shd w:val="clear" w:color="auto" w:fill="auto"/>
            <w:vAlign w:val="center"/>
          </w:tcPr>
          <w:p w14:paraId="4501B41F">
            <w:pPr>
              <w:adjustRightInd w:val="0"/>
              <w:snapToGrid w:val="0"/>
              <w:spacing w:line="240" w:lineRule="auto"/>
              <w:ind w:firstLine="0" w:firstLineChars="0"/>
              <w:jc w:val="center"/>
              <w:rPr>
                <w:rFonts w:hint="eastAsia"/>
                <w:sz w:val="22"/>
                <w:szCs w:val="22"/>
              </w:rPr>
            </w:pPr>
            <w:r>
              <w:rPr>
                <w:rFonts w:hint="eastAsia"/>
                <w:sz w:val="22"/>
                <w:szCs w:val="22"/>
              </w:rPr>
              <w:t>查找既有住宅中运行年限满20年，经评估存在安全隐患的立管（含引入管、水平平管），以及居民用户存在使用橡胶管、未安装安全装置等隐患问题。</w:t>
            </w:r>
          </w:p>
        </w:tc>
        <w:tc>
          <w:tcPr>
            <w:tcW w:w="945" w:type="pct"/>
            <w:vMerge w:val="restart"/>
            <w:shd w:val="clear" w:color="auto" w:fill="auto"/>
            <w:vAlign w:val="center"/>
          </w:tcPr>
          <w:p w14:paraId="6D67DBE8">
            <w:pPr>
              <w:adjustRightInd w:val="0"/>
              <w:snapToGrid w:val="0"/>
              <w:spacing w:line="240" w:lineRule="auto"/>
              <w:ind w:firstLine="0" w:firstLineChars="0"/>
              <w:jc w:val="center"/>
              <w:rPr>
                <w:rFonts w:hint="eastAsia"/>
                <w:sz w:val="22"/>
                <w:szCs w:val="22"/>
              </w:rPr>
            </w:pPr>
            <w:r>
              <w:rPr>
                <w:rFonts w:hint="eastAsia"/>
                <w:sz w:val="22"/>
                <w:szCs w:val="22"/>
              </w:rPr>
              <w:t>市城管局、专业机构入户检测</w:t>
            </w:r>
          </w:p>
        </w:tc>
      </w:tr>
      <w:tr w14:paraId="1E94F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0A80D129">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AE4C3F3">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53E01A5">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36D1CB8B">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297A5A9B">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55F2AE3F">
            <w:pPr>
              <w:adjustRightInd w:val="0"/>
              <w:snapToGrid w:val="0"/>
              <w:spacing w:line="240" w:lineRule="auto"/>
              <w:ind w:firstLine="0" w:firstLineChars="0"/>
              <w:jc w:val="center"/>
              <w:rPr>
                <w:rFonts w:hint="eastAsia"/>
                <w:sz w:val="22"/>
                <w:szCs w:val="22"/>
              </w:rPr>
            </w:pPr>
            <w:r>
              <w:rPr>
                <w:rFonts w:hint="eastAsia"/>
                <w:sz w:val="22"/>
                <w:szCs w:val="22"/>
              </w:rPr>
              <w:t>2.2户内燃气橡胶软管存在变硬变脆、龟裂、明显缺损、油污严重等老化破损现象或使用不合格产品，一年内未经燃气公司查验，存在燃气泄漏风险。</w:t>
            </w:r>
          </w:p>
        </w:tc>
        <w:tc>
          <w:tcPr>
            <w:tcW w:w="322" w:type="pct"/>
            <w:shd w:val="clear" w:color="auto" w:fill="auto"/>
            <w:vAlign w:val="center"/>
          </w:tcPr>
          <w:p w14:paraId="5A137ABB">
            <w:pPr>
              <w:adjustRightInd w:val="0"/>
              <w:snapToGrid w:val="0"/>
              <w:spacing w:line="240" w:lineRule="auto"/>
              <w:ind w:firstLine="0" w:firstLineChars="0"/>
              <w:jc w:val="center"/>
              <w:rPr>
                <w:rFonts w:hint="eastAsia"/>
                <w:sz w:val="22"/>
                <w:szCs w:val="22"/>
              </w:rPr>
            </w:pPr>
            <w:r>
              <w:rPr>
                <w:rFonts w:hint="eastAsia"/>
                <w:sz w:val="22"/>
                <w:szCs w:val="22"/>
              </w:rPr>
              <w:t>0</w:t>
            </w:r>
          </w:p>
        </w:tc>
        <w:tc>
          <w:tcPr>
            <w:tcW w:w="916" w:type="pct"/>
            <w:vMerge w:val="continue"/>
            <w:shd w:val="clear" w:color="auto" w:fill="auto"/>
            <w:vAlign w:val="center"/>
          </w:tcPr>
          <w:p w14:paraId="38583B97">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2BF2D9A9">
            <w:pPr>
              <w:adjustRightInd w:val="0"/>
              <w:snapToGrid w:val="0"/>
              <w:spacing w:line="240" w:lineRule="auto"/>
              <w:ind w:firstLine="0" w:firstLineChars="0"/>
              <w:jc w:val="center"/>
              <w:rPr>
                <w:rFonts w:hint="eastAsia"/>
                <w:sz w:val="22"/>
                <w:szCs w:val="22"/>
              </w:rPr>
            </w:pPr>
          </w:p>
        </w:tc>
      </w:tr>
      <w:tr w14:paraId="0183E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5507EF07">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C69D0B0">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277AE0D">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745D18D0">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328DD993">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06E0B98B">
            <w:pPr>
              <w:adjustRightInd w:val="0"/>
              <w:snapToGrid w:val="0"/>
              <w:spacing w:line="240" w:lineRule="auto"/>
              <w:ind w:firstLine="0" w:firstLineChars="0"/>
              <w:jc w:val="center"/>
              <w:rPr>
                <w:rFonts w:hint="eastAsia"/>
                <w:sz w:val="22"/>
                <w:szCs w:val="22"/>
              </w:rPr>
            </w:pPr>
            <w:r>
              <w:rPr>
                <w:rFonts w:hint="eastAsia"/>
                <w:sz w:val="22"/>
                <w:szCs w:val="22"/>
              </w:rPr>
              <w:t>2.3住户私改私接燃气管道，燃气器具无熄火保护装置，未安装燃气自闭阀，未安装燃气报警器。</w:t>
            </w:r>
          </w:p>
        </w:tc>
        <w:tc>
          <w:tcPr>
            <w:tcW w:w="322" w:type="pct"/>
            <w:shd w:val="clear" w:color="auto" w:fill="auto"/>
            <w:vAlign w:val="center"/>
          </w:tcPr>
          <w:p w14:paraId="763AB481">
            <w:pPr>
              <w:adjustRightInd w:val="0"/>
              <w:snapToGrid w:val="0"/>
              <w:spacing w:line="240" w:lineRule="auto"/>
              <w:ind w:firstLine="0" w:firstLineChars="0"/>
              <w:jc w:val="center"/>
              <w:rPr>
                <w:rFonts w:hint="eastAsia"/>
                <w:sz w:val="22"/>
                <w:szCs w:val="22"/>
              </w:rPr>
            </w:pPr>
            <w:r>
              <w:rPr>
                <w:rFonts w:hint="eastAsia"/>
                <w:sz w:val="22"/>
                <w:szCs w:val="22"/>
              </w:rPr>
              <w:t>0</w:t>
            </w:r>
          </w:p>
        </w:tc>
        <w:tc>
          <w:tcPr>
            <w:tcW w:w="916" w:type="pct"/>
            <w:vMerge w:val="continue"/>
            <w:shd w:val="clear" w:color="auto" w:fill="auto"/>
            <w:vAlign w:val="center"/>
          </w:tcPr>
          <w:p w14:paraId="452B9CBE">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352903CF">
            <w:pPr>
              <w:adjustRightInd w:val="0"/>
              <w:snapToGrid w:val="0"/>
              <w:spacing w:line="240" w:lineRule="auto"/>
              <w:ind w:firstLine="0" w:firstLineChars="0"/>
              <w:jc w:val="center"/>
              <w:rPr>
                <w:rFonts w:hint="eastAsia"/>
                <w:sz w:val="22"/>
                <w:szCs w:val="22"/>
              </w:rPr>
            </w:pPr>
          </w:p>
        </w:tc>
      </w:tr>
      <w:tr w14:paraId="3DFE8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3D381E2D">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CEA8B4D">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3CEEDDF1">
            <w:pPr>
              <w:adjustRightInd w:val="0"/>
              <w:snapToGrid w:val="0"/>
              <w:spacing w:line="240" w:lineRule="auto"/>
              <w:ind w:firstLine="0" w:firstLineChars="0"/>
              <w:jc w:val="center"/>
              <w:rPr>
                <w:rFonts w:hint="eastAsia"/>
                <w:sz w:val="22"/>
                <w:szCs w:val="22"/>
              </w:rPr>
            </w:pPr>
            <w:r>
              <w:rPr>
                <w:rFonts w:hint="eastAsia"/>
                <w:sz w:val="22"/>
                <w:szCs w:val="22"/>
              </w:rPr>
              <w:t>3</w:t>
            </w:r>
          </w:p>
        </w:tc>
        <w:tc>
          <w:tcPr>
            <w:tcW w:w="587" w:type="pct"/>
            <w:vMerge w:val="restart"/>
            <w:shd w:val="clear" w:color="auto" w:fill="auto"/>
            <w:vAlign w:val="center"/>
          </w:tcPr>
          <w:p w14:paraId="32C53FA4">
            <w:pPr>
              <w:adjustRightInd w:val="0"/>
              <w:snapToGrid w:val="0"/>
              <w:spacing w:line="240" w:lineRule="auto"/>
              <w:ind w:firstLine="0" w:firstLineChars="0"/>
              <w:jc w:val="center"/>
              <w:rPr>
                <w:rFonts w:hint="eastAsia"/>
                <w:sz w:val="22"/>
                <w:szCs w:val="22"/>
              </w:rPr>
            </w:pPr>
            <w:r>
              <w:rPr>
                <w:rFonts w:hint="eastAsia"/>
                <w:sz w:val="22"/>
                <w:szCs w:val="22"/>
              </w:rPr>
              <w:t>存在楼道安全隐患的住宅数量（栋）</w:t>
            </w:r>
          </w:p>
        </w:tc>
        <w:tc>
          <w:tcPr>
            <w:tcW w:w="232" w:type="pct"/>
            <w:vMerge w:val="restart"/>
            <w:shd w:val="clear" w:color="auto" w:fill="auto"/>
            <w:vAlign w:val="center"/>
          </w:tcPr>
          <w:p w14:paraId="54274F4B">
            <w:pPr>
              <w:pStyle w:val="41"/>
              <w:rPr>
                <w:rFonts w:hint="eastAsia"/>
                <w:szCs w:val="22"/>
              </w:rPr>
            </w:pPr>
            <w:r>
              <w:rPr>
                <w:rFonts w:hint="eastAsia"/>
              </w:rPr>
              <w:t>1278</w:t>
            </w:r>
          </w:p>
        </w:tc>
        <w:tc>
          <w:tcPr>
            <w:tcW w:w="1481" w:type="pct"/>
            <w:shd w:val="clear" w:color="auto" w:fill="auto"/>
            <w:vAlign w:val="center"/>
          </w:tcPr>
          <w:p w14:paraId="0319CC7D">
            <w:pPr>
              <w:adjustRightInd w:val="0"/>
              <w:snapToGrid w:val="0"/>
              <w:spacing w:line="240" w:lineRule="auto"/>
              <w:ind w:firstLine="0" w:firstLineChars="0"/>
              <w:jc w:val="center"/>
              <w:rPr>
                <w:rFonts w:hint="eastAsia"/>
                <w:sz w:val="22"/>
                <w:szCs w:val="22"/>
              </w:rPr>
            </w:pPr>
            <w:r>
              <w:rPr>
                <w:rFonts w:hint="eastAsia"/>
                <w:sz w:val="22"/>
                <w:szCs w:val="22"/>
              </w:rPr>
              <w:t>3.1楼梯踏步缺损、楼梯扶手松动损坏、照明损坏缺失、安全护栏松动损坏或缺失的住宅数量</w:t>
            </w:r>
          </w:p>
        </w:tc>
        <w:tc>
          <w:tcPr>
            <w:tcW w:w="322" w:type="pct"/>
            <w:shd w:val="clear" w:color="auto" w:fill="auto"/>
            <w:vAlign w:val="center"/>
          </w:tcPr>
          <w:p w14:paraId="0FC67B87">
            <w:pPr>
              <w:adjustRightInd w:val="0"/>
              <w:snapToGrid w:val="0"/>
              <w:spacing w:line="240" w:lineRule="auto"/>
              <w:ind w:firstLine="0" w:firstLineChars="0"/>
              <w:jc w:val="center"/>
              <w:rPr>
                <w:rFonts w:hint="eastAsia"/>
                <w:sz w:val="22"/>
                <w:szCs w:val="22"/>
              </w:rPr>
            </w:pPr>
            <w:r>
              <w:rPr>
                <w:rFonts w:hint="eastAsia"/>
                <w:sz w:val="22"/>
                <w:szCs w:val="22"/>
              </w:rPr>
              <w:t>270</w:t>
            </w:r>
          </w:p>
        </w:tc>
        <w:tc>
          <w:tcPr>
            <w:tcW w:w="916" w:type="pct"/>
            <w:vMerge w:val="restart"/>
            <w:shd w:val="clear" w:color="auto" w:fill="auto"/>
            <w:vAlign w:val="center"/>
          </w:tcPr>
          <w:p w14:paraId="4C7DB2A7">
            <w:pPr>
              <w:adjustRightInd w:val="0"/>
              <w:snapToGrid w:val="0"/>
              <w:spacing w:line="240" w:lineRule="auto"/>
              <w:ind w:firstLine="0" w:firstLineChars="0"/>
              <w:jc w:val="center"/>
              <w:rPr>
                <w:rFonts w:hint="eastAsia"/>
                <w:sz w:val="22"/>
                <w:szCs w:val="22"/>
              </w:rPr>
            </w:pPr>
            <w:r>
              <w:rPr>
                <w:rFonts w:hint="eastAsia"/>
                <w:sz w:val="22"/>
                <w:szCs w:val="22"/>
              </w:rPr>
              <w:t>查找既有住宅中楼梯踏步、扶手、照明、安全护栏等设施损坏，通风井道堵塞、排风烟道堵塞或倒风串味，防火门损坏或无法关闭、高层消火栓缺失或无水、灭火器缺失、安全出口或消防疏散指示灯损坏，以及占用疏散楼梯、楼道、管道井堆放杂物，公共楼道停放自行车、电动自行车以及违规充电等问题。</w:t>
            </w:r>
          </w:p>
        </w:tc>
        <w:tc>
          <w:tcPr>
            <w:tcW w:w="945" w:type="pct"/>
            <w:vMerge w:val="restart"/>
            <w:shd w:val="clear" w:color="auto" w:fill="auto"/>
            <w:vAlign w:val="center"/>
          </w:tcPr>
          <w:p w14:paraId="0D3B7B86">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406D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68D18CCF">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A13D796">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6426F07">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6DAA6211">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3C811033">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3E574F44">
            <w:pPr>
              <w:adjustRightInd w:val="0"/>
              <w:snapToGrid w:val="0"/>
              <w:spacing w:line="240" w:lineRule="auto"/>
              <w:ind w:firstLine="0" w:firstLineChars="0"/>
              <w:jc w:val="center"/>
              <w:rPr>
                <w:rFonts w:hint="eastAsia"/>
                <w:sz w:val="22"/>
                <w:szCs w:val="22"/>
              </w:rPr>
            </w:pPr>
            <w:r>
              <w:rPr>
                <w:rFonts w:hint="eastAsia"/>
                <w:sz w:val="22"/>
                <w:szCs w:val="22"/>
              </w:rPr>
              <w:t>3.2通风井道、排风烟道等堵塞，造成通风不畅、异味串味的住宅数量</w:t>
            </w:r>
          </w:p>
        </w:tc>
        <w:tc>
          <w:tcPr>
            <w:tcW w:w="322" w:type="pct"/>
            <w:shd w:val="clear" w:color="auto" w:fill="auto"/>
            <w:vAlign w:val="center"/>
          </w:tcPr>
          <w:p w14:paraId="3688BC45">
            <w:pPr>
              <w:adjustRightInd w:val="0"/>
              <w:snapToGrid w:val="0"/>
              <w:spacing w:line="240" w:lineRule="auto"/>
              <w:ind w:firstLine="0" w:firstLineChars="0"/>
              <w:jc w:val="center"/>
              <w:rPr>
                <w:rFonts w:hint="eastAsia"/>
                <w:sz w:val="22"/>
                <w:szCs w:val="22"/>
              </w:rPr>
            </w:pPr>
            <w:r>
              <w:rPr>
                <w:rFonts w:hint="eastAsia"/>
                <w:sz w:val="22"/>
                <w:szCs w:val="22"/>
              </w:rPr>
              <w:t>85</w:t>
            </w:r>
          </w:p>
        </w:tc>
        <w:tc>
          <w:tcPr>
            <w:tcW w:w="916" w:type="pct"/>
            <w:vMerge w:val="continue"/>
            <w:shd w:val="clear" w:color="auto" w:fill="auto"/>
            <w:vAlign w:val="center"/>
          </w:tcPr>
          <w:p w14:paraId="36AB715E">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6A28F5DE">
            <w:pPr>
              <w:adjustRightInd w:val="0"/>
              <w:snapToGrid w:val="0"/>
              <w:spacing w:line="240" w:lineRule="auto"/>
              <w:ind w:firstLine="0" w:firstLineChars="0"/>
              <w:jc w:val="center"/>
              <w:rPr>
                <w:rFonts w:hint="eastAsia"/>
                <w:sz w:val="22"/>
                <w:szCs w:val="22"/>
              </w:rPr>
            </w:pPr>
          </w:p>
        </w:tc>
      </w:tr>
      <w:tr w14:paraId="120F6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386BACE8">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15D51148">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A04B832">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121B231E">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361EFE48">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5E0DD577">
            <w:pPr>
              <w:adjustRightInd w:val="0"/>
              <w:snapToGrid w:val="0"/>
              <w:spacing w:line="240" w:lineRule="auto"/>
              <w:ind w:firstLine="0" w:firstLineChars="0"/>
              <w:jc w:val="center"/>
              <w:rPr>
                <w:rFonts w:hint="eastAsia"/>
                <w:sz w:val="22"/>
                <w:szCs w:val="22"/>
              </w:rPr>
            </w:pPr>
            <w:r>
              <w:rPr>
                <w:rFonts w:hint="eastAsia"/>
                <w:sz w:val="22"/>
                <w:szCs w:val="22"/>
              </w:rPr>
              <w:t>3.3防火门缺失、损坏、无法关闭的住宅数量</w:t>
            </w:r>
          </w:p>
        </w:tc>
        <w:tc>
          <w:tcPr>
            <w:tcW w:w="322" w:type="pct"/>
            <w:shd w:val="clear" w:color="auto" w:fill="auto"/>
            <w:vAlign w:val="center"/>
          </w:tcPr>
          <w:p w14:paraId="53C310BE">
            <w:pPr>
              <w:adjustRightInd w:val="0"/>
              <w:snapToGrid w:val="0"/>
              <w:spacing w:line="240" w:lineRule="auto"/>
              <w:ind w:firstLine="0" w:firstLineChars="0"/>
              <w:jc w:val="center"/>
              <w:rPr>
                <w:rFonts w:hint="eastAsia"/>
                <w:sz w:val="22"/>
                <w:szCs w:val="22"/>
              </w:rPr>
            </w:pPr>
            <w:r>
              <w:rPr>
                <w:rFonts w:hint="eastAsia"/>
                <w:sz w:val="22"/>
                <w:szCs w:val="22"/>
              </w:rPr>
              <w:t>229</w:t>
            </w:r>
          </w:p>
        </w:tc>
        <w:tc>
          <w:tcPr>
            <w:tcW w:w="916" w:type="pct"/>
            <w:vMerge w:val="continue"/>
            <w:shd w:val="clear" w:color="auto" w:fill="auto"/>
            <w:vAlign w:val="center"/>
          </w:tcPr>
          <w:p w14:paraId="7D66330B">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54C12E06">
            <w:pPr>
              <w:adjustRightInd w:val="0"/>
              <w:snapToGrid w:val="0"/>
              <w:spacing w:line="240" w:lineRule="auto"/>
              <w:ind w:firstLine="0" w:firstLineChars="0"/>
              <w:jc w:val="center"/>
              <w:rPr>
                <w:rFonts w:hint="eastAsia"/>
                <w:sz w:val="22"/>
                <w:szCs w:val="22"/>
              </w:rPr>
            </w:pPr>
          </w:p>
        </w:tc>
      </w:tr>
      <w:tr w14:paraId="595F9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74F8FD7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F203B9C">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29B9BDF">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06B7AFCE">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4FE013A1">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625DDE41">
            <w:pPr>
              <w:adjustRightInd w:val="0"/>
              <w:snapToGrid w:val="0"/>
              <w:spacing w:line="240" w:lineRule="auto"/>
              <w:ind w:firstLine="0" w:firstLineChars="0"/>
              <w:jc w:val="center"/>
              <w:rPr>
                <w:rFonts w:hint="eastAsia"/>
                <w:sz w:val="22"/>
                <w:szCs w:val="22"/>
              </w:rPr>
            </w:pPr>
            <w:r>
              <w:rPr>
                <w:rFonts w:hint="eastAsia"/>
                <w:sz w:val="22"/>
                <w:szCs w:val="22"/>
              </w:rPr>
              <w:t>3.4消火栓无日常维护、老化损坏的住宅数量</w:t>
            </w:r>
          </w:p>
        </w:tc>
        <w:tc>
          <w:tcPr>
            <w:tcW w:w="322" w:type="pct"/>
            <w:shd w:val="clear" w:color="auto" w:fill="auto"/>
            <w:vAlign w:val="center"/>
          </w:tcPr>
          <w:p w14:paraId="46244A7D">
            <w:pPr>
              <w:adjustRightInd w:val="0"/>
              <w:snapToGrid w:val="0"/>
              <w:spacing w:line="240" w:lineRule="auto"/>
              <w:ind w:firstLine="0" w:firstLineChars="0"/>
              <w:jc w:val="center"/>
              <w:rPr>
                <w:rFonts w:hint="eastAsia"/>
                <w:sz w:val="22"/>
                <w:szCs w:val="22"/>
              </w:rPr>
            </w:pPr>
            <w:r>
              <w:rPr>
                <w:rFonts w:hint="eastAsia"/>
                <w:sz w:val="22"/>
                <w:szCs w:val="22"/>
              </w:rPr>
              <w:t>208</w:t>
            </w:r>
          </w:p>
        </w:tc>
        <w:tc>
          <w:tcPr>
            <w:tcW w:w="916" w:type="pct"/>
            <w:vMerge w:val="continue"/>
            <w:shd w:val="clear" w:color="auto" w:fill="auto"/>
            <w:vAlign w:val="center"/>
          </w:tcPr>
          <w:p w14:paraId="794A864E">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3B0F69EE">
            <w:pPr>
              <w:adjustRightInd w:val="0"/>
              <w:snapToGrid w:val="0"/>
              <w:spacing w:line="240" w:lineRule="auto"/>
              <w:ind w:firstLine="0" w:firstLineChars="0"/>
              <w:jc w:val="center"/>
              <w:rPr>
                <w:rFonts w:hint="eastAsia"/>
                <w:sz w:val="22"/>
                <w:szCs w:val="22"/>
              </w:rPr>
            </w:pPr>
          </w:p>
        </w:tc>
      </w:tr>
      <w:tr w14:paraId="01EA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4279687A">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6A9ED02">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FF633A6">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232863EA">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5F8DBE2E">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5BC5D110">
            <w:pPr>
              <w:adjustRightInd w:val="0"/>
              <w:snapToGrid w:val="0"/>
              <w:spacing w:line="240" w:lineRule="auto"/>
              <w:ind w:firstLine="0" w:firstLineChars="0"/>
              <w:jc w:val="center"/>
              <w:rPr>
                <w:rFonts w:hint="eastAsia"/>
                <w:sz w:val="22"/>
                <w:szCs w:val="22"/>
              </w:rPr>
            </w:pPr>
            <w:r>
              <w:rPr>
                <w:rFonts w:hint="eastAsia"/>
                <w:sz w:val="22"/>
                <w:szCs w:val="22"/>
              </w:rPr>
              <w:t>3.5灭火器缺失、未设置灭火器保护设施的住宅数量</w:t>
            </w:r>
          </w:p>
        </w:tc>
        <w:tc>
          <w:tcPr>
            <w:tcW w:w="322" w:type="pct"/>
            <w:shd w:val="clear" w:color="auto" w:fill="auto"/>
            <w:vAlign w:val="center"/>
          </w:tcPr>
          <w:p w14:paraId="4EF2314C">
            <w:pPr>
              <w:adjustRightInd w:val="0"/>
              <w:snapToGrid w:val="0"/>
              <w:spacing w:line="240" w:lineRule="auto"/>
              <w:ind w:firstLine="0" w:firstLineChars="0"/>
              <w:jc w:val="center"/>
              <w:rPr>
                <w:rFonts w:hint="eastAsia"/>
                <w:sz w:val="22"/>
                <w:szCs w:val="22"/>
              </w:rPr>
            </w:pPr>
            <w:r>
              <w:rPr>
                <w:rFonts w:hint="eastAsia"/>
                <w:sz w:val="22"/>
                <w:szCs w:val="22"/>
              </w:rPr>
              <w:t>215</w:t>
            </w:r>
          </w:p>
        </w:tc>
        <w:tc>
          <w:tcPr>
            <w:tcW w:w="916" w:type="pct"/>
            <w:vMerge w:val="continue"/>
            <w:shd w:val="clear" w:color="auto" w:fill="auto"/>
            <w:vAlign w:val="center"/>
          </w:tcPr>
          <w:p w14:paraId="3C5A0C52">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65978C37">
            <w:pPr>
              <w:adjustRightInd w:val="0"/>
              <w:snapToGrid w:val="0"/>
              <w:spacing w:line="240" w:lineRule="auto"/>
              <w:ind w:firstLine="0" w:firstLineChars="0"/>
              <w:jc w:val="center"/>
              <w:rPr>
                <w:rFonts w:hint="eastAsia"/>
                <w:sz w:val="22"/>
                <w:szCs w:val="22"/>
              </w:rPr>
            </w:pPr>
          </w:p>
        </w:tc>
      </w:tr>
      <w:tr w14:paraId="4E07C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2F561CEB">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15A023D1">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B8AB522">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5353B9A2">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4E05655A">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400DFDF2">
            <w:pPr>
              <w:adjustRightInd w:val="0"/>
              <w:snapToGrid w:val="0"/>
              <w:spacing w:line="240" w:lineRule="auto"/>
              <w:ind w:firstLine="0" w:firstLineChars="0"/>
              <w:jc w:val="center"/>
              <w:rPr>
                <w:rFonts w:hint="eastAsia"/>
                <w:sz w:val="22"/>
                <w:szCs w:val="22"/>
              </w:rPr>
            </w:pPr>
            <w:r>
              <w:rPr>
                <w:rFonts w:hint="eastAsia"/>
                <w:sz w:val="22"/>
                <w:szCs w:val="22"/>
              </w:rPr>
              <w:t>3.6消防安全出口指示灯损坏或者缺失的住宅数量</w:t>
            </w:r>
          </w:p>
        </w:tc>
        <w:tc>
          <w:tcPr>
            <w:tcW w:w="322" w:type="pct"/>
            <w:shd w:val="clear" w:color="auto" w:fill="auto"/>
            <w:vAlign w:val="center"/>
          </w:tcPr>
          <w:p w14:paraId="73D3F4FE">
            <w:pPr>
              <w:adjustRightInd w:val="0"/>
              <w:snapToGrid w:val="0"/>
              <w:spacing w:line="240" w:lineRule="auto"/>
              <w:ind w:firstLine="0" w:firstLineChars="0"/>
              <w:jc w:val="center"/>
              <w:rPr>
                <w:rFonts w:hint="eastAsia"/>
                <w:sz w:val="22"/>
                <w:szCs w:val="22"/>
              </w:rPr>
            </w:pPr>
            <w:r>
              <w:rPr>
                <w:rFonts w:hint="eastAsia"/>
                <w:sz w:val="22"/>
                <w:szCs w:val="22"/>
              </w:rPr>
              <w:t>643</w:t>
            </w:r>
          </w:p>
        </w:tc>
        <w:tc>
          <w:tcPr>
            <w:tcW w:w="916" w:type="pct"/>
            <w:vMerge w:val="continue"/>
            <w:shd w:val="clear" w:color="auto" w:fill="auto"/>
            <w:vAlign w:val="center"/>
          </w:tcPr>
          <w:p w14:paraId="256AAA70">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08194F67">
            <w:pPr>
              <w:adjustRightInd w:val="0"/>
              <w:snapToGrid w:val="0"/>
              <w:spacing w:line="240" w:lineRule="auto"/>
              <w:ind w:firstLine="0" w:firstLineChars="0"/>
              <w:jc w:val="center"/>
              <w:rPr>
                <w:rFonts w:hint="eastAsia"/>
                <w:sz w:val="22"/>
                <w:szCs w:val="22"/>
              </w:rPr>
            </w:pPr>
          </w:p>
        </w:tc>
      </w:tr>
      <w:tr w14:paraId="5B1F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207" w:type="pct"/>
            <w:vMerge w:val="continue"/>
            <w:shd w:val="clear" w:color="auto" w:fill="auto"/>
            <w:vAlign w:val="center"/>
          </w:tcPr>
          <w:p w14:paraId="1B2480B5">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26A510E">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3B473DC">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5CCD765E">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5142DDDF">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0D46992B">
            <w:pPr>
              <w:adjustRightInd w:val="0"/>
              <w:snapToGrid w:val="0"/>
              <w:spacing w:line="240" w:lineRule="auto"/>
              <w:ind w:firstLine="0" w:firstLineChars="0"/>
              <w:jc w:val="center"/>
              <w:rPr>
                <w:rFonts w:hint="eastAsia"/>
                <w:sz w:val="22"/>
                <w:szCs w:val="22"/>
              </w:rPr>
            </w:pPr>
            <w:r>
              <w:rPr>
                <w:rFonts w:hint="eastAsia"/>
                <w:sz w:val="22"/>
                <w:szCs w:val="22"/>
              </w:rPr>
              <w:t>3.7住户占用疏散楼梯、楼道、管道井等公共空间，用于堆放杂物的住宅数量</w:t>
            </w:r>
          </w:p>
        </w:tc>
        <w:tc>
          <w:tcPr>
            <w:tcW w:w="322" w:type="pct"/>
            <w:shd w:val="clear" w:color="auto" w:fill="auto"/>
            <w:vAlign w:val="center"/>
          </w:tcPr>
          <w:p w14:paraId="686EC256">
            <w:pPr>
              <w:adjustRightInd w:val="0"/>
              <w:snapToGrid w:val="0"/>
              <w:spacing w:line="240" w:lineRule="auto"/>
              <w:ind w:firstLine="0" w:firstLineChars="0"/>
              <w:jc w:val="center"/>
              <w:rPr>
                <w:rFonts w:hint="eastAsia"/>
                <w:sz w:val="22"/>
                <w:szCs w:val="22"/>
              </w:rPr>
            </w:pPr>
            <w:r>
              <w:rPr>
                <w:rFonts w:hint="eastAsia"/>
                <w:sz w:val="22"/>
                <w:szCs w:val="22"/>
              </w:rPr>
              <w:t>929</w:t>
            </w:r>
          </w:p>
        </w:tc>
        <w:tc>
          <w:tcPr>
            <w:tcW w:w="916" w:type="pct"/>
            <w:vMerge w:val="continue"/>
            <w:shd w:val="clear" w:color="auto" w:fill="auto"/>
            <w:vAlign w:val="center"/>
          </w:tcPr>
          <w:p w14:paraId="7C225486">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4C119F7A">
            <w:pPr>
              <w:adjustRightInd w:val="0"/>
              <w:snapToGrid w:val="0"/>
              <w:spacing w:line="240" w:lineRule="auto"/>
              <w:ind w:firstLine="0" w:firstLineChars="0"/>
              <w:jc w:val="center"/>
              <w:rPr>
                <w:rFonts w:hint="eastAsia"/>
                <w:sz w:val="22"/>
                <w:szCs w:val="22"/>
              </w:rPr>
            </w:pPr>
          </w:p>
        </w:tc>
      </w:tr>
      <w:tr w14:paraId="62951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7059B691">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CBDC3C0">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570B65F4">
            <w:pPr>
              <w:adjustRightInd w:val="0"/>
              <w:snapToGrid w:val="0"/>
              <w:spacing w:line="240" w:lineRule="auto"/>
              <w:ind w:firstLine="0" w:firstLineChars="0"/>
              <w:jc w:val="center"/>
              <w:rPr>
                <w:rFonts w:hint="eastAsia"/>
                <w:sz w:val="22"/>
                <w:szCs w:val="22"/>
              </w:rPr>
            </w:pPr>
            <w:r>
              <w:rPr>
                <w:rFonts w:hint="eastAsia"/>
                <w:sz w:val="22"/>
                <w:szCs w:val="22"/>
              </w:rPr>
              <w:t>4</w:t>
            </w:r>
          </w:p>
        </w:tc>
        <w:tc>
          <w:tcPr>
            <w:tcW w:w="587" w:type="pct"/>
            <w:vMerge w:val="restart"/>
            <w:shd w:val="clear" w:color="auto" w:fill="auto"/>
            <w:vAlign w:val="center"/>
          </w:tcPr>
          <w:p w14:paraId="6B532D3C">
            <w:pPr>
              <w:adjustRightInd w:val="0"/>
              <w:snapToGrid w:val="0"/>
              <w:spacing w:line="240" w:lineRule="auto"/>
              <w:ind w:firstLine="0" w:firstLineChars="0"/>
              <w:jc w:val="center"/>
              <w:rPr>
                <w:rFonts w:hint="eastAsia"/>
                <w:sz w:val="22"/>
                <w:szCs w:val="22"/>
              </w:rPr>
            </w:pPr>
            <w:r>
              <w:rPr>
                <w:rFonts w:hint="eastAsia"/>
                <w:sz w:val="22"/>
                <w:szCs w:val="22"/>
              </w:rPr>
              <w:t>存在围护安全隐患的住宅数量（栋）</w:t>
            </w:r>
          </w:p>
        </w:tc>
        <w:tc>
          <w:tcPr>
            <w:tcW w:w="657" w:type="dxa"/>
            <w:vMerge w:val="restart"/>
            <w:shd w:val="clear" w:color="auto" w:fill="auto"/>
            <w:vAlign w:val="center"/>
          </w:tcPr>
          <w:p w14:paraId="70FB50B4">
            <w:pPr>
              <w:pStyle w:val="41"/>
              <w:rPr>
                <w:rFonts w:hint="eastAsia"/>
                <w:sz w:val="22"/>
                <w:szCs w:val="22"/>
              </w:rPr>
            </w:pPr>
            <w:r>
              <w:rPr>
                <w:rFonts w:hint="eastAsia"/>
              </w:rPr>
              <w:t>958</w:t>
            </w:r>
          </w:p>
        </w:tc>
        <w:tc>
          <w:tcPr>
            <w:tcW w:w="4198" w:type="dxa"/>
            <w:shd w:val="clear" w:color="auto" w:fill="auto"/>
            <w:vAlign w:val="center"/>
          </w:tcPr>
          <w:p w14:paraId="7453F79B">
            <w:pPr>
              <w:pStyle w:val="41"/>
              <w:jc w:val="left"/>
              <w:rPr>
                <w:rFonts w:hint="eastAsia"/>
                <w:sz w:val="22"/>
                <w:szCs w:val="22"/>
              </w:rPr>
            </w:pPr>
            <w:r>
              <w:rPr>
                <w:rFonts w:hint="eastAsia"/>
              </w:rPr>
              <w:t>4.1外墙装饰材料和保温材料开裂、损坏、脱落的住宅数量</w:t>
            </w:r>
          </w:p>
        </w:tc>
        <w:tc>
          <w:tcPr>
            <w:tcW w:w="913" w:type="dxa"/>
            <w:shd w:val="clear" w:color="auto" w:fill="auto"/>
            <w:vAlign w:val="center"/>
          </w:tcPr>
          <w:p w14:paraId="544EFD01">
            <w:pPr>
              <w:pStyle w:val="41"/>
              <w:rPr>
                <w:rFonts w:hint="eastAsia"/>
                <w:sz w:val="22"/>
                <w:szCs w:val="22"/>
              </w:rPr>
            </w:pPr>
            <w:r>
              <w:rPr>
                <w:rFonts w:hint="eastAsia"/>
              </w:rPr>
              <w:t>514</w:t>
            </w:r>
          </w:p>
        </w:tc>
        <w:tc>
          <w:tcPr>
            <w:tcW w:w="916" w:type="pct"/>
            <w:vMerge w:val="restart"/>
            <w:shd w:val="clear" w:color="auto" w:fill="auto"/>
            <w:vAlign w:val="center"/>
          </w:tcPr>
          <w:p w14:paraId="754CE767">
            <w:pPr>
              <w:adjustRightInd w:val="0"/>
              <w:snapToGrid w:val="0"/>
              <w:spacing w:line="240" w:lineRule="auto"/>
              <w:ind w:firstLine="0" w:firstLineChars="0"/>
              <w:jc w:val="center"/>
              <w:rPr>
                <w:rFonts w:hint="eastAsia"/>
                <w:sz w:val="22"/>
                <w:szCs w:val="22"/>
              </w:rPr>
            </w:pPr>
            <w:r>
              <w:rPr>
                <w:rFonts w:hint="eastAsia"/>
                <w:sz w:val="22"/>
                <w:szCs w:val="22"/>
              </w:rPr>
              <w:t>查找既有住宅中存在外墙保温材料、装饰材料、悬挂设施、门窗玻璃等破损、脱落等安全风险，以及存在屋顶、外墙、地下室渗漏积水等问题。</w:t>
            </w:r>
          </w:p>
        </w:tc>
        <w:tc>
          <w:tcPr>
            <w:tcW w:w="945" w:type="pct"/>
            <w:vMerge w:val="restart"/>
            <w:shd w:val="clear" w:color="auto" w:fill="auto"/>
            <w:vAlign w:val="center"/>
          </w:tcPr>
          <w:p w14:paraId="225644AB">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5A632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0D98A47E">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3EB411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32C64CB">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3923B95B">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2A8AAA55">
            <w:pPr>
              <w:pStyle w:val="41"/>
              <w:rPr>
                <w:rFonts w:hint="eastAsia"/>
                <w:sz w:val="22"/>
                <w:szCs w:val="22"/>
              </w:rPr>
            </w:pPr>
          </w:p>
        </w:tc>
        <w:tc>
          <w:tcPr>
            <w:tcW w:w="4198" w:type="dxa"/>
            <w:shd w:val="clear" w:color="auto" w:fill="auto"/>
            <w:vAlign w:val="center"/>
          </w:tcPr>
          <w:p w14:paraId="24B5434A">
            <w:pPr>
              <w:pStyle w:val="41"/>
              <w:jc w:val="left"/>
              <w:rPr>
                <w:rFonts w:hint="eastAsia"/>
                <w:sz w:val="22"/>
                <w:szCs w:val="22"/>
              </w:rPr>
            </w:pPr>
            <w:r>
              <w:rPr>
                <w:rFonts w:hint="eastAsia"/>
              </w:rPr>
              <w:t>4.2外墙悬挂设施不规范（如过大、过高）或损坏松脱的住宅数量</w:t>
            </w:r>
          </w:p>
        </w:tc>
        <w:tc>
          <w:tcPr>
            <w:tcW w:w="913" w:type="dxa"/>
            <w:shd w:val="clear" w:color="auto" w:fill="auto"/>
            <w:vAlign w:val="center"/>
          </w:tcPr>
          <w:p w14:paraId="58E34180">
            <w:pPr>
              <w:pStyle w:val="41"/>
              <w:rPr>
                <w:rFonts w:hint="eastAsia"/>
                <w:sz w:val="22"/>
                <w:szCs w:val="22"/>
              </w:rPr>
            </w:pPr>
            <w:r>
              <w:rPr>
                <w:rFonts w:hint="eastAsia"/>
              </w:rPr>
              <w:t>116</w:t>
            </w:r>
          </w:p>
        </w:tc>
        <w:tc>
          <w:tcPr>
            <w:tcW w:w="916" w:type="pct"/>
            <w:vMerge w:val="continue"/>
            <w:shd w:val="clear" w:color="auto" w:fill="auto"/>
            <w:vAlign w:val="center"/>
          </w:tcPr>
          <w:p w14:paraId="2154C09D">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4B6E1D34">
            <w:pPr>
              <w:adjustRightInd w:val="0"/>
              <w:snapToGrid w:val="0"/>
              <w:spacing w:line="240" w:lineRule="auto"/>
              <w:ind w:firstLine="0" w:firstLineChars="0"/>
              <w:jc w:val="center"/>
              <w:rPr>
                <w:rFonts w:hint="eastAsia"/>
                <w:sz w:val="22"/>
                <w:szCs w:val="22"/>
              </w:rPr>
            </w:pPr>
          </w:p>
        </w:tc>
      </w:tr>
      <w:tr w14:paraId="62AC3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2937781C">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007860A">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BAE0C7E">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6F2215F6">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09B1768E">
            <w:pPr>
              <w:pStyle w:val="41"/>
              <w:rPr>
                <w:rFonts w:hint="eastAsia"/>
                <w:sz w:val="22"/>
                <w:szCs w:val="22"/>
              </w:rPr>
            </w:pPr>
          </w:p>
        </w:tc>
        <w:tc>
          <w:tcPr>
            <w:tcW w:w="4198" w:type="dxa"/>
            <w:shd w:val="clear" w:color="auto" w:fill="auto"/>
            <w:vAlign w:val="center"/>
          </w:tcPr>
          <w:p w14:paraId="781DE68C">
            <w:pPr>
              <w:pStyle w:val="41"/>
              <w:jc w:val="left"/>
              <w:rPr>
                <w:rFonts w:hint="eastAsia"/>
                <w:sz w:val="22"/>
                <w:szCs w:val="22"/>
              </w:rPr>
            </w:pPr>
            <w:r>
              <w:rPr>
                <w:rFonts w:hint="eastAsia"/>
              </w:rPr>
              <w:t>4.3门窗玻璃存在破损、脱落的住宅数量</w:t>
            </w:r>
          </w:p>
        </w:tc>
        <w:tc>
          <w:tcPr>
            <w:tcW w:w="913" w:type="dxa"/>
            <w:shd w:val="clear" w:color="auto" w:fill="auto"/>
            <w:vAlign w:val="center"/>
          </w:tcPr>
          <w:p w14:paraId="2E227535">
            <w:pPr>
              <w:pStyle w:val="41"/>
              <w:rPr>
                <w:rFonts w:hint="eastAsia"/>
                <w:sz w:val="22"/>
                <w:szCs w:val="22"/>
              </w:rPr>
            </w:pPr>
            <w:r>
              <w:rPr>
                <w:rFonts w:hint="eastAsia"/>
              </w:rPr>
              <w:t>97</w:t>
            </w:r>
          </w:p>
        </w:tc>
        <w:tc>
          <w:tcPr>
            <w:tcW w:w="916" w:type="pct"/>
            <w:vMerge w:val="continue"/>
            <w:shd w:val="clear" w:color="auto" w:fill="auto"/>
            <w:vAlign w:val="center"/>
          </w:tcPr>
          <w:p w14:paraId="7AF73EE7">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7A351D26">
            <w:pPr>
              <w:adjustRightInd w:val="0"/>
              <w:snapToGrid w:val="0"/>
              <w:spacing w:line="240" w:lineRule="auto"/>
              <w:ind w:firstLine="0" w:firstLineChars="0"/>
              <w:jc w:val="center"/>
              <w:rPr>
                <w:rFonts w:hint="eastAsia"/>
                <w:sz w:val="22"/>
                <w:szCs w:val="22"/>
              </w:rPr>
            </w:pPr>
          </w:p>
        </w:tc>
      </w:tr>
      <w:tr w14:paraId="75E81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03CB143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0D2B901">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F1011FC">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368EDA59">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215B4E18">
            <w:pPr>
              <w:pStyle w:val="41"/>
              <w:rPr>
                <w:rFonts w:hint="eastAsia"/>
                <w:sz w:val="22"/>
                <w:szCs w:val="22"/>
              </w:rPr>
            </w:pPr>
          </w:p>
        </w:tc>
        <w:tc>
          <w:tcPr>
            <w:tcW w:w="4198" w:type="dxa"/>
            <w:shd w:val="clear" w:color="auto" w:fill="auto"/>
            <w:vAlign w:val="center"/>
          </w:tcPr>
          <w:p w14:paraId="46CFA651">
            <w:pPr>
              <w:pStyle w:val="41"/>
              <w:jc w:val="left"/>
              <w:rPr>
                <w:rFonts w:hint="eastAsia"/>
                <w:sz w:val="22"/>
                <w:szCs w:val="22"/>
              </w:rPr>
            </w:pPr>
            <w:r>
              <w:rPr>
                <w:rFonts w:hint="eastAsia"/>
              </w:rPr>
              <w:t>4.4屋面排水不畅、漏水的住宅数量</w:t>
            </w:r>
          </w:p>
        </w:tc>
        <w:tc>
          <w:tcPr>
            <w:tcW w:w="913" w:type="dxa"/>
            <w:shd w:val="clear" w:color="auto" w:fill="auto"/>
            <w:vAlign w:val="center"/>
          </w:tcPr>
          <w:p w14:paraId="272C42BA">
            <w:pPr>
              <w:pStyle w:val="41"/>
              <w:rPr>
                <w:rFonts w:hint="eastAsia"/>
                <w:sz w:val="22"/>
                <w:szCs w:val="22"/>
              </w:rPr>
            </w:pPr>
            <w:r>
              <w:rPr>
                <w:rFonts w:hint="eastAsia"/>
              </w:rPr>
              <w:t>96</w:t>
            </w:r>
          </w:p>
        </w:tc>
        <w:tc>
          <w:tcPr>
            <w:tcW w:w="916" w:type="pct"/>
            <w:vMerge w:val="continue"/>
            <w:shd w:val="clear" w:color="auto" w:fill="auto"/>
            <w:vAlign w:val="center"/>
          </w:tcPr>
          <w:p w14:paraId="6808901E">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2B8DB1BB">
            <w:pPr>
              <w:adjustRightInd w:val="0"/>
              <w:snapToGrid w:val="0"/>
              <w:spacing w:line="240" w:lineRule="auto"/>
              <w:ind w:firstLine="0" w:firstLineChars="0"/>
              <w:jc w:val="center"/>
              <w:rPr>
                <w:rFonts w:hint="eastAsia"/>
                <w:sz w:val="22"/>
                <w:szCs w:val="22"/>
              </w:rPr>
            </w:pPr>
          </w:p>
        </w:tc>
      </w:tr>
      <w:tr w14:paraId="4299D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207" w:type="pct"/>
            <w:vMerge w:val="continue"/>
            <w:shd w:val="clear" w:color="auto" w:fill="auto"/>
            <w:vAlign w:val="center"/>
          </w:tcPr>
          <w:p w14:paraId="64A63525">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751C7B3">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766F025">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4317BEA4">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00F97585">
            <w:pPr>
              <w:pStyle w:val="41"/>
              <w:rPr>
                <w:rFonts w:hint="eastAsia"/>
                <w:sz w:val="22"/>
                <w:szCs w:val="22"/>
              </w:rPr>
            </w:pPr>
          </w:p>
        </w:tc>
        <w:tc>
          <w:tcPr>
            <w:tcW w:w="4198" w:type="dxa"/>
            <w:shd w:val="clear" w:color="auto" w:fill="auto"/>
            <w:vAlign w:val="center"/>
          </w:tcPr>
          <w:p w14:paraId="7D1E1DEB">
            <w:pPr>
              <w:pStyle w:val="41"/>
              <w:jc w:val="left"/>
              <w:rPr>
                <w:rFonts w:hint="eastAsia"/>
                <w:sz w:val="22"/>
                <w:szCs w:val="22"/>
              </w:rPr>
            </w:pPr>
            <w:r>
              <w:rPr>
                <w:rFonts w:hint="eastAsia"/>
              </w:rPr>
              <w:t>4.5外墙内侧、地下室渗水漏水的住宅数量</w:t>
            </w:r>
          </w:p>
        </w:tc>
        <w:tc>
          <w:tcPr>
            <w:tcW w:w="913" w:type="dxa"/>
            <w:shd w:val="clear" w:color="auto" w:fill="auto"/>
            <w:vAlign w:val="center"/>
          </w:tcPr>
          <w:p w14:paraId="076EBFD4">
            <w:pPr>
              <w:pStyle w:val="41"/>
              <w:rPr>
                <w:rFonts w:hint="eastAsia"/>
                <w:sz w:val="22"/>
                <w:szCs w:val="22"/>
              </w:rPr>
            </w:pPr>
            <w:r>
              <w:rPr>
                <w:rFonts w:hint="eastAsia"/>
              </w:rPr>
              <w:t>211</w:t>
            </w:r>
          </w:p>
        </w:tc>
        <w:tc>
          <w:tcPr>
            <w:tcW w:w="916" w:type="pct"/>
            <w:vMerge w:val="continue"/>
            <w:shd w:val="clear" w:color="auto" w:fill="auto"/>
            <w:vAlign w:val="center"/>
          </w:tcPr>
          <w:p w14:paraId="3EC1E5FB">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2FA0B057">
            <w:pPr>
              <w:adjustRightInd w:val="0"/>
              <w:snapToGrid w:val="0"/>
              <w:spacing w:line="240" w:lineRule="auto"/>
              <w:ind w:firstLine="0" w:firstLineChars="0"/>
              <w:jc w:val="center"/>
              <w:rPr>
                <w:rFonts w:hint="eastAsia"/>
                <w:sz w:val="22"/>
                <w:szCs w:val="22"/>
              </w:rPr>
            </w:pPr>
          </w:p>
        </w:tc>
      </w:tr>
      <w:tr w14:paraId="3612B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2206D173">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7A9DFA39">
            <w:pPr>
              <w:adjustRightInd w:val="0"/>
              <w:snapToGrid w:val="0"/>
              <w:spacing w:line="240" w:lineRule="auto"/>
              <w:ind w:firstLine="0" w:firstLineChars="0"/>
              <w:jc w:val="center"/>
              <w:rPr>
                <w:rFonts w:hint="eastAsia"/>
                <w:sz w:val="22"/>
                <w:szCs w:val="22"/>
              </w:rPr>
            </w:pPr>
            <w:r>
              <w:rPr>
                <w:rFonts w:hint="eastAsia"/>
                <w:sz w:val="22"/>
                <w:szCs w:val="22"/>
              </w:rPr>
              <w:t>功能完备</w:t>
            </w:r>
          </w:p>
        </w:tc>
        <w:tc>
          <w:tcPr>
            <w:tcW w:w="153" w:type="pct"/>
            <w:vMerge w:val="restart"/>
            <w:shd w:val="clear" w:color="auto" w:fill="auto"/>
            <w:vAlign w:val="center"/>
          </w:tcPr>
          <w:p w14:paraId="1995478F">
            <w:pPr>
              <w:adjustRightInd w:val="0"/>
              <w:snapToGrid w:val="0"/>
              <w:spacing w:line="240" w:lineRule="auto"/>
              <w:ind w:firstLine="0" w:firstLineChars="0"/>
              <w:jc w:val="center"/>
              <w:rPr>
                <w:rFonts w:hint="eastAsia"/>
                <w:sz w:val="22"/>
                <w:szCs w:val="22"/>
              </w:rPr>
            </w:pPr>
            <w:r>
              <w:rPr>
                <w:rFonts w:hint="eastAsia"/>
                <w:sz w:val="22"/>
                <w:szCs w:val="22"/>
              </w:rPr>
              <w:t>5</w:t>
            </w:r>
          </w:p>
        </w:tc>
        <w:tc>
          <w:tcPr>
            <w:tcW w:w="587" w:type="pct"/>
            <w:vMerge w:val="restart"/>
            <w:shd w:val="clear" w:color="auto" w:fill="auto"/>
            <w:vAlign w:val="center"/>
          </w:tcPr>
          <w:p w14:paraId="0EE6ED54">
            <w:pPr>
              <w:adjustRightInd w:val="0"/>
              <w:snapToGrid w:val="0"/>
              <w:spacing w:line="240" w:lineRule="auto"/>
              <w:ind w:firstLine="0" w:firstLineChars="0"/>
              <w:jc w:val="center"/>
              <w:rPr>
                <w:rFonts w:hint="eastAsia"/>
                <w:sz w:val="22"/>
                <w:szCs w:val="22"/>
              </w:rPr>
            </w:pPr>
            <w:r>
              <w:rPr>
                <w:rFonts w:hint="eastAsia"/>
                <w:sz w:val="22"/>
                <w:szCs w:val="22"/>
              </w:rPr>
              <w:t>非成套住宅数量（栋）</w:t>
            </w:r>
          </w:p>
        </w:tc>
        <w:tc>
          <w:tcPr>
            <w:tcW w:w="657" w:type="dxa"/>
            <w:vMerge w:val="restart"/>
            <w:shd w:val="clear" w:color="auto" w:fill="auto"/>
            <w:vAlign w:val="center"/>
          </w:tcPr>
          <w:p w14:paraId="4C2B61B8">
            <w:pPr>
              <w:pStyle w:val="41"/>
              <w:rPr>
                <w:rFonts w:hint="eastAsia"/>
                <w:sz w:val="22"/>
                <w:szCs w:val="22"/>
              </w:rPr>
            </w:pPr>
            <w:r>
              <w:rPr>
                <w:rFonts w:hint="eastAsia"/>
              </w:rPr>
              <w:t>5</w:t>
            </w:r>
          </w:p>
        </w:tc>
        <w:tc>
          <w:tcPr>
            <w:tcW w:w="4198" w:type="dxa"/>
            <w:shd w:val="clear" w:color="auto" w:fill="auto"/>
            <w:vAlign w:val="center"/>
          </w:tcPr>
          <w:p w14:paraId="37509E25">
            <w:pPr>
              <w:pStyle w:val="41"/>
              <w:jc w:val="left"/>
              <w:rPr>
                <w:rFonts w:hint="eastAsia"/>
                <w:sz w:val="22"/>
                <w:szCs w:val="22"/>
              </w:rPr>
            </w:pPr>
            <w:r>
              <w:rPr>
                <w:rFonts w:hint="eastAsia"/>
              </w:rPr>
              <w:t>5.1没有独立厨房、卫生间等基本功能空间的住宅数量</w:t>
            </w:r>
          </w:p>
        </w:tc>
        <w:tc>
          <w:tcPr>
            <w:tcW w:w="913" w:type="dxa"/>
            <w:shd w:val="clear" w:color="auto" w:fill="auto"/>
            <w:vAlign w:val="center"/>
          </w:tcPr>
          <w:p w14:paraId="2ACFC42A">
            <w:pPr>
              <w:pStyle w:val="41"/>
              <w:rPr>
                <w:rFonts w:hint="eastAsia"/>
                <w:sz w:val="22"/>
                <w:szCs w:val="22"/>
              </w:rPr>
            </w:pPr>
            <w:r>
              <w:rPr>
                <w:rFonts w:hint="eastAsia"/>
              </w:rPr>
              <w:t>4</w:t>
            </w:r>
          </w:p>
        </w:tc>
        <w:tc>
          <w:tcPr>
            <w:tcW w:w="916" w:type="pct"/>
            <w:vMerge w:val="restart"/>
            <w:shd w:val="clear" w:color="auto" w:fill="auto"/>
            <w:vAlign w:val="center"/>
          </w:tcPr>
          <w:p w14:paraId="7FA5471C">
            <w:pPr>
              <w:adjustRightInd w:val="0"/>
              <w:snapToGrid w:val="0"/>
              <w:spacing w:line="240" w:lineRule="auto"/>
              <w:ind w:firstLine="0" w:firstLineChars="0"/>
              <w:jc w:val="center"/>
              <w:rPr>
                <w:rFonts w:hint="eastAsia"/>
                <w:sz w:val="22"/>
                <w:szCs w:val="22"/>
              </w:rPr>
            </w:pPr>
            <w:r>
              <w:rPr>
                <w:rFonts w:hint="eastAsia"/>
                <w:sz w:val="22"/>
                <w:szCs w:val="22"/>
              </w:rPr>
              <w:t>按照《住宅性能评定标准》要求，调查既有住宅中没有厨房、卫生间等基本功能空间的情况。</w:t>
            </w:r>
          </w:p>
        </w:tc>
        <w:tc>
          <w:tcPr>
            <w:tcW w:w="945" w:type="pct"/>
            <w:vMerge w:val="restart"/>
            <w:shd w:val="clear" w:color="auto" w:fill="auto"/>
            <w:vAlign w:val="center"/>
          </w:tcPr>
          <w:p w14:paraId="02A604CC">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2FAE0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0619102C">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A8E1D56">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9082C4F">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199891CB">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0D1DC9FA">
            <w:pPr>
              <w:pStyle w:val="41"/>
              <w:rPr>
                <w:rFonts w:hint="eastAsia"/>
                <w:sz w:val="22"/>
                <w:szCs w:val="22"/>
              </w:rPr>
            </w:pPr>
          </w:p>
        </w:tc>
        <w:tc>
          <w:tcPr>
            <w:tcW w:w="4198" w:type="dxa"/>
            <w:shd w:val="clear" w:color="auto" w:fill="auto"/>
            <w:vAlign w:val="center"/>
          </w:tcPr>
          <w:p w14:paraId="4ADA3C42">
            <w:pPr>
              <w:pStyle w:val="41"/>
              <w:jc w:val="left"/>
              <w:rPr>
                <w:rFonts w:hint="eastAsia"/>
                <w:sz w:val="22"/>
                <w:szCs w:val="22"/>
              </w:rPr>
            </w:pPr>
            <w:r>
              <w:rPr>
                <w:rFonts w:hint="eastAsia"/>
              </w:rPr>
              <w:t>5.2既有住宅在采光、通风等性能方面不达标的住宅数量</w:t>
            </w:r>
          </w:p>
        </w:tc>
        <w:tc>
          <w:tcPr>
            <w:tcW w:w="913" w:type="dxa"/>
            <w:shd w:val="clear" w:color="auto" w:fill="auto"/>
            <w:vAlign w:val="center"/>
          </w:tcPr>
          <w:p w14:paraId="314691E9">
            <w:pPr>
              <w:pStyle w:val="41"/>
              <w:rPr>
                <w:rFonts w:hint="eastAsia"/>
                <w:sz w:val="22"/>
                <w:szCs w:val="22"/>
              </w:rPr>
            </w:pPr>
            <w:r>
              <w:rPr>
                <w:rFonts w:hint="eastAsia"/>
              </w:rPr>
              <w:t>1</w:t>
            </w:r>
          </w:p>
        </w:tc>
        <w:tc>
          <w:tcPr>
            <w:tcW w:w="916" w:type="pct"/>
            <w:vMerge w:val="continue"/>
            <w:shd w:val="clear" w:color="auto" w:fill="auto"/>
            <w:vAlign w:val="center"/>
          </w:tcPr>
          <w:p w14:paraId="7B585AA1">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0799BB2B">
            <w:pPr>
              <w:adjustRightInd w:val="0"/>
              <w:snapToGrid w:val="0"/>
              <w:spacing w:line="240" w:lineRule="auto"/>
              <w:ind w:firstLine="0" w:firstLineChars="0"/>
              <w:jc w:val="center"/>
              <w:rPr>
                <w:rFonts w:hint="eastAsia"/>
                <w:sz w:val="22"/>
                <w:szCs w:val="22"/>
              </w:rPr>
            </w:pPr>
          </w:p>
        </w:tc>
      </w:tr>
      <w:tr w14:paraId="20D8F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42DBA50D">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F57AB47">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6152AE8A">
            <w:pPr>
              <w:adjustRightInd w:val="0"/>
              <w:snapToGrid w:val="0"/>
              <w:spacing w:line="240" w:lineRule="auto"/>
              <w:ind w:firstLine="0" w:firstLineChars="0"/>
              <w:jc w:val="center"/>
              <w:rPr>
                <w:rFonts w:hint="eastAsia"/>
                <w:sz w:val="22"/>
                <w:szCs w:val="22"/>
              </w:rPr>
            </w:pPr>
            <w:r>
              <w:rPr>
                <w:rFonts w:hint="eastAsia"/>
                <w:sz w:val="22"/>
                <w:szCs w:val="22"/>
              </w:rPr>
              <w:t>6</w:t>
            </w:r>
          </w:p>
        </w:tc>
        <w:tc>
          <w:tcPr>
            <w:tcW w:w="587" w:type="pct"/>
            <w:vMerge w:val="restart"/>
            <w:shd w:val="clear" w:color="auto" w:fill="auto"/>
            <w:vAlign w:val="center"/>
          </w:tcPr>
          <w:p w14:paraId="3BFEC5C4">
            <w:pPr>
              <w:adjustRightInd w:val="0"/>
              <w:snapToGrid w:val="0"/>
              <w:spacing w:line="240" w:lineRule="auto"/>
              <w:ind w:firstLine="0" w:firstLineChars="0"/>
              <w:jc w:val="center"/>
              <w:rPr>
                <w:rFonts w:hint="eastAsia"/>
                <w:sz w:val="22"/>
                <w:szCs w:val="22"/>
              </w:rPr>
            </w:pPr>
            <w:r>
              <w:rPr>
                <w:rFonts w:hint="eastAsia"/>
                <w:sz w:val="22"/>
                <w:szCs w:val="22"/>
              </w:rPr>
              <w:t>☆存在管线管道破损的住宅数量（栋）</w:t>
            </w:r>
          </w:p>
        </w:tc>
        <w:tc>
          <w:tcPr>
            <w:tcW w:w="657" w:type="dxa"/>
            <w:vMerge w:val="restart"/>
            <w:shd w:val="clear" w:color="auto" w:fill="auto"/>
            <w:vAlign w:val="center"/>
          </w:tcPr>
          <w:p w14:paraId="37F5BDAE">
            <w:pPr>
              <w:pStyle w:val="41"/>
              <w:rPr>
                <w:rFonts w:hint="eastAsia"/>
                <w:sz w:val="22"/>
                <w:szCs w:val="22"/>
              </w:rPr>
            </w:pPr>
            <w:r>
              <w:rPr>
                <w:rFonts w:hint="eastAsia"/>
              </w:rPr>
              <w:t>387</w:t>
            </w:r>
          </w:p>
        </w:tc>
        <w:tc>
          <w:tcPr>
            <w:tcW w:w="4198" w:type="dxa"/>
            <w:shd w:val="clear" w:color="auto" w:fill="auto"/>
            <w:vAlign w:val="center"/>
          </w:tcPr>
          <w:p w14:paraId="697A8F01">
            <w:pPr>
              <w:pStyle w:val="41"/>
              <w:jc w:val="left"/>
              <w:rPr>
                <w:rFonts w:hint="eastAsia"/>
                <w:sz w:val="22"/>
                <w:szCs w:val="22"/>
              </w:rPr>
            </w:pPr>
            <w:r>
              <w:rPr>
                <w:rFonts w:hint="eastAsia"/>
              </w:rPr>
              <w:t>6.1给水管线跑冒滴漏、排水管线老化破损、渗漏堵塞的住宅数量</w:t>
            </w:r>
          </w:p>
        </w:tc>
        <w:tc>
          <w:tcPr>
            <w:tcW w:w="913" w:type="dxa"/>
            <w:shd w:val="clear" w:color="auto" w:fill="auto"/>
            <w:vAlign w:val="center"/>
          </w:tcPr>
          <w:p w14:paraId="1DCD0E8E">
            <w:pPr>
              <w:pStyle w:val="41"/>
              <w:rPr>
                <w:rFonts w:hint="eastAsia"/>
                <w:sz w:val="22"/>
                <w:szCs w:val="22"/>
              </w:rPr>
            </w:pPr>
            <w:r>
              <w:rPr>
                <w:rFonts w:hint="eastAsia"/>
              </w:rPr>
              <w:t>158</w:t>
            </w:r>
          </w:p>
        </w:tc>
        <w:tc>
          <w:tcPr>
            <w:tcW w:w="916" w:type="pct"/>
            <w:vMerge w:val="restart"/>
            <w:shd w:val="clear" w:color="auto" w:fill="auto"/>
            <w:vAlign w:val="center"/>
          </w:tcPr>
          <w:p w14:paraId="5EB4145B">
            <w:pPr>
              <w:adjustRightInd w:val="0"/>
              <w:snapToGrid w:val="0"/>
              <w:spacing w:line="240" w:lineRule="auto"/>
              <w:ind w:firstLine="0" w:firstLineChars="0"/>
              <w:jc w:val="center"/>
              <w:rPr>
                <w:rFonts w:hint="eastAsia"/>
                <w:sz w:val="22"/>
                <w:szCs w:val="22"/>
              </w:rPr>
            </w:pPr>
            <w:r>
              <w:rPr>
                <w:rFonts w:hint="eastAsia"/>
                <w:sz w:val="22"/>
                <w:szCs w:val="22"/>
              </w:rPr>
              <w:t>查找既有住宅中给水、排水、供热、供电、通信等管线管道和设施设备老化破损、跑冒滴漏、供给不足、管道堵塞等问题。</w:t>
            </w:r>
          </w:p>
        </w:tc>
        <w:tc>
          <w:tcPr>
            <w:tcW w:w="945" w:type="pct"/>
            <w:vMerge w:val="restart"/>
            <w:shd w:val="clear" w:color="auto" w:fill="auto"/>
            <w:vAlign w:val="center"/>
          </w:tcPr>
          <w:p w14:paraId="3D7DDECB">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39B8B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3E53D9D6">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1D8B0FF">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10B00B3">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7E26B99A">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2EAB3C56">
            <w:pPr>
              <w:pStyle w:val="41"/>
              <w:rPr>
                <w:rFonts w:hint="eastAsia"/>
                <w:sz w:val="22"/>
                <w:szCs w:val="22"/>
              </w:rPr>
            </w:pPr>
          </w:p>
        </w:tc>
        <w:tc>
          <w:tcPr>
            <w:tcW w:w="4198" w:type="dxa"/>
            <w:shd w:val="clear" w:color="auto" w:fill="auto"/>
            <w:vAlign w:val="center"/>
          </w:tcPr>
          <w:p w14:paraId="7A367E97">
            <w:pPr>
              <w:pStyle w:val="41"/>
              <w:jc w:val="left"/>
              <w:rPr>
                <w:rFonts w:hint="eastAsia"/>
                <w:sz w:val="22"/>
                <w:szCs w:val="22"/>
              </w:rPr>
            </w:pPr>
            <w:r>
              <w:rPr>
                <w:rFonts w:hint="eastAsia"/>
              </w:rPr>
              <w:t>6.2因供暖管道漏水、压力不足等原因导致采暖季温度不达标的住宅数量</w:t>
            </w:r>
          </w:p>
        </w:tc>
        <w:tc>
          <w:tcPr>
            <w:tcW w:w="913" w:type="dxa"/>
            <w:shd w:val="clear" w:color="auto" w:fill="auto"/>
            <w:vAlign w:val="center"/>
          </w:tcPr>
          <w:p w14:paraId="17A34E69">
            <w:pPr>
              <w:pStyle w:val="41"/>
              <w:rPr>
                <w:rFonts w:hint="eastAsia"/>
                <w:sz w:val="22"/>
                <w:szCs w:val="22"/>
              </w:rPr>
            </w:pPr>
            <w:r>
              <w:rPr>
                <w:rFonts w:hint="eastAsia"/>
              </w:rPr>
              <w:t>109</w:t>
            </w:r>
          </w:p>
        </w:tc>
        <w:tc>
          <w:tcPr>
            <w:tcW w:w="916" w:type="pct"/>
            <w:vMerge w:val="continue"/>
            <w:shd w:val="clear" w:color="auto" w:fill="auto"/>
            <w:vAlign w:val="center"/>
          </w:tcPr>
          <w:p w14:paraId="6F03C6D1">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7EEF345C">
            <w:pPr>
              <w:adjustRightInd w:val="0"/>
              <w:snapToGrid w:val="0"/>
              <w:spacing w:line="240" w:lineRule="auto"/>
              <w:ind w:firstLine="0" w:firstLineChars="0"/>
              <w:jc w:val="center"/>
              <w:rPr>
                <w:rFonts w:hint="eastAsia"/>
                <w:sz w:val="22"/>
                <w:szCs w:val="22"/>
              </w:rPr>
            </w:pPr>
          </w:p>
        </w:tc>
      </w:tr>
      <w:tr w14:paraId="7255F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7E7C12C3">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8E8C80F">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154FE628">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353D4601">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0AB3540E">
            <w:pPr>
              <w:pStyle w:val="41"/>
              <w:rPr>
                <w:rFonts w:hint="eastAsia"/>
                <w:sz w:val="22"/>
                <w:szCs w:val="22"/>
              </w:rPr>
            </w:pPr>
          </w:p>
        </w:tc>
        <w:tc>
          <w:tcPr>
            <w:tcW w:w="4198" w:type="dxa"/>
            <w:shd w:val="clear" w:color="auto" w:fill="auto"/>
            <w:vAlign w:val="center"/>
          </w:tcPr>
          <w:p w14:paraId="1CAC5FB3">
            <w:pPr>
              <w:pStyle w:val="41"/>
              <w:jc w:val="left"/>
              <w:rPr>
                <w:rFonts w:hint="eastAsia"/>
                <w:sz w:val="22"/>
                <w:szCs w:val="22"/>
              </w:rPr>
            </w:pPr>
            <w:r>
              <w:rPr>
                <w:rFonts w:hint="eastAsia"/>
              </w:rPr>
              <w:t>6.3电力电信管线老化破损及裸露、私搭乱接的住宅数量</w:t>
            </w:r>
          </w:p>
        </w:tc>
        <w:tc>
          <w:tcPr>
            <w:tcW w:w="913" w:type="dxa"/>
            <w:shd w:val="clear" w:color="auto" w:fill="auto"/>
            <w:vAlign w:val="center"/>
          </w:tcPr>
          <w:p w14:paraId="1BE01BDD">
            <w:pPr>
              <w:pStyle w:val="41"/>
              <w:rPr>
                <w:rFonts w:hint="eastAsia"/>
                <w:sz w:val="22"/>
                <w:szCs w:val="22"/>
              </w:rPr>
            </w:pPr>
            <w:r>
              <w:rPr>
                <w:rFonts w:hint="eastAsia"/>
              </w:rPr>
              <w:t>347</w:t>
            </w:r>
          </w:p>
        </w:tc>
        <w:tc>
          <w:tcPr>
            <w:tcW w:w="916" w:type="pct"/>
            <w:vMerge w:val="continue"/>
            <w:shd w:val="clear" w:color="auto" w:fill="auto"/>
            <w:vAlign w:val="center"/>
          </w:tcPr>
          <w:p w14:paraId="7F99ABD9">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4562975F">
            <w:pPr>
              <w:adjustRightInd w:val="0"/>
              <w:snapToGrid w:val="0"/>
              <w:spacing w:line="240" w:lineRule="auto"/>
              <w:ind w:firstLine="0" w:firstLineChars="0"/>
              <w:jc w:val="center"/>
              <w:rPr>
                <w:rFonts w:hint="eastAsia"/>
                <w:sz w:val="22"/>
                <w:szCs w:val="22"/>
              </w:rPr>
            </w:pPr>
          </w:p>
        </w:tc>
      </w:tr>
      <w:tr w14:paraId="52CD4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66A2D528">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FD85971">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79EC0BD4">
            <w:pPr>
              <w:adjustRightInd w:val="0"/>
              <w:snapToGrid w:val="0"/>
              <w:spacing w:line="240" w:lineRule="auto"/>
              <w:ind w:firstLine="0" w:firstLineChars="0"/>
              <w:jc w:val="center"/>
              <w:rPr>
                <w:rFonts w:hint="eastAsia"/>
                <w:sz w:val="22"/>
                <w:szCs w:val="22"/>
              </w:rPr>
            </w:pPr>
            <w:r>
              <w:rPr>
                <w:rFonts w:hint="eastAsia"/>
                <w:sz w:val="22"/>
                <w:szCs w:val="22"/>
              </w:rPr>
              <w:t>7</w:t>
            </w:r>
          </w:p>
        </w:tc>
        <w:tc>
          <w:tcPr>
            <w:tcW w:w="587" w:type="pct"/>
            <w:vMerge w:val="restart"/>
            <w:shd w:val="clear" w:color="auto" w:fill="auto"/>
            <w:vAlign w:val="center"/>
          </w:tcPr>
          <w:p w14:paraId="6F8EC4AA">
            <w:pPr>
              <w:adjustRightInd w:val="0"/>
              <w:snapToGrid w:val="0"/>
              <w:spacing w:line="240" w:lineRule="auto"/>
              <w:ind w:firstLine="0" w:firstLineChars="0"/>
              <w:jc w:val="center"/>
              <w:rPr>
                <w:rFonts w:hint="eastAsia"/>
                <w:sz w:val="22"/>
                <w:szCs w:val="22"/>
              </w:rPr>
            </w:pPr>
            <w:r>
              <w:rPr>
                <w:rFonts w:hint="eastAsia"/>
                <w:sz w:val="22"/>
                <w:szCs w:val="22"/>
              </w:rPr>
              <w:t>☆入户水质不达标的住宅数量（栋）</w:t>
            </w:r>
          </w:p>
        </w:tc>
        <w:tc>
          <w:tcPr>
            <w:tcW w:w="657" w:type="dxa"/>
            <w:vMerge w:val="restart"/>
            <w:shd w:val="clear" w:color="auto" w:fill="auto"/>
            <w:vAlign w:val="center"/>
          </w:tcPr>
          <w:p w14:paraId="531BA950">
            <w:pPr>
              <w:pStyle w:val="41"/>
              <w:rPr>
                <w:rFonts w:hint="eastAsia"/>
                <w:sz w:val="22"/>
                <w:szCs w:val="22"/>
              </w:rPr>
            </w:pPr>
            <w:r>
              <w:rPr>
                <w:rFonts w:hint="eastAsia"/>
              </w:rPr>
              <w:t>0</w:t>
            </w:r>
          </w:p>
        </w:tc>
        <w:tc>
          <w:tcPr>
            <w:tcW w:w="4198" w:type="dxa"/>
            <w:shd w:val="clear" w:color="auto" w:fill="auto"/>
            <w:vAlign w:val="center"/>
          </w:tcPr>
          <w:p w14:paraId="673B5021">
            <w:pPr>
              <w:pStyle w:val="41"/>
              <w:jc w:val="left"/>
              <w:rPr>
                <w:rFonts w:hint="eastAsia"/>
                <w:sz w:val="22"/>
                <w:szCs w:val="22"/>
              </w:rPr>
            </w:pPr>
            <w:r>
              <w:rPr>
                <w:rFonts w:hint="eastAsia"/>
              </w:rPr>
              <w:t>7.1管道等供水设施不符合卫生和安全规范等，导致户内龙头水质污染的住宅数量。</w:t>
            </w:r>
          </w:p>
        </w:tc>
        <w:tc>
          <w:tcPr>
            <w:tcW w:w="913" w:type="dxa"/>
            <w:shd w:val="clear" w:color="auto" w:fill="auto"/>
            <w:vAlign w:val="center"/>
          </w:tcPr>
          <w:p w14:paraId="697DFBAB">
            <w:pPr>
              <w:pStyle w:val="41"/>
              <w:rPr>
                <w:rFonts w:hint="eastAsia"/>
                <w:sz w:val="22"/>
                <w:szCs w:val="22"/>
              </w:rPr>
            </w:pPr>
            <w:r>
              <w:rPr>
                <w:rFonts w:hint="eastAsia"/>
              </w:rPr>
              <w:t>0</w:t>
            </w:r>
          </w:p>
        </w:tc>
        <w:tc>
          <w:tcPr>
            <w:tcW w:w="916" w:type="pct"/>
            <w:vMerge w:val="restart"/>
            <w:shd w:val="clear" w:color="auto" w:fill="auto"/>
            <w:vAlign w:val="center"/>
          </w:tcPr>
          <w:p w14:paraId="212CCEBA">
            <w:pPr>
              <w:adjustRightInd w:val="0"/>
              <w:snapToGrid w:val="0"/>
              <w:spacing w:line="240" w:lineRule="auto"/>
              <w:ind w:firstLine="0" w:firstLineChars="0"/>
              <w:jc w:val="center"/>
              <w:rPr>
                <w:rFonts w:hint="eastAsia"/>
                <w:sz w:val="22"/>
                <w:szCs w:val="22"/>
              </w:rPr>
            </w:pPr>
            <w:r>
              <w:rPr>
                <w:rFonts w:hint="eastAsia"/>
                <w:sz w:val="22"/>
                <w:szCs w:val="22"/>
              </w:rPr>
              <w:t>按照《生活饮用水卫生标准》要求，查找既有住宅由于管道锈蚀、水箱污染等造成水质不达标的原因及问题。</w:t>
            </w:r>
          </w:p>
        </w:tc>
        <w:tc>
          <w:tcPr>
            <w:tcW w:w="945" w:type="pct"/>
            <w:vMerge w:val="restart"/>
            <w:shd w:val="clear" w:color="auto" w:fill="auto"/>
            <w:vAlign w:val="center"/>
          </w:tcPr>
          <w:p w14:paraId="4F0375DC">
            <w:pPr>
              <w:adjustRightInd w:val="0"/>
              <w:snapToGrid w:val="0"/>
              <w:spacing w:line="240" w:lineRule="auto"/>
              <w:ind w:firstLine="0" w:firstLineChars="0"/>
              <w:jc w:val="center"/>
              <w:rPr>
                <w:rFonts w:hint="eastAsia"/>
                <w:sz w:val="22"/>
                <w:szCs w:val="22"/>
              </w:rPr>
            </w:pPr>
            <w:r>
              <w:rPr>
                <w:rFonts w:hint="eastAsia"/>
                <w:sz w:val="22"/>
                <w:szCs w:val="22"/>
              </w:rPr>
              <w:t>市卫健委、专业机构入户检测</w:t>
            </w:r>
          </w:p>
        </w:tc>
      </w:tr>
      <w:tr w14:paraId="7C43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290C9E9A">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42D3B81">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3650C198">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531FB61D">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029A64D5">
            <w:pPr>
              <w:pStyle w:val="41"/>
              <w:rPr>
                <w:rFonts w:hint="eastAsia"/>
                <w:sz w:val="22"/>
                <w:szCs w:val="22"/>
              </w:rPr>
            </w:pPr>
          </w:p>
        </w:tc>
        <w:tc>
          <w:tcPr>
            <w:tcW w:w="4198" w:type="dxa"/>
            <w:shd w:val="clear" w:color="auto" w:fill="auto"/>
            <w:vAlign w:val="center"/>
          </w:tcPr>
          <w:p w14:paraId="781B013D">
            <w:pPr>
              <w:pStyle w:val="41"/>
              <w:jc w:val="left"/>
              <w:rPr>
                <w:rFonts w:hint="eastAsia"/>
                <w:sz w:val="22"/>
                <w:szCs w:val="22"/>
              </w:rPr>
            </w:pPr>
            <w:r>
              <w:rPr>
                <w:rFonts w:hint="eastAsia"/>
              </w:rPr>
              <w:t>7.2经专业机构检测，不满足生活饮用水水质标准住宅数量。</w:t>
            </w:r>
          </w:p>
        </w:tc>
        <w:tc>
          <w:tcPr>
            <w:tcW w:w="913" w:type="dxa"/>
            <w:shd w:val="clear" w:color="auto" w:fill="auto"/>
            <w:vAlign w:val="center"/>
          </w:tcPr>
          <w:p w14:paraId="3F0B7467">
            <w:pPr>
              <w:pStyle w:val="41"/>
              <w:rPr>
                <w:rFonts w:hint="eastAsia"/>
                <w:sz w:val="22"/>
                <w:szCs w:val="22"/>
              </w:rPr>
            </w:pPr>
            <w:r>
              <w:rPr>
                <w:rFonts w:hint="eastAsia"/>
              </w:rPr>
              <w:t>0</w:t>
            </w:r>
          </w:p>
        </w:tc>
        <w:tc>
          <w:tcPr>
            <w:tcW w:w="916" w:type="pct"/>
            <w:vMerge w:val="continue"/>
            <w:shd w:val="clear" w:color="auto" w:fill="auto"/>
            <w:vAlign w:val="center"/>
          </w:tcPr>
          <w:p w14:paraId="357D6BE9">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27A190FA">
            <w:pPr>
              <w:adjustRightInd w:val="0"/>
              <w:snapToGrid w:val="0"/>
              <w:spacing w:line="240" w:lineRule="auto"/>
              <w:ind w:firstLine="0" w:firstLineChars="0"/>
              <w:jc w:val="center"/>
              <w:rPr>
                <w:rFonts w:hint="eastAsia"/>
                <w:sz w:val="22"/>
                <w:szCs w:val="22"/>
              </w:rPr>
            </w:pPr>
          </w:p>
        </w:tc>
      </w:tr>
      <w:tr w14:paraId="1252C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49044A3D">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4A0EB17">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6C679E87">
            <w:pPr>
              <w:adjustRightInd w:val="0"/>
              <w:snapToGrid w:val="0"/>
              <w:spacing w:line="240" w:lineRule="auto"/>
              <w:ind w:firstLine="0" w:firstLineChars="0"/>
              <w:jc w:val="center"/>
              <w:rPr>
                <w:rFonts w:hint="eastAsia"/>
                <w:sz w:val="22"/>
                <w:szCs w:val="22"/>
              </w:rPr>
            </w:pPr>
            <w:r>
              <w:rPr>
                <w:rFonts w:hint="eastAsia"/>
                <w:sz w:val="22"/>
                <w:szCs w:val="22"/>
              </w:rPr>
              <w:t>8</w:t>
            </w:r>
          </w:p>
        </w:tc>
        <w:tc>
          <w:tcPr>
            <w:tcW w:w="587" w:type="pct"/>
            <w:vMerge w:val="restart"/>
            <w:shd w:val="clear" w:color="auto" w:fill="auto"/>
            <w:vAlign w:val="center"/>
          </w:tcPr>
          <w:p w14:paraId="5E39A4B1">
            <w:pPr>
              <w:adjustRightInd w:val="0"/>
              <w:snapToGrid w:val="0"/>
              <w:spacing w:line="240" w:lineRule="auto"/>
              <w:ind w:firstLine="0" w:firstLineChars="0"/>
              <w:jc w:val="center"/>
              <w:rPr>
                <w:rFonts w:hint="eastAsia"/>
                <w:sz w:val="22"/>
                <w:szCs w:val="22"/>
              </w:rPr>
            </w:pPr>
            <w:r>
              <w:rPr>
                <w:rFonts w:hint="eastAsia"/>
                <w:sz w:val="22"/>
                <w:szCs w:val="22"/>
              </w:rPr>
              <w:t>需要进行适老化改造的住宅数量（栋）</w:t>
            </w:r>
          </w:p>
        </w:tc>
        <w:tc>
          <w:tcPr>
            <w:tcW w:w="657" w:type="dxa"/>
            <w:vMerge w:val="restart"/>
            <w:shd w:val="clear" w:color="auto" w:fill="auto"/>
            <w:vAlign w:val="center"/>
          </w:tcPr>
          <w:p w14:paraId="646FF9AF">
            <w:pPr>
              <w:pStyle w:val="41"/>
              <w:rPr>
                <w:rFonts w:hint="eastAsia"/>
                <w:sz w:val="22"/>
                <w:szCs w:val="22"/>
              </w:rPr>
            </w:pPr>
            <w:r>
              <w:rPr>
                <w:rFonts w:hint="eastAsia"/>
              </w:rPr>
              <w:t>767</w:t>
            </w:r>
          </w:p>
        </w:tc>
        <w:tc>
          <w:tcPr>
            <w:tcW w:w="4198" w:type="dxa"/>
            <w:shd w:val="clear" w:color="auto" w:fill="auto"/>
            <w:vAlign w:val="center"/>
          </w:tcPr>
          <w:p w14:paraId="36CA912E">
            <w:pPr>
              <w:pStyle w:val="41"/>
              <w:jc w:val="left"/>
              <w:rPr>
                <w:rFonts w:hint="eastAsia"/>
                <w:sz w:val="22"/>
                <w:szCs w:val="22"/>
              </w:rPr>
            </w:pPr>
            <w:r>
              <w:rPr>
                <w:rFonts w:hint="eastAsia"/>
              </w:rPr>
              <w:t>8.1多层住宅中建成时未安装电梯，具备加装电梯条件但尚未进行加装改造的住宅数量</w:t>
            </w:r>
          </w:p>
        </w:tc>
        <w:tc>
          <w:tcPr>
            <w:tcW w:w="913" w:type="dxa"/>
            <w:shd w:val="clear" w:color="auto" w:fill="auto"/>
            <w:vAlign w:val="center"/>
          </w:tcPr>
          <w:p w14:paraId="14306D0D">
            <w:pPr>
              <w:pStyle w:val="41"/>
              <w:rPr>
                <w:rFonts w:hint="eastAsia"/>
                <w:sz w:val="22"/>
                <w:szCs w:val="22"/>
              </w:rPr>
            </w:pPr>
            <w:r>
              <w:rPr>
                <w:rFonts w:hint="eastAsia"/>
              </w:rPr>
              <w:t>282</w:t>
            </w:r>
          </w:p>
        </w:tc>
        <w:tc>
          <w:tcPr>
            <w:tcW w:w="916" w:type="pct"/>
            <w:vMerge w:val="restart"/>
            <w:shd w:val="clear" w:color="auto" w:fill="auto"/>
            <w:vAlign w:val="center"/>
          </w:tcPr>
          <w:p w14:paraId="20D44F4F">
            <w:pPr>
              <w:adjustRightInd w:val="0"/>
              <w:snapToGrid w:val="0"/>
              <w:spacing w:line="240" w:lineRule="auto"/>
              <w:ind w:firstLine="0" w:firstLineChars="0"/>
              <w:jc w:val="center"/>
              <w:rPr>
                <w:rFonts w:hint="eastAsia"/>
                <w:sz w:val="22"/>
                <w:szCs w:val="22"/>
              </w:rPr>
            </w:pPr>
            <w:r>
              <w:rPr>
                <w:rFonts w:hint="eastAsia"/>
                <w:sz w:val="22"/>
                <w:szCs w:val="22"/>
              </w:rPr>
              <w:t>查找建成时未安装电梯的多层住宅中具备加装电梯条件、但尚未加装改造的问题。具备条件的，可按照《无障碍设计规范》、既有住宅适老化改造相关标准要求，查找住宅出入口、门厅等公用区域以及住宅户内适老设施建设短板。</w:t>
            </w:r>
          </w:p>
        </w:tc>
        <w:tc>
          <w:tcPr>
            <w:tcW w:w="945" w:type="pct"/>
            <w:vMerge w:val="restart"/>
            <w:shd w:val="clear" w:color="auto" w:fill="auto"/>
            <w:vAlign w:val="center"/>
          </w:tcPr>
          <w:p w14:paraId="0BF35D66">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06CE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0BD2AB32">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BFE4CAC">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5D01C1A">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2BD30570">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5984540E">
            <w:pPr>
              <w:pStyle w:val="41"/>
              <w:rPr>
                <w:rFonts w:hint="eastAsia"/>
                <w:sz w:val="22"/>
                <w:szCs w:val="22"/>
              </w:rPr>
            </w:pPr>
          </w:p>
        </w:tc>
        <w:tc>
          <w:tcPr>
            <w:tcW w:w="4198" w:type="dxa"/>
            <w:shd w:val="clear" w:color="auto" w:fill="auto"/>
            <w:vAlign w:val="center"/>
          </w:tcPr>
          <w:p w14:paraId="44998A08">
            <w:pPr>
              <w:pStyle w:val="41"/>
              <w:jc w:val="left"/>
              <w:rPr>
                <w:rFonts w:hint="eastAsia"/>
                <w:sz w:val="22"/>
                <w:szCs w:val="22"/>
              </w:rPr>
            </w:pPr>
            <w:r>
              <w:rPr>
                <w:rFonts w:hint="eastAsia"/>
              </w:rPr>
              <w:t>8.2住宅单元出入口和通道未进行无障碍改造、地面防滑处理的住宅数量</w:t>
            </w:r>
          </w:p>
        </w:tc>
        <w:tc>
          <w:tcPr>
            <w:tcW w:w="913" w:type="dxa"/>
            <w:shd w:val="clear" w:color="auto" w:fill="auto"/>
            <w:vAlign w:val="center"/>
          </w:tcPr>
          <w:p w14:paraId="515132CA">
            <w:pPr>
              <w:pStyle w:val="41"/>
              <w:rPr>
                <w:rFonts w:hint="eastAsia"/>
                <w:sz w:val="22"/>
                <w:szCs w:val="22"/>
              </w:rPr>
            </w:pPr>
            <w:r>
              <w:rPr>
                <w:rFonts w:hint="eastAsia"/>
              </w:rPr>
              <w:t>584</w:t>
            </w:r>
          </w:p>
        </w:tc>
        <w:tc>
          <w:tcPr>
            <w:tcW w:w="916" w:type="pct"/>
            <w:vMerge w:val="continue"/>
            <w:shd w:val="clear" w:color="auto" w:fill="auto"/>
            <w:vAlign w:val="center"/>
          </w:tcPr>
          <w:p w14:paraId="33166013">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7C7099EE">
            <w:pPr>
              <w:adjustRightInd w:val="0"/>
              <w:snapToGrid w:val="0"/>
              <w:spacing w:line="240" w:lineRule="auto"/>
              <w:ind w:firstLine="0" w:firstLineChars="0"/>
              <w:jc w:val="center"/>
              <w:rPr>
                <w:rFonts w:hint="eastAsia"/>
                <w:sz w:val="22"/>
                <w:szCs w:val="22"/>
              </w:rPr>
            </w:pPr>
          </w:p>
        </w:tc>
      </w:tr>
      <w:tr w14:paraId="24625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32B7BFB5">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4E425C8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62E42505">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656D0E53">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23CB7A5E">
            <w:pPr>
              <w:pStyle w:val="41"/>
              <w:rPr>
                <w:rFonts w:hint="eastAsia"/>
                <w:sz w:val="22"/>
                <w:szCs w:val="22"/>
              </w:rPr>
            </w:pPr>
          </w:p>
        </w:tc>
        <w:tc>
          <w:tcPr>
            <w:tcW w:w="4198" w:type="dxa"/>
            <w:shd w:val="clear" w:color="auto" w:fill="auto"/>
            <w:vAlign w:val="center"/>
          </w:tcPr>
          <w:p w14:paraId="5022376C">
            <w:pPr>
              <w:pStyle w:val="41"/>
              <w:jc w:val="left"/>
              <w:rPr>
                <w:rFonts w:hint="eastAsia"/>
                <w:sz w:val="22"/>
                <w:szCs w:val="22"/>
              </w:rPr>
            </w:pPr>
            <w:r>
              <w:rPr>
                <w:rFonts w:hint="eastAsia"/>
              </w:rPr>
              <w:t>8.3楼梯间未沿墙加装扶手的住宅数量</w:t>
            </w:r>
          </w:p>
        </w:tc>
        <w:tc>
          <w:tcPr>
            <w:tcW w:w="913" w:type="dxa"/>
            <w:shd w:val="clear" w:color="auto" w:fill="auto"/>
            <w:vAlign w:val="center"/>
          </w:tcPr>
          <w:p w14:paraId="4BB50AD1">
            <w:pPr>
              <w:pStyle w:val="41"/>
              <w:rPr>
                <w:rFonts w:hint="eastAsia"/>
                <w:sz w:val="22"/>
                <w:szCs w:val="22"/>
              </w:rPr>
            </w:pPr>
            <w:r>
              <w:rPr>
                <w:rFonts w:hint="eastAsia"/>
              </w:rPr>
              <w:t>492</w:t>
            </w:r>
          </w:p>
        </w:tc>
        <w:tc>
          <w:tcPr>
            <w:tcW w:w="916" w:type="pct"/>
            <w:vMerge w:val="continue"/>
            <w:shd w:val="clear" w:color="auto" w:fill="auto"/>
            <w:vAlign w:val="center"/>
          </w:tcPr>
          <w:p w14:paraId="7B6CD2EE">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18E500F4">
            <w:pPr>
              <w:adjustRightInd w:val="0"/>
              <w:snapToGrid w:val="0"/>
              <w:spacing w:line="240" w:lineRule="auto"/>
              <w:ind w:firstLine="0" w:firstLineChars="0"/>
              <w:jc w:val="center"/>
              <w:rPr>
                <w:rFonts w:hint="eastAsia"/>
                <w:sz w:val="22"/>
                <w:szCs w:val="22"/>
              </w:rPr>
            </w:pPr>
          </w:p>
        </w:tc>
      </w:tr>
      <w:tr w14:paraId="11D84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6C2EDE4A">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D129E10">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2E46BC48">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6AB1E248">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4542D2FA">
            <w:pPr>
              <w:pStyle w:val="41"/>
              <w:rPr>
                <w:rFonts w:hint="eastAsia"/>
                <w:sz w:val="22"/>
                <w:szCs w:val="22"/>
              </w:rPr>
            </w:pPr>
          </w:p>
        </w:tc>
        <w:tc>
          <w:tcPr>
            <w:tcW w:w="4198" w:type="dxa"/>
            <w:shd w:val="clear" w:color="auto" w:fill="auto"/>
            <w:vAlign w:val="center"/>
          </w:tcPr>
          <w:p w14:paraId="2FA48D19">
            <w:pPr>
              <w:pStyle w:val="41"/>
              <w:jc w:val="left"/>
              <w:rPr>
                <w:rFonts w:hint="eastAsia"/>
                <w:sz w:val="22"/>
                <w:szCs w:val="22"/>
              </w:rPr>
            </w:pPr>
            <w:r>
              <w:rPr>
                <w:rFonts w:hint="eastAsia"/>
              </w:rPr>
              <w:t>8.4特殊困难老年人家庭未实施适老化改造的住宅数量</w:t>
            </w:r>
          </w:p>
        </w:tc>
        <w:tc>
          <w:tcPr>
            <w:tcW w:w="913" w:type="dxa"/>
            <w:shd w:val="clear" w:color="auto" w:fill="auto"/>
            <w:vAlign w:val="center"/>
          </w:tcPr>
          <w:p w14:paraId="56C5CE79">
            <w:pPr>
              <w:pStyle w:val="41"/>
              <w:rPr>
                <w:rFonts w:hint="eastAsia"/>
                <w:sz w:val="22"/>
                <w:szCs w:val="22"/>
              </w:rPr>
            </w:pPr>
            <w:r>
              <w:rPr>
                <w:rFonts w:hint="eastAsia"/>
              </w:rPr>
              <w:t>128</w:t>
            </w:r>
          </w:p>
        </w:tc>
        <w:tc>
          <w:tcPr>
            <w:tcW w:w="916" w:type="pct"/>
            <w:vMerge w:val="continue"/>
            <w:shd w:val="clear" w:color="auto" w:fill="auto"/>
            <w:vAlign w:val="center"/>
          </w:tcPr>
          <w:p w14:paraId="7D8EE25A">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6D8E9433">
            <w:pPr>
              <w:adjustRightInd w:val="0"/>
              <w:snapToGrid w:val="0"/>
              <w:spacing w:line="240" w:lineRule="auto"/>
              <w:ind w:firstLine="0" w:firstLineChars="0"/>
              <w:jc w:val="center"/>
              <w:rPr>
                <w:rFonts w:hint="eastAsia"/>
                <w:sz w:val="22"/>
                <w:szCs w:val="22"/>
              </w:rPr>
            </w:pPr>
          </w:p>
        </w:tc>
      </w:tr>
      <w:tr w14:paraId="47C2C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207" w:type="pct"/>
            <w:vMerge w:val="continue"/>
            <w:shd w:val="clear" w:color="auto" w:fill="auto"/>
            <w:vAlign w:val="center"/>
          </w:tcPr>
          <w:p w14:paraId="31E6D158">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7EF9E08D">
            <w:pPr>
              <w:adjustRightInd w:val="0"/>
              <w:snapToGrid w:val="0"/>
              <w:spacing w:line="240" w:lineRule="auto"/>
              <w:ind w:firstLine="0" w:firstLineChars="0"/>
              <w:jc w:val="center"/>
              <w:rPr>
                <w:rFonts w:hint="eastAsia"/>
                <w:sz w:val="22"/>
                <w:szCs w:val="22"/>
              </w:rPr>
            </w:pPr>
            <w:r>
              <w:rPr>
                <w:rFonts w:hint="eastAsia"/>
                <w:sz w:val="22"/>
                <w:szCs w:val="22"/>
              </w:rPr>
              <w:t>绿色智能</w:t>
            </w:r>
          </w:p>
        </w:tc>
        <w:tc>
          <w:tcPr>
            <w:tcW w:w="153" w:type="pct"/>
            <w:shd w:val="clear" w:color="auto" w:fill="auto"/>
            <w:vAlign w:val="center"/>
          </w:tcPr>
          <w:p w14:paraId="53287B48">
            <w:pPr>
              <w:adjustRightInd w:val="0"/>
              <w:snapToGrid w:val="0"/>
              <w:spacing w:line="240" w:lineRule="auto"/>
              <w:ind w:firstLine="0" w:firstLineChars="0"/>
              <w:jc w:val="center"/>
              <w:rPr>
                <w:rFonts w:hint="eastAsia"/>
                <w:sz w:val="22"/>
                <w:szCs w:val="22"/>
              </w:rPr>
            </w:pPr>
            <w:r>
              <w:rPr>
                <w:rFonts w:hint="eastAsia"/>
                <w:sz w:val="22"/>
                <w:szCs w:val="22"/>
              </w:rPr>
              <w:t>9</w:t>
            </w:r>
          </w:p>
        </w:tc>
        <w:tc>
          <w:tcPr>
            <w:tcW w:w="587" w:type="pct"/>
            <w:shd w:val="clear" w:color="auto" w:fill="auto"/>
            <w:vAlign w:val="center"/>
          </w:tcPr>
          <w:p w14:paraId="530E4EF3">
            <w:pPr>
              <w:adjustRightInd w:val="0"/>
              <w:snapToGrid w:val="0"/>
              <w:spacing w:line="240" w:lineRule="auto"/>
              <w:ind w:firstLine="0" w:firstLineChars="0"/>
              <w:jc w:val="center"/>
              <w:rPr>
                <w:rFonts w:hint="eastAsia"/>
                <w:sz w:val="22"/>
                <w:szCs w:val="22"/>
              </w:rPr>
            </w:pPr>
            <w:r>
              <w:rPr>
                <w:rFonts w:hint="eastAsia"/>
                <w:sz w:val="22"/>
                <w:szCs w:val="22"/>
              </w:rPr>
              <w:t>需要进行节能改造的住宅数量（栋）</w:t>
            </w:r>
          </w:p>
        </w:tc>
        <w:tc>
          <w:tcPr>
            <w:tcW w:w="657" w:type="dxa"/>
            <w:shd w:val="clear" w:color="auto" w:fill="auto"/>
            <w:vAlign w:val="center"/>
          </w:tcPr>
          <w:p w14:paraId="66F7994A">
            <w:pPr>
              <w:pStyle w:val="41"/>
              <w:rPr>
                <w:rFonts w:hint="eastAsia"/>
                <w:sz w:val="22"/>
                <w:szCs w:val="22"/>
              </w:rPr>
            </w:pPr>
            <w:r>
              <w:rPr>
                <w:rFonts w:hint="eastAsia"/>
              </w:rPr>
              <w:t>91</w:t>
            </w:r>
          </w:p>
        </w:tc>
        <w:tc>
          <w:tcPr>
            <w:tcW w:w="4198" w:type="dxa"/>
            <w:shd w:val="clear" w:color="auto" w:fill="auto"/>
            <w:vAlign w:val="center"/>
          </w:tcPr>
          <w:p w14:paraId="43C0A3FE">
            <w:pPr>
              <w:pStyle w:val="41"/>
              <w:jc w:val="left"/>
              <w:rPr>
                <w:rFonts w:hint="eastAsia"/>
                <w:sz w:val="22"/>
                <w:szCs w:val="22"/>
              </w:rPr>
            </w:pPr>
            <w:r>
              <w:rPr>
                <w:rFonts w:hint="eastAsia"/>
              </w:rPr>
              <w:t>9.1具备节能改造价值但尚未进行节能改造的住宅数量</w:t>
            </w:r>
          </w:p>
        </w:tc>
        <w:tc>
          <w:tcPr>
            <w:tcW w:w="913" w:type="dxa"/>
            <w:shd w:val="clear" w:color="auto" w:fill="auto"/>
            <w:vAlign w:val="center"/>
          </w:tcPr>
          <w:p w14:paraId="506027A1">
            <w:pPr>
              <w:pStyle w:val="41"/>
              <w:rPr>
                <w:rFonts w:hint="eastAsia"/>
                <w:sz w:val="22"/>
                <w:szCs w:val="22"/>
              </w:rPr>
            </w:pPr>
            <w:r>
              <w:rPr>
                <w:rFonts w:hint="eastAsia"/>
              </w:rPr>
              <w:t>91</w:t>
            </w:r>
          </w:p>
        </w:tc>
        <w:tc>
          <w:tcPr>
            <w:tcW w:w="916" w:type="pct"/>
            <w:shd w:val="clear" w:color="auto" w:fill="auto"/>
            <w:vAlign w:val="center"/>
          </w:tcPr>
          <w:p w14:paraId="13DD3BF5">
            <w:pPr>
              <w:adjustRightInd w:val="0"/>
              <w:snapToGrid w:val="0"/>
              <w:spacing w:line="240" w:lineRule="auto"/>
              <w:ind w:firstLine="0" w:firstLineChars="0"/>
              <w:jc w:val="center"/>
              <w:rPr>
                <w:rFonts w:hint="eastAsia"/>
                <w:sz w:val="22"/>
                <w:szCs w:val="22"/>
              </w:rPr>
            </w:pPr>
            <w:r>
              <w:rPr>
                <w:rFonts w:hint="eastAsia"/>
                <w:sz w:val="22"/>
                <w:szCs w:val="22"/>
              </w:rPr>
              <w:t>按照《城乡建设领域碳达峰实施方案》要求，查找2000年以前建设既有住宅中具备节能改造价值但尚未进行节能改造的住宅数量。</w:t>
            </w:r>
          </w:p>
        </w:tc>
        <w:tc>
          <w:tcPr>
            <w:tcW w:w="945" w:type="pct"/>
            <w:shd w:val="clear" w:color="auto" w:fill="auto"/>
            <w:vAlign w:val="center"/>
          </w:tcPr>
          <w:p w14:paraId="2951F222">
            <w:pPr>
              <w:adjustRightInd w:val="0"/>
              <w:snapToGrid w:val="0"/>
              <w:spacing w:line="240" w:lineRule="auto"/>
              <w:ind w:firstLine="0" w:firstLineChars="0"/>
              <w:jc w:val="center"/>
              <w:rPr>
                <w:rFonts w:hint="eastAsia"/>
                <w:sz w:val="22"/>
                <w:szCs w:val="22"/>
              </w:rPr>
            </w:pPr>
            <w:r>
              <w:rPr>
                <w:rFonts w:hint="eastAsia"/>
                <w:sz w:val="22"/>
                <w:szCs w:val="22"/>
              </w:rPr>
              <w:t>市住建局、专业机构入户检测</w:t>
            </w:r>
          </w:p>
        </w:tc>
      </w:tr>
      <w:tr w14:paraId="00217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16EB337B">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822A5B6">
            <w:pPr>
              <w:adjustRightInd w:val="0"/>
              <w:snapToGrid w:val="0"/>
              <w:spacing w:line="240" w:lineRule="auto"/>
              <w:ind w:firstLine="0" w:firstLineChars="0"/>
              <w:jc w:val="center"/>
              <w:rPr>
                <w:rFonts w:hint="eastAsia"/>
                <w:sz w:val="22"/>
                <w:szCs w:val="22"/>
              </w:rPr>
            </w:pPr>
          </w:p>
        </w:tc>
        <w:tc>
          <w:tcPr>
            <w:tcW w:w="153" w:type="pct"/>
            <w:vMerge w:val="restart"/>
            <w:shd w:val="clear" w:color="auto" w:fill="auto"/>
            <w:vAlign w:val="center"/>
          </w:tcPr>
          <w:p w14:paraId="443C2184">
            <w:pPr>
              <w:adjustRightInd w:val="0"/>
              <w:snapToGrid w:val="0"/>
              <w:spacing w:line="240" w:lineRule="auto"/>
              <w:ind w:firstLine="0" w:firstLineChars="0"/>
              <w:jc w:val="center"/>
              <w:rPr>
                <w:rFonts w:hint="eastAsia"/>
                <w:sz w:val="22"/>
                <w:szCs w:val="22"/>
              </w:rPr>
            </w:pPr>
            <w:r>
              <w:rPr>
                <w:rFonts w:hint="eastAsia"/>
                <w:sz w:val="22"/>
                <w:szCs w:val="22"/>
              </w:rPr>
              <w:t>10</w:t>
            </w:r>
          </w:p>
        </w:tc>
        <w:tc>
          <w:tcPr>
            <w:tcW w:w="587" w:type="pct"/>
            <w:vMerge w:val="restart"/>
            <w:shd w:val="clear" w:color="auto" w:fill="auto"/>
            <w:vAlign w:val="center"/>
          </w:tcPr>
          <w:p w14:paraId="51DE9C18">
            <w:pPr>
              <w:adjustRightInd w:val="0"/>
              <w:snapToGrid w:val="0"/>
              <w:spacing w:line="240" w:lineRule="auto"/>
              <w:ind w:firstLine="0" w:firstLineChars="0"/>
              <w:jc w:val="center"/>
              <w:rPr>
                <w:rFonts w:hint="eastAsia"/>
                <w:sz w:val="22"/>
                <w:szCs w:val="22"/>
              </w:rPr>
            </w:pPr>
            <w:r>
              <w:rPr>
                <w:rFonts w:hint="eastAsia"/>
                <w:sz w:val="22"/>
                <w:szCs w:val="22"/>
              </w:rPr>
              <w:t>需要进行数字化改造的住宅数量（栋）</w:t>
            </w:r>
          </w:p>
        </w:tc>
        <w:tc>
          <w:tcPr>
            <w:tcW w:w="657" w:type="dxa"/>
            <w:vMerge w:val="restart"/>
            <w:shd w:val="clear" w:color="auto" w:fill="auto"/>
            <w:vAlign w:val="center"/>
          </w:tcPr>
          <w:p w14:paraId="64172812">
            <w:pPr>
              <w:pStyle w:val="41"/>
              <w:rPr>
                <w:rFonts w:hint="eastAsia"/>
                <w:sz w:val="22"/>
                <w:szCs w:val="22"/>
              </w:rPr>
            </w:pPr>
            <w:r>
              <w:rPr>
                <w:rFonts w:hint="eastAsia"/>
              </w:rPr>
              <w:t>1499</w:t>
            </w:r>
          </w:p>
        </w:tc>
        <w:tc>
          <w:tcPr>
            <w:tcW w:w="4198" w:type="dxa"/>
            <w:shd w:val="clear" w:color="auto" w:fill="auto"/>
            <w:vAlign w:val="center"/>
          </w:tcPr>
          <w:p w14:paraId="67693532">
            <w:pPr>
              <w:pStyle w:val="41"/>
              <w:jc w:val="left"/>
              <w:rPr>
                <w:rFonts w:hint="eastAsia"/>
                <w:sz w:val="22"/>
                <w:szCs w:val="22"/>
              </w:rPr>
            </w:pPr>
            <w:r>
              <w:rPr>
                <w:rFonts w:hint="eastAsia"/>
              </w:rPr>
              <w:t>10.1住宅网络基础设施未覆盖，不具备光纤入户条件的住宅数量</w:t>
            </w:r>
          </w:p>
        </w:tc>
        <w:tc>
          <w:tcPr>
            <w:tcW w:w="913" w:type="dxa"/>
            <w:shd w:val="clear" w:color="auto" w:fill="auto"/>
            <w:vAlign w:val="center"/>
          </w:tcPr>
          <w:p w14:paraId="4A2AA644">
            <w:pPr>
              <w:pStyle w:val="41"/>
              <w:rPr>
                <w:rFonts w:hint="eastAsia"/>
                <w:sz w:val="22"/>
                <w:szCs w:val="22"/>
              </w:rPr>
            </w:pPr>
            <w:r>
              <w:rPr>
                <w:rFonts w:hint="eastAsia"/>
              </w:rPr>
              <w:t>54</w:t>
            </w:r>
          </w:p>
        </w:tc>
        <w:tc>
          <w:tcPr>
            <w:tcW w:w="916" w:type="pct"/>
            <w:vMerge w:val="restart"/>
            <w:shd w:val="clear" w:color="auto" w:fill="auto"/>
            <w:vAlign w:val="center"/>
          </w:tcPr>
          <w:p w14:paraId="61395625">
            <w:pPr>
              <w:adjustRightInd w:val="0"/>
              <w:snapToGrid w:val="0"/>
              <w:spacing w:line="240" w:lineRule="auto"/>
              <w:ind w:firstLine="0" w:firstLineChars="0"/>
              <w:jc w:val="center"/>
              <w:rPr>
                <w:rFonts w:hint="eastAsia"/>
                <w:sz w:val="22"/>
                <w:szCs w:val="22"/>
              </w:rPr>
            </w:pPr>
            <w:r>
              <w:rPr>
                <w:rFonts w:hint="eastAsia"/>
                <w:sz w:val="22"/>
                <w:szCs w:val="22"/>
              </w:rPr>
              <w:t>按照住房和城乡建设部等部门《关于加快发展数字家庭提高居住品质的指导意见》要求，查找既有住宅中网络基础设施、安防监测设备、高层住宅烟雾报警器等智能产品设置存在的问题。针对有需要的老年人、残疾人家庭，查找在健康管理、紧急呼叫等智能产品设置方面存在的问题。</w:t>
            </w:r>
          </w:p>
        </w:tc>
        <w:tc>
          <w:tcPr>
            <w:tcW w:w="945" w:type="pct"/>
            <w:vMerge w:val="restart"/>
            <w:shd w:val="clear" w:color="auto" w:fill="auto"/>
            <w:vAlign w:val="center"/>
          </w:tcPr>
          <w:p w14:paraId="6FAAA24E">
            <w:pPr>
              <w:adjustRightInd w:val="0"/>
              <w:snapToGrid w:val="0"/>
              <w:spacing w:line="240" w:lineRule="auto"/>
              <w:ind w:firstLine="0" w:firstLineChars="0"/>
              <w:jc w:val="center"/>
              <w:rPr>
                <w:rFonts w:hint="eastAsia"/>
                <w:sz w:val="22"/>
                <w:szCs w:val="22"/>
              </w:rPr>
            </w:pPr>
            <w:r>
              <w:rPr>
                <w:rFonts w:hint="eastAsia"/>
                <w:sz w:val="22"/>
                <w:szCs w:val="22"/>
              </w:rPr>
              <w:t>市住建局、小区物业、社区管理员现场调研填报、专业机构检测</w:t>
            </w:r>
          </w:p>
        </w:tc>
      </w:tr>
      <w:tr w14:paraId="137B6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1E7F87E7">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1D8D793F">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57711CF5">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2970D040">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67F1FAA5">
            <w:pPr>
              <w:pStyle w:val="41"/>
              <w:rPr>
                <w:rFonts w:hint="eastAsia"/>
                <w:sz w:val="22"/>
                <w:szCs w:val="22"/>
              </w:rPr>
            </w:pPr>
          </w:p>
        </w:tc>
        <w:tc>
          <w:tcPr>
            <w:tcW w:w="4198" w:type="dxa"/>
            <w:shd w:val="clear" w:color="auto" w:fill="auto"/>
            <w:vAlign w:val="center"/>
          </w:tcPr>
          <w:p w14:paraId="49296C26">
            <w:pPr>
              <w:pStyle w:val="41"/>
              <w:jc w:val="left"/>
              <w:rPr>
                <w:rFonts w:hint="eastAsia"/>
                <w:sz w:val="22"/>
                <w:szCs w:val="22"/>
              </w:rPr>
            </w:pPr>
            <w:r>
              <w:rPr>
                <w:rFonts w:hint="eastAsia"/>
              </w:rPr>
              <w:t>10.2住宅公共空间未安装楼宇入侵报警、视频监控等安防检测设备的住宅数量</w:t>
            </w:r>
          </w:p>
        </w:tc>
        <w:tc>
          <w:tcPr>
            <w:tcW w:w="913" w:type="dxa"/>
            <w:shd w:val="clear" w:color="auto" w:fill="auto"/>
            <w:vAlign w:val="center"/>
          </w:tcPr>
          <w:p w14:paraId="5526D056">
            <w:pPr>
              <w:pStyle w:val="41"/>
              <w:rPr>
                <w:rFonts w:hint="eastAsia"/>
                <w:sz w:val="22"/>
                <w:szCs w:val="22"/>
              </w:rPr>
            </w:pPr>
            <w:r>
              <w:rPr>
                <w:rFonts w:hint="eastAsia"/>
              </w:rPr>
              <w:t>627</w:t>
            </w:r>
          </w:p>
        </w:tc>
        <w:tc>
          <w:tcPr>
            <w:tcW w:w="916" w:type="pct"/>
            <w:vMerge w:val="continue"/>
            <w:shd w:val="clear" w:color="auto" w:fill="auto"/>
            <w:vAlign w:val="center"/>
          </w:tcPr>
          <w:p w14:paraId="4D13479C">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77AF19BD">
            <w:pPr>
              <w:adjustRightInd w:val="0"/>
              <w:snapToGrid w:val="0"/>
              <w:spacing w:line="240" w:lineRule="auto"/>
              <w:ind w:firstLine="0" w:firstLineChars="0"/>
              <w:jc w:val="center"/>
              <w:rPr>
                <w:rFonts w:hint="eastAsia"/>
                <w:sz w:val="22"/>
                <w:szCs w:val="22"/>
              </w:rPr>
            </w:pPr>
          </w:p>
        </w:tc>
      </w:tr>
      <w:tr w14:paraId="7F20E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207" w:type="pct"/>
            <w:vMerge w:val="continue"/>
            <w:shd w:val="clear" w:color="auto" w:fill="auto"/>
            <w:vAlign w:val="center"/>
          </w:tcPr>
          <w:p w14:paraId="7F52463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125C45E9">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8F2A96C">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105A93C4">
            <w:pPr>
              <w:adjustRightInd w:val="0"/>
              <w:snapToGrid w:val="0"/>
              <w:spacing w:line="240" w:lineRule="auto"/>
              <w:ind w:firstLine="0" w:firstLineChars="0"/>
              <w:jc w:val="center"/>
              <w:rPr>
                <w:rFonts w:hint="eastAsia"/>
                <w:sz w:val="22"/>
                <w:szCs w:val="22"/>
              </w:rPr>
            </w:pPr>
          </w:p>
        </w:tc>
        <w:tc>
          <w:tcPr>
            <w:tcW w:w="657" w:type="dxa"/>
            <w:vMerge w:val="continue"/>
            <w:shd w:val="clear" w:color="auto" w:fill="auto"/>
            <w:vAlign w:val="center"/>
          </w:tcPr>
          <w:p w14:paraId="7DE37FAB">
            <w:pPr>
              <w:pStyle w:val="41"/>
              <w:rPr>
                <w:rFonts w:hint="eastAsia"/>
                <w:sz w:val="22"/>
                <w:szCs w:val="22"/>
              </w:rPr>
            </w:pPr>
          </w:p>
        </w:tc>
        <w:tc>
          <w:tcPr>
            <w:tcW w:w="4198" w:type="dxa"/>
            <w:shd w:val="clear" w:color="auto" w:fill="auto"/>
            <w:vAlign w:val="center"/>
          </w:tcPr>
          <w:p w14:paraId="1BA5CF8A">
            <w:pPr>
              <w:pStyle w:val="41"/>
              <w:jc w:val="left"/>
              <w:rPr>
                <w:rFonts w:hint="eastAsia"/>
                <w:sz w:val="22"/>
                <w:szCs w:val="22"/>
              </w:rPr>
            </w:pPr>
            <w:r>
              <w:rPr>
                <w:rFonts w:hint="eastAsia"/>
              </w:rPr>
              <w:t>10.3高层住宅的楼梯间、走道、候梯厅、门厅等公共部位未安装烟感报警器的住宅数量</w:t>
            </w:r>
          </w:p>
        </w:tc>
        <w:tc>
          <w:tcPr>
            <w:tcW w:w="913" w:type="dxa"/>
            <w:shd w:val="clear" w:color="auto" w:fill="auto"/>
            <w:vAlign w:val="center"/>
          </w:tcPr>
          <w:p w14:paraId="4317A3E5">
            <w:pPr>
              <w:pStyle w:val="41"/>
              <w:rPr>
                <w:rFonts w:hint="eastAsia"/>
                <w:sz w:val="22"/>
                <w:szCs w:val="22"/>
              </w:rPr>
            </w:pPr>
            <w:r>
              <w:rPr>
                <w:rFonts w:hint="eastAsia"/>
              </w:rPr>
              <w:t>264</w:t>
            </w:r>
          </w:p>
        </w:tc>
        <w:tc>
          <w:tcPr>
            <w:tcW w:w="916" w:type="pct"/>
            <w:vMerge w:val="continue"/>
            <w:shd w:val="clear" w:color="auto" w:fill="auto"/>
            <w:vAlign w:val="center"/>
          </w:tcPr>
          <w:p w14:paraId="7CF75BF5">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388FC90E">
            <w:pPr>
              <w:adjustRightInd w:val="0"/>
              <w:snapToGrid w:val="0"/>
              <w:spacing w:line="240" w:lineRule="auto"/>
              <w:ind w:firstLine="0" w:firstLineChars="0"/>
              <w:jc w:val="center"/>
              <w:rPr>
                <w:rFonts w:hint="eastAsia"/>
                <w:sz w:val="22"/>
                <w:szCs w:val="22"/>
              </w:rPr>
            </w:pPr>
          </w:p>
        </w:tc>
      </w:tr>
      <w:tr w14:paraId="02F20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3" w:hRule="atLeast"/>
        </w:trPr>
        <w:tc>
          <w:tcPr>
            <w:tcW w:w="207" w:type="pct"/>
            <w:vMerge w:val="continue"/>
            <w:shd w:val="clear" w:color="auto" w:fill="auto"/>
            <w:vAlign w:val="center"/>
          </w:tcPr>
          <w:p w14:paraId="2D0DE534">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091ED43C">
            <w:pPr>
              <w:adjustRightInd w:val="0"/>
              <w:snapToGrid w:val="0"/>
              <w:spacing w:line="240" w:lineRule="auto"/>
              <w:ind w:firstLine="0" w:firstLineChars="0"/>
              <w:jc w:val="center"/>
              <w:rPr>
                <w:rFonts w:hint="eastAsia"/>
                <w:sz w:val="22"/>
                <w:szCs w:val="22"/>
              </w:rPr>
            </w:pPr>
          </w:p>
        </w:tc>
        <w:tc>
          <w:tcPr>
            <w:tcW w:w="153" w:type="pct"/>
            <w:vMerge w:val="continue"/>
            <w:shd w:val="clear" w:color="auto" w:fill="auto"/>
            <w:vAlign w:val="center"/>
          </w:tcPr>
          <w:p w14:paraId="7EC0BB30">
            <w:pPr>
              <w:adjustRightInd w:val="0"/>
              <w:snapToGrid w:val="0"/>
              <w:spacing w:line="240" w:lineRule="auto"/>
              <w:ind w:firstLine="0" w:firstLineChars="0"/>
              <w:jc w:val="center"/>
              <w:rPr>
                <w:rFonts w:hint="eastAsia"/>
                <w:sz w:val="22"/>
                <w:szCs w:val="22"/>
              </w:rPr>
            </w:pPr>
          </w:p>
        </w:tc>
        <w:tc>
          <w:tcPr>
            <w:tcW w:w="587" w:type="pct"/>
            <w:vMerge w:val="continue"/>
            <w:shd w:val="clear" w:color="auto" w:fill="auto"/>
            <w:vAlign w:val="center"/>
          </w:tcPr>
          <w:p w14:paraId="42DA25E3">
            <w:pPr>
              <w:adjustRightInd w:val="0"/>
              <w:snapToGrid w:val="0"/>
              <w:spacing w:line="240" w:lineRule="auto"/>
              <w:ind w:firstLine="0" w:firstLineChars="0"/>
              <w:jc w:val="center"/>
              <w:rPr>
                <w:rFonts w:hint="eastAsia"/>
                <w:sz w:val="22"/>
                <w:szCs w:val="22"/>
              </w:rPr>
            </w:pPr>
          </w:p>
        </w:tc>
        <w:tc>
          <w:tcPr>
            <w:tcW w:w="232" w:type="pct"/>
            <w:vMerge w:val="continue"/>
            <w:shd w:val="clear" w:color="auto" w:fill="auto"/>
            <w:vAlign w:val="center"/>
          </w:tcPr>
          <w:p w14:paraId="45EC3C46">
            <w:pPr>
              <w:adjustRightInd w:val="0"/>
              <w:snapToGrid w:val="0"/>
              <w:spacing w:line="240" w:lineRule="auto"/>
              <w:ind w:firstLine="0" w:firstLineChars="0"/>
              <w:jc w:val="center"/>
              <w:rPr>
                <w:rFonts w:hint="eastAsia"/>
                <w:sz w:val="22"/>
                <w:szCs w:val="22"/>
              </w:rPr>
            </w:pPr>
          </w:p>
        </w:tc>
        <w:tc>
          <w:tcPr>
            <w:tcW w:w="1481" w:type="pct"/>
            <w:shd w:val="clear" w:color="auto" w:fill="auto"/>
            <w:vAlign w:val="center"/>
          </w:tcPr>
          <w:p w14:paraId="12D115DC">
            <w:pPr>
              <w:adjustRightInd w:val="0"/>
              <w:snapToGrid w:val="0"/>
              <w:spacing w:line="240" w:lineRule="auto"/>
              <w:ind w:firstLine="0" w:firstLineChars="0"/>
              <w:jc w:val="center"/>
              <w:rPr>
                <w:rFonts w:hint="eastAsia"/>
                <w:sz w:val="22"/>
                <w:szCs w:val="22"/>
              </w:rPr>
            </w:pPr>
            <w:r>
              <w:rPr>
                <w:rFonts w:hint="eastAsia"/>
                <w:sz w:val="22"/>
                <w:szCs w:val="22"/>
              </w:rPr>
              <w:t>10.4未安装家庭健康紧急呼叫系统的住宅数量</w:t>
            </w:r>
          </w:p>
        </w:tc>
        <w:tc>
          <w:tcPr>
            <w:tcW w:w="322" w:type="pct"/>
            <w:shd w:val="clear" w:color="auto" w:fill="auto"/>
            <w:vAlign w:val="center"/>
          </w:tcPr>
          <w:p w14:paraId="7A4056E2">
            <w:pPr>
              <w:adjustRightInd w:val="0"/>
              <w:snapToGrid w:val="0"/>
              <w:spacing w:line="240" w:lineRule="auto"/>
              <w:ind w:firstLine="0" w:firstLineChars="0"/>
              <w:jc w:val="center"/>
              <w:rPr>
                <w:rFonts w:hint="eastAsia"/>
                <w:sz w:val="22"/>
                <w:szCs w:val="22"/>
              </w:rPr>
            </w:pPr>
            <w:r>
              <w:rPr>
                <w:rFonts w:hint="eastAsia"/>
                <w:sz w:val="22"/>
                <w:szCs w:val="22"/>
              </w:rPr>
              <w:t>1431</w:t>
            </w:r>
          </w:p>
        </w:tc>
        <w:tc>
          <w:tcPr>
            <w:tcW w:w="916" w:type="pct"/>
            <w:vMerge w:val="continue"/>
            <w:shd w:val="clear" w:color="auto" w:fill="auto"/>
            <w:vAlign w:val="center"/>
          </w:tcPr>
          <w:p w14:paraId="115224A0">
            <w:pPr>
              <w:adjustRightInd w:val="0"/>
              <w:snapToGrid w:val="0"/>
              <w:spacing w:line="240" w:lineRule="auto"/>
              <w:ind w:firstLine="0" w:firstLineChars="0"/>
              <w:jc w:val="center"/>
              <w:rPr>
                <w:rFonts w:hint="eastAsia"/>
                <w:sz w:val="22"/>
                <w:szCs w:val="22"/>
              </w:rPr>
            </w:pPr>
          </w:p>
        </w:tc>
        <w:tc>
          <w:tcPr>
            <w:tcW w:w="945" w:type="pct"/>
            <w:vMerge w:val="continue"/>
            <w:shd w:val="clear" w:color="auto" w:fill="auto"/>
            <w:vAlign w:val="center"/>
          </w:tcPr>
          <w:p w14:paraId="1753BFCE">
            <w:pPr>
              <w:adjustRightInd w:val="0"/>
              <w:snapToGrid w:val="0"/>
              <w:spacing w:line="240" w:lineRule="auto"/>
              <w:ind w:firstLine="0" w:firstLineChars="0"/>
              <w:jc w:val="center"/>
              <w:rPr>
                <w:rFonts w:hint="eastAsia"/>
                <w:sz w:val="22"/>
                <w:szCs w:val="22"/>
              </w:rPr>
            </w:pPr>
          </w:p>
        </w:tc>
      </w:tr>
    </w:tbl>
    <w:p w14:paraId="19D2536A">
      <w:pPr>
        <w:pStyle w:val="28"/>
        <w:ind w:left="640" w:firstLine="640"/>
        <w:sectPr>
          <w:pgSz w:w="16838" w:h="11906" w:orient="landscape"/>
          <w:pgMar w:top="1800" w:right="1440" w:bottom="1800" w:left="1440" w:header="851" w:footer="992" w:gutter="0"/>
          <w:pgNumType w:fmt="decimal"/>
          <w:cols w:space="425" w:num="1"/>
          <w:docGrid w:type="lines" w:linePitch="312" w:charSpace="0"/>
        </w:sectPr>
      </w:pPr>
    </w:p>
    <w:p w14:paraId="34D6CEBF">
      <w:pPr>
        <w:pStyle w:val="48"/>
        <w:outlineLvl w:val="2"/>
        <w:rPr>
          <w:rFonts w:hint="eastAsia"/>
        </w:rPr>
      </w:pPr>
      <w:r>
        <w:rPr>
          <w:rFonts w:hint="eastAsia"/>
        </w:rPr>
        <w:t>社区维度数据统计表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6"/>
        <w:gridCol w:w="436"/>
        <w:gridCol w:w="596"/>
        <w:gridCol w:w="2415"/>
        <w:gridCol w:w="963"/>
        <w:gridCol w:w="3672"/>
        <w:gridCol w:w="965"/>
        <w:gridCol w:w="3077"/>
        <w:gridCol w:w="1394"/>
      </w:tblGrid>
      <w:tr w14:paraId="7C5CB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trPr>
        <w:tc>
          <w:tcPr>
            <w:tcW w:w="656" w:type="dxa"/>
            <w:shd w:val="clear" w:color="auto" w:fill="auto"/>
            <w:vAlign w:val="center"/>
          </w:tcPr>
          <w:p w14:paraId="2FC63993">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维度</w:t>
            </w:r>
          </w:p>
        </w:tc>
        <w:tc>
          <w:tcPr>
            <w:tcW w:w="436" w:type="dxa"/>
            <w:shd w:val="clear" w:color="auto" w:fill="auto"/>
            <w:vAlign w:val="center"/>
          </w:tcPr>
          <w:p w14:paraId="629B7B1E">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二级维度</w:t>
            </w:r>
          </w:p>
        </w:tc>
        <w:tc>
          <w:tcPr>
            <w:tcW w:w="596" w:type="dxa"/>
            <w:shd w:val="clear" w:color="auto" w:fill="auto"/>
            <w:vAlign w:val="center"/>
          </w:tcPr>
          <w:p w14:paraId="01CF0904">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序号</w:t>
            </w:r>
          </w:p>
        </w:tc>
        <w:tc>
          <w:tcPr>
            <w:tcW w:w="2415" w:type="dxa"/>
            <w:shd w:val="clear" w:color="auto" w:fill="auto"/>
            <w:vAlign w:val="center"/>
          </w:tcPr>
          <w:p w14:paraId="7E998D21">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指标</w:t>
            </w:r>
          </w:p>
        </w:tc>
        <w:tc>
          <w:tcPr>
            <w:tcW w:w="963" w:type="dxa"/>
            <w:shd w:val="clear" w:color="auto" w:fill="auto"/>
            <w:vAlign w:val="center"/>
          </w:tcPr>
          <w:p w14:paraId="63C83169">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指标数值</w:t>
            </w:r>
          </w:p>
        </w:tc>
        <w:tc>
          <w:tcPr>
            <w:tcW w:w="3672" w:type="dxa"/>
            <w:shd w:val="clear" w:color="auto" w:fill="auto"/>
            <w:vAlign w:val="center"/>
          </w:tcPr>
          <w:p w14:paraId="121C74D2">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分解指标</w:t>
            </w:r>
          </w:p>
        </w:tc>
        <w:tc>
          <w:tcPr>
            <w:tcW w:w="965" w:type="dxa"/>
            <w:shd w:val="clear" w:color="auto" w:fill="auto"/>
            <w:vAlign w:val="center"/>
          </w:tcPr>
          <w:p w14:paraId="68BA5070">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分项体检值</w:t>
            </w:r>
          </w:p>
        </w:tc>
        <w:tc>
          <w:tcPr>
            <w:tcW w:w="3077" w:type="dxa"/>
            <w:shd w:val="clear" w:color="auto" w:fill="auto"/>
            <w:vAlign w:val="center"/>
          </w:tcPr>
          <w:p w14:paraId="4EACC2B6">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体检内容</w:t>
            </w:r>
          </w:p>
        </w:tc>
        <w:tc>
          <w:tcPr>
            <w:tcW w:w="1394" w:type="dxa"/>
            <w:shd w:val="clear" w:color="auto" w:fill="auto"/>
            <w:vAlign w:val="center"/>
          </w:tcPr>
          <w:p w14:paraId="54B69AC8">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数据获取</w:t>
            </w:r>
          </w:p>
        </w:tc>
      </w:tr>
      <w:tr w14:paraId="098C3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restart"/>
            <w:shd w:val="clear" w:color="auto" w:fill="auto"/>
            <w:vAlign w:val="center"/>
          </w:tcPr>
          <w:p w14:paraId="0CAEDC0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小区（社区）</w:t>
            </w:r>
          </w:p>
        </w:tc>
        <w:tc>
          <w:tcPr>
            <w:tcW w:w="436" w:type="dxa"/>
            <w:vMerge w:val="restart"/>
            <w:shd w:val="clear" w:color="auto" w:fill="auto"/>
            <w:vAlign w:val="center"/>
          </w:tcPr>
          <w:p w14:paraId="2B3C179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设施完善</w:t>
            </w:r>
          </w:p>
        </w:tc>
        <w:tc>
          <w:tcPr>
            <w:tcW w:w="596" w:type="dxa"/>
            <w:vMerge w:val="restart"/>
            <w:shd w:val="clear" w:color="auto" w:fill="auto"/>
            <w:vAlign w:val="center"/>
          </w:tcPr>
          <w:p w14:paraId="3B62D3C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w:t>
            </w:r>
          </w:p>
        </w:tc>
        <w:tc>
          <w:tcPr>
            <w:tcW w:w="2415" w:type="dxa"/>
            <w:vMerge w:val="restart"/>
            <w:shd w:val="clear" w:color="auto" w:fill="auto"/>
            <w:vAlign w:val="center"/>
          </w:tcPr>
          <w:p w14:paraId="596348CA">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未达标配建的养老服务设施的小区数量（个）</w:t>
            </w:r>
          </w:p>
        </w:tc>
        <w:tc>
          <w:tcPr>
            <w:tcW w:w="963" w:type="dxa"/>
            <w:vMerge w:val="restart"/>
            <w:shd w:val="clear" w:color="auto" w:fill="auto"/>
            <w:vAlign w:val="center"/>
          </w:tcPr>
          <w:p w14:paraId="50EC62D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w:t>
            </w:r>
          </w:p>
        </w:tc>
        <w:tc>
          <w:tcPr>
            <w:tcW w:w="3672" w:type="dxa"/>
            <w:shd w:val="clear" w:color="auto" w:fill="auto"/>
            <w:vAlign w:val="center"/>
          </w:tcPr>
          <w:p w14:paraId="1799D7A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11.1应配未配养老服务设施的小区数量（个）</w:t>
            </w:r>
          </w:p>
        </w:tc>
        <w:tc>
          <w:tcPr>
            <w:tcW w:w="965" w:type="dxa"/>
            <w:shd w:val="clear" w:color="auto" w:fill="auto"/>
            <w:vAlign w:val="center"/>
          </w:tcPr>
          <w:p w14:paraId="03F32F4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w:t>
            </w:r>
          </w:p>
        </w:tc>
        <w:tc>
          <w:tcPr>
            <w:tcW w:w="3077" w:type="dxa"/>
            <w:vMerge w:val="restart"/>
            <w:shd w:val="clear" w:color="auto" w:fill="auto"/>
            <w:vAlign w:val="center"/>
          </w:tcPr>
          <w:p w14:paraId="2369C28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按照《社区老年人日间照料中心建设标准》《完整居住社区建设标准（试行）》等要求，查找社区养老服务设施配建缺失，以及生活照料、康复护理、助餐助行、上门照护、文化娱乐等养老服务不健全的问题。</w:t>
            </w:r>
          </w:p>
        </w:tc>
        <w:tc>
          <w:tcPr>
            <w:tcW w:w="1394" w:type="dxa"/>
            <w:vMerge w:val="restart"/>
            <w:shd w:val="clear" w:color="auto" w:fill="auto"/>
            <w:vAlign w:val="center"/>
          </w:tcPr>
          <w:p w14:paraId="2B58D26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市民政局、市住建局、社区管理员或专业人员现场调研填报</w:t>
            </w:r>
          </w:p>
        </w:tc>
      </w:tr>
      <w:tr w14:paraId="524ED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624A45CE">
            <w:pPr>
              <w:pStyle w:val="41"/>
              <w:rPr>
                <w:rFonts w:hint="eastAsia" w:cs="方正仿宋_GBK"/>
                <w:sz w:val="20"/>
                <w:szCs w:val="20"/>
                <w:lang w:bidi="ar"/>
              </w:rPr>
            </w:pPr>
          </w:p>
        </w:tc>
        <w:tc>
          <w:tcPr>
            <w:tcW w:w="436" w:type="dxa"/>
            <w:vMerge w:val="continue"/>
            <w:shd w:val="clear" w:color="auto" w:fill="auto"/>
            <w:vAlign w:val="center"/>
          </w:tcPr>
          <w:p w14:paraId="5664DCB5">
            <w:pPr>
              <w:pStyle w:val="41"/>
              <w:rPr>
                <w:rFonts w:hint="eastAsia" w:cs="方正仿宋_GBK"/>
                <w:sz w:val="20"/>
                <w:szCs w:val="20"/>
                <w:lang w:bidi="ar"/>
              </w:rPr>
            </w:pPr>
          </w:p>
        </w:tc>
        <w:tc>
          <w:tcPr>
            <w:tcW w:w="596" w:type="dxa"/>
            <w:vMerge w:val="continue"/>
            <w:shd w:val="clear" w:color="auto" w:fill="auto"/>
            <w:vAlign w:val="center"/>
          </w:tcPr>
          <w:p w14:paraId="7673E2AB">
            <w:pPr>
              <w:pStyle w:val="41"/>
              <w:rPr>
                <w:rFonts w:hint="eastAsia" w:cs="方正仿宋_GBK"/>
                <w:sz w:val="20"/>
                <w:szCs w:val="20"/>
                <w:lang w:bidi="ar"/>
              </w:rPr>
            </w:pPr>
          </w:p>
        </w:tc>
        <w:tc>
          <w:tcPr>
            <w:tcW w:w="2415" w:type="dxa"/>
            <w:vMerge w:val="continue"/>
            <w:shd w:val="clear" w:color="auto" w:fill="auto"/>
            <w:vAlign w:val="center"/>
          </w:tcPr>
          <w:p w14:paraId="56CBAEEF">
            <w:pPr>
              <w:pStyle w:val="41"/>
              <w:rPr>
                <w:rFonts w:hint="eastAsia" w:cs="方正仿宋_GBK"/>
                <w:sz w:val="20"/>
                <w:szCs w:val="20"/>
                <w:lang w:bidi="ar"/>
              </w:rPr>
            </w:pPr>
          </w:p>
        </w:tc>
        <w:tc>
          <w:tcPr>
            <w:tcW w:w="963" w:type="dxa"/>
            <w:vMerge w:val="continue"/>
            <w:shd w:val="clear" w:color="auto" w:fill="auto"/>
            <w:vAlign w:val="center"/>
          </w:tcPr>
          <w:p w14:paraId="5F02E78E">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0D7A1F8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11.2存在面积不达标的养老服务设施的小区数量（个）</w:t>
            </w:r>
          </w:p>
        </w:tc>
        <w:tc>
          <w:tcPr>
            <w:tcW w:w="965" w:type="dxa"/>
            <w:shd w:val="clear" w:color="auto" w:fill="auto"/>
            <w:vAlign w:val="center"/>
          </w:tcPr>
          <w:p w14:paraId="2118824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444B4193">
            <w:pPr>
              <w:pStyle w:val="41"/>
              <w:rPr>
                <w:rFonts w:hint="eastAsia" w:cs="方正仿宋_GBK"/>
                <w:sz w:val="20"/>
                <w:szCs w:val="20"/>
                <w:lang w:bidi="ar"/>
              </w:rPr>
            </w:pPr>
          </w:p>
        </w:tc>
        <w:tc>
          <w:tcPr>
            <w:tcW w:w="1394" w:type="dxa"/>
            <w:vMerge w:val="continue"/>
            <w:shd w:val="clear" w:color="auto" w:fill="auto"/>
            <w:vAlign w:val="center"/>
          </w:tcPr>
          <w:p w14:paraId="161F8570">
            <w:pPr>
              <w:pStyle w:val="41"/>
              <w:rPr>
                <w:rFonts w:hint="eastAsia" w:cs="方正仿宋_GBK"/>
                <w:sz w:val="20"/>
                <w:szCs w:val="20"/>
                <w:lang w:bidi="ar"/>
              </w:rPr>
            </w:pPr>
          </w:p>
        </w:tc>
      </w:tr>
      <w:tr w14:paraId="5EBB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shd w:val="clear" w:color="auto" w:fill="auto"/>
            <w:vAlign w:val="center"/>
          </w:tcPr>
          <w:p w14:paraId="356C270F">
            <w:pPr>
              <w:pStyle w:val="41"/>
              <w:rPr>
                <w:rFonts w:hint="eastAsia" w:cs="方正仿宋_GBK"/>
                <w:sz w:val="20"/>
                <w:szCs w:val="20"/>
                <w:lang w:bidi="ar"/>
              </w:rPr>
            </w:pPr>
          </w:p>
        </w:tc>
        <w:tc>
          <w:tcPr>
            <w:tcW w:w="436" w:type="dxa"/>
            <w:vMerge w:val="continue"/>
            <w:shd w:val="clear" w:color="auto" w:fill="auto"/>
            <w:vAlign w:val="center"/>
          </w:tcPr>
          <w:p w14:paraId="11233648">
            <w:pPr>
              <w:pStyle w:val="41"/>
              <w:rPr>
                <w:rFonts w:hint="eastAsia" w:cs="方正仿宋_GBK"/>
                <w:sz w:val="20"/>
                <w:szCs w:val="20"/>
                <w:lang w:bidi="ar"/>
              </w:rPr>
            </w:pPr>
          </w:p>
        </w:tc>
        <w:tc>
          <w:tcPr>
            <w:tcW w:w="596" w:type="dxa"/>
            <w:vMerge w:val="continue"/>
            <w:shd w:val="clear" w:color="auto" w:fill="auto"/>
            <w:vAlign w:val="center"/>
          </w:tcPr>
          <w:p w14:paraId="0EE614BE">
            <w:pPr>
              <w:pStyle w:val="41"/>
              <w:rPr>
                <w:rFonts w:hint="eastAsia" w:cs="方正仿宋_GBK"/>
                <w:sz w:val="20"/>
                <w:szCs w:val="20"/>
                <w:lang w:bidi="ar"/>
              </w:rPr>
            </w:pPr>
          </w:p>
        </w:tc>
        <w:tc>
          <w:tcPr>
            <w:tcW w:w="2415" w:type="dxa"/>
            <w:vMerge w:val="continue"/>
            <w:shd w:val="clear" w:color="auto" w:fill="auto"/>
            <w:vAlign w:val="center"/>
          </w:tcPr>
          <w:p w14:paraId="2BB6736C">
            <w:pPr>
              <w:pStyle w:val="41"/>
              <w:rPr>
                <w:rFonts w:hint="eastAsia" w:cs="方正仿宋_GBK"/>
                <w:sz w:val="20"/>
                <w:szCs w:val="20"/>
                <w:lang w:bidi="ar"/>
              </w:rPr>
            </w:pPr>
          </w:p>
        </w:tc>
        <w:tc>
          <w:tcPr>
            <w:tcW w:w="963" w:type="dxa"/>
            <w:vMerge w:val="continue"/>
            <w:shd w:val="clear" w:color="auto" w:fill="auto"/>
            <w:vAlign w:val="center"/>
          </w:tcPr>
          <w:p w14:paraId="1176CB22">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155B831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11.3存在养老服务不健全的养老服务设施的小区数量（个）</w:t>
            </w:r>
          </w:p>
        </w:tc>
        <w:tc>
          <w:tcPr>
            <w:tcW w:w="965" w:type="dxa"/>
            <w:shd w:val="clear" w:color="auto" w:fill="auto"/>
            <w:vAlign w:val="center"/>
          </w:tcPr>
          <w:p w14:paraId="72C1A60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0A0A7698">
            <w:pPr>
              <w:pStyle w:val="41"/>
              <w:rPr>
                <w:rFonts w:hint="eastAsia" w:cs="方正仿宋_GBK"/>
                <w:sz w:val="20"/>
                <w:szCs w:val="20"/>
                <w:lang w:bidi="ar"/>
              </w:rPr>
            </w:pPr>
          </w:p>
        </w:tc>
        <w:tc>
          <w:tcPr>
            <w:tcW w:w="1394" w:type="dxa"/>
            <w:vMerge w:val="continue"/>
            <w:shd w:val="clear" w:color="auto" w:fill="auto"/>
            <w:vAlign w:val="center"/>
          </w:tcPr>
          <w:p w14:paraId="4E744D01">
            <w:pPr>
              <w:pStyle w:val="41"/>
              <w:rPr>
                <w:rFonts w:hint="eastAsia" w:cs="方正仿宋_GBK"/>
                <w:sz w:val="20"/>
                <w:szCs w:val="20"/>
                <w:lang w:bidi="ar"/>
              </w:rPr>
            </w:pPr>
          </w:p>
        </w:tc>
      </w:tr>
      <w:tr w14:paraId="341AE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488F13B0">
            <w:pPr>
              <w:pStyle w:val="41"/>
              <w:rPr>
                <w:rFonts w:hint="eastAsia" w:cs="方正仿宋_GBK"/>
                <w:sz w:val="20"/>
                <w:szCs w:val="20"/>
                <w:lang w:bidi="ar"/>
              </w:rPr>
            </w:pPr>
          </w:p>
        </w:tc>
        <w:tc>
          <w:tcPr>
            <w:tcW w:w="436" w:type="dxa"/>
            <w:vMerge w:val="continue"/>
            <w:shd w:val="clear" w:color="auto" w:fill="auto"/>
            <w:vAlign w:val="center"/>
          </w:tcPr>
          <w:p w14:paraId="33F32772">
            <w:pPr>
              <w:pStyle w:val="41"/>
              <w:rPr>
                <w:rFonts w:hint="eastAsia" w:cs="方正仿宋_GBK"/>
                <w:sz w:val="20"/>
                <w:szCs w:val="20"/>
                <w:lang w:bidi="ar"/>
              </w:rPr>
            </w:pPr>
          </w:p>
        </w:tc>
        <w:tc>
          <w:tcPr>
            <w:tcW w:w="596" w:type="dxa"/>
            <w:vMerge w:val="restart"/>
            <w:shd w:val="clear" w:color="auto" w:fill="auto"/>
            <w:vAlign w:val="center"/>
          </w:tcPr>
          <w:p w14:paraId="123D187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12</w:t>
            </w:r>
          </w:p>
        </w:tc>
        <w:tc>
          <w:tcPr>
            <w:tcW w:w="2415" w:type="dxa"/>
            <w:vMerge w:val="restart"/>
            <w:shd w:val="clear" w:color="auto" w:fill="auto"/>
            <w:vAlign w:val="center"/>
          </w:tcPr>
          <w:p w14:paraId="4CE00463">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未达标配建婴幼儿照护服务设施的小区数量（个）</w:t>
            </w:r>
          </w:p>
        </w:tc>
        <w:tc>
          <w:tcPr>
            <w:tcW w:w="963" w:type="dxa"/>
            <w:vMerge w:val="restart"/>
            <w:shd w:val="clear" w:color="auto" w:fill="auto"/>
            <w:vAlign w:val="center"/>
          </w:tcPr>
          <w:p w14:paraId="4915398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446</w:t>
            </w:r>
          </w:p>
        </w:tc>
        <w:tc>
          <w:tcPr>
            <w:tcW w:w="3672" w:type="dxa"/>
            <w:shd w:val="clear" w:color="auto" w:fill="auto"/>
            <w:vAlign w:val="center"/>
          </w:tcPr>
          <w:p w14:paraId="4E4D020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12.1应配未配婴幼儿照护服务设施的小区数量（个）</w:t>
            </w:r>
          </w:p>
        </w:tc>
        <w:tc>
          <w:tcPr>
            <w:tcW w:w="965" w:type="dxa"/>
            <w:shd w:val="clear" w:color="auto" w:fill="auto"/>
            <w:vAlign w:val="center"/>
          </w:tcPr>
          <w:p w14:paraId="7B52B3E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446</w:t>
            </w:r>
          </w:p>
        </w:tc>
        <w:tc>
          <w:tcPr>
            <w:tcW w:w="3077" w:type="dxa"/>
            <w:vMerge w:val="restart"/>
            <w:shd w:val="clear" w:color="auto" w:fill="auto"/>
            <w:vAlign w:val="center"/>
          </w:tcPr>
          <w:p w14:paraId="2ECCB96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按照《托育机构设置标准（试行）》《完整居住社区建设标准（试行）》等要求，查找婴幼儿照护服务设施配建缺失，以及对婴幼儿早期发展指导等照护服务不到位的问题。</w:t>
            </w:r>
          </w:p>
        </w:tc>
        <w:tc>
          <w:tcPr>
            <w:tcW w:w="1394" w:type="dxa"/>
            <w:vMerge w:val="restart"/>
            <w:shd w:val="clear" w:color="auto" w:fill="auto"/>
            <w:vAlign w:val="center"/>
          </w:tcPr>
          <w:p w14:paraId="7EF2650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市卫健委、社区管理员或专业人员现场调研填报</w:t>
            </w:r>
          </w:p>
        </w:tc>
      </w:tr>
      <w:tr w14:paraId="5434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080F6817">
            <w:pPr>
              <w:pStyle w:val="41"/>
              <w:rPr>
                <w:rFonts w:hint="eastAsia" w:cs="方正仿宋_GBK"/>
                <w:sz w:val="20"/>
                <w:szCs w:val="20"/>
                <w:lang w:bidi="ar"/>
              </w:rPr>
            </w:pPr>
          </w:p>
        </w:tc>
        <w:tc>
          <w:tcPr>
            <w:tcW w:w="436" w:type="dxa"/>
            <w:vMerge w:val="continue"/>
            <w:shd w:val="clear" w:color="auto" w:fill="auto"/>
            <w:vAlign w:val="center"/>
          </w:tcPr>
          <w:p w14:paraId="5218F326">
            <w:pPr>
              <w:pStyle w:val="41"/>
              <w:rPr>
                <w:rFonts w:hint="eastAsia" w:cs="方正仿宋_GBK"/>
                <w:sz w:val="20"/>
                <w:szCs w:val="20"/>
                <w:lang w:bidi="ar"/>
              </w:rPr>
            </w:pPr>
          </w:p>
        </w:tc>
        <w:tc>
          <w:tcPr>
            <w:tcW w:w="596" w:type="dxa"/>
            <w:vMerge w:val="continue"/>
            <w:shd w:val="clear" w:color="auto" w:fill="auto"/>
            <w:vAlign w:val="center"/>
          </w:tcPr>
          <w:p w14:paraId="2234ECDF">
            <w:pPr>
              <w:pStyle w:val="41"/>
              <w:rPr>
                <w:rFonts w:hint="eastAsia" w:cs="方正仿宋_GBK"/>
                <w:sz w:val="20"/>
                <w:szCs w:val="20"/>
                <w:lang w:bidi="ar"/>
              </w:rPr>
            </w:pPr>
          </w:p>
        </w:tc>
        <w:tc>
          <w:tcPr>
            <w:tcW w:w="2415" w:type="dxa"/>
            <w:vMerge w:val="continue"/>
            <w:shd w:val="clear" w:color="auto" w:fill="auto"/>
            <w:vAlign w:val="center"/>
          </w:tcPr>
          <w:p w14:paraId="636FE859">
            <w:pPr>
              <w:pStyle w:val="41"/>
              <w:rPr>
                <w:rFonts w:hint="eastAsia" w:cs="方正仿宋_GBK"/>
                <w:sz w:val="20"/>
                <w:szCs w:val="20"/>
                <w:lang w:bidi="ar"/>
              </w:rPr>
            </w:pPr>
          </w:p>
        </w:tc>
        <w:tc>
          <w:tcPr>
            <w:tcW w:w="963" w:type="dxa"/>
            <w:vMerge w:val="continue"/>
            <w:shd w:val="clear" w:color="auto" w:fill="auto"/>
            <w:vAlign w:val="center"/>
          </w:tcPr>
          <w:p w14:paraId="57318728">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221AE7C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12.2存在面积不达标的婴幼儿照护服务设施的小区数量（个）</w:t>
            </w:r>
          </w:p>
        </w:tc>
        <w:tc>
          <w:tcPr>
            <w:tcW w:w="965" w:type="dxa"/>
            <w:shd w:val="clear" w:color="auto" w:fill="auto"/>
            <w:vAlign w:val="center"/>
          </w:tcPr>
          <w:p w14:paraId="7D3B1D8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5FE99D03">
            <w:pPr>
              <w:pStyle w:val="41"/>
              <w:rPr>
                <w:rFonts w:hint="eastAsia" w:cs="方正仿宋_GBK"/>
                <w:sz w:val="20"/>
                <w:szCs w:val="20"/>
                <w:lang w:bidi="ar"/>
              </w:rPr>
            </w:pPr>
          </w:p>
        </w:tc>
        <w:tc>
          <w:tcPr>
            <w:tcW w:w="1394" w:type="dxa"/>
            <w:vMerge w:val="continue"/>
            <w:shd w:val="clear" w:color="auto" w:fill="auto"/>
            <w:vAlign w:val="center"/>
          </w:tcPr>
          <w:p w14:paraId="2039606C">
            <w:pPr>
              <w:pStyle w:val="41"/>
              <w:rPr>
                <w:rFonts w:hint="eastAsia" w:cs="方正仿宋_GBK"/>
                <w:sz w:val="20"/>
                <w:szCs w:val="20"/>
                <w:lang w:bidi="ar"/>
              </w:rPr>
            </w:pPr>
          </w:p>
        </w:tc>
      </w:tr>
      <w:tr w14:paraId="6EDE7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56" w:type="dxa"/>
            <w:vMerge w:val="continue"/>
            <w:shd w:val="clear" w:color="auto" w:fill="auto"/>
            <w:vAlign w:val="center"/>
          </w:tcPr>
          <w:p w14:paraId="085DA370">
            <w:pPr>
              <w:pStyle w:val="41"/>
              <w:rPr>
                <w:rFonts w:hint="eastAsia" w:cs="方正仿宋_GBK"/>
                <w:sz w:val="20"/>
                <w:szCs w:val="20"/>
                <w:lang w:bidi="ar"/>
              </w:rPr>
            </w:pPr>
          </w:p>
        </w:tc>
        <w:tc>
          <w:tcPr>
            <w:tcW w:w="436" w:type="dxa"/>
            <w:vMerge w:val="continue"/>
            <w:shd w:val="clear" w:color="auto" w:fill="auto"/>
            <w:vAlign w:val="center"/>
          </w:tcPr>
          <w:p w14:paraId="0B53B5A4">
            <w:pPr>
              <w:pStyle w:val="41"/>
              <w:rPr>
                <w:rFonts w:hint="eastAsia" w:cs="方正仿宋_GBK"/>
                <w:sz w:val="20"/>
                <w:szCs w:val="20"/>
                <w:lang w:bidi="ar"/>
              </w:rPr>
            </w:pPr>
          </w:p>
        </w:tc>
        <w:tc>
          <w:tcPr>
            <w:tcW w:w="596" w:type="dxa"/>
            <w:vMerge w:val="continue"/>
            <w:shd w:val="clear" w:color="auto" w:fill="auto"/>
            <w:vAlign w:val="center"/>
          </w:tcPr>
          <w:p w14:paraId="256BFFAA">
            <w:pPr>
              <w:pStyle w:val="41"/>
              <w:rPr>
                <w:rFonts w:hint="eastAsia" w:cs="方正仿宋_GBK"/>
                <w:sz w:val="20"/>
                <w:szCs w:val="20"/>
                <w:lang w:bidi="ar"/>
              </w:rPr>
            </w:pPr>
          </w:p>
        </w:tc>
        <w:tc>
          <w:tcPr>
            <w:tcW w:w="2415" w:type="dxa"/>
            <w:vMerge w:val="continue"/>
            <w:shd w:val="clear" w:color="auto" w:fill="auto"/>
            <w:vAlign w:val="center"/>
          </w:tcPr>
          <w:p w14:paraId="3B3BE13E">
            <w:pPr>
              <w:pStyle w:val="41"/>
              <w:rPr>
                <w:rFonts w:hint="eastAsia" w:cs="方正仿宋_GBK"/>
                <w:sz w:val="20"/>
                <w:szCs w:val="20"/>
                <w:lang w:bidi="ar"/>
              </w:rPr>
            </w:pPr>
          </w:p>
        </w:tc>
        <w:tc>
          <w:tcPr>
            <w:tcW w:w="963" w:type="dxa"/>
            <w:vMerge w:val="continue"/>
            <w:shd w:val="clear" w:color="auto" w:fill="auto"/>
            <w:vAlign w:val="center"/>
          </w:tcPr>
          <w:p w14:paraId="033CE21E">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51BB3D2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12.3存在照护服务不到位的婴幼儿照护服务设施的小区数量（个）</w:t>
            </w:r>
          </w:p>
        </w:tc>
        <w:tc>
          <w:tcPr>
            <w:tcW w:w="965" w:type="dxa"/>
            <w:shd w:val="clear" w:color="auto" w:fill="auto"/>
            <w:vAlign w:val="center"/>
          </w:tcPr>
          <w:p w14:paraId="17264AC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33108373">
            <w:pPr>
              <w:pStyle w:val="41"/>
              <w:rPr>
                <w:rFonts w:hint="eastAsia" w:cs="方正仿宋_GBK"/>
                <w:sz w:val="20"/>
                <w:szCs w:val="20"/>
                <w:lang w:bidi="ar"/>
              </w:rPr>
            </w:pPr>
          </w:p>
        </w:tc>
        <w:tc>
          <w:tcPr>
            <w:tcW w:w="1394" w:type="dxa"/>
            <w:vMerge w:val="continue"/>
            <w:shd w:val="clear" w:color="auto" w:fill="auto"/>
            <w:vAlign w:val="center"/>
          </w:tcPr>
          <w:p w14:paraId="1B8F989D">
            <w:pPr>
              <w:pStyle w:val="41"/>
              <w:rPr>
                <w:rFonts w:hint="eastAsia" w:cs="方正仿宋_GBK"/>
                <w:sz w:val="20"/>
                <w:szCs w:val="20"/>
                <w:lang w:bidi="ar"/>
              </w:rPr>
            </w:pPr>
          </w:p>
        </w:tc>
      </w:tr>
      <w:tr w14:paraId="79C3D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68854A1F">
            <w:pPr>
              <w:pStyle w:val="41"/>
              <w:rPr>
                <w:rFonts w:hint="eastAsia" w:cs="方正仿宋_GBK"/>
                <w:sz w:val="20"/>
                <w:szCs w:val="20"/>
                <w:lang w:bidi="ar"/>
              </w:rPr>
            </w:pPr>
          </w:p>
        </w:tc>
        <w:tc>
          <w:tcPr>
            <w:tcW w:w="436" w:type="dxa"/>
            <w:vMerge w:val="continue"/>
            <w:shd w:val="clear" w:color="auto" w:fill="auto"/>
            <w:vAlign w:val="center"/>
          </w:tcPr>
          <w:p w14:paraId="5C7964B2">
            <w:pPr>
              <w:pStyle w:val="41"/>
              <w:rPr>
                <w:rFonts w:hint="eastAsia" w:cs="方正仿宋_GBK"/>
                <w:sz w:val="20"/>
                <w:szCs w:val="20"/>
                <w:lang w:bidi="ar"/>
              </w:rPr>
            </w:pPr>
          </w:p>
        </w:tc>
        <w:tc>
          <w:tcPr>
            <w:tcW w:w="596" w:type="dxa"/>
            <w:vMerge w:val="restart"/>
            <w:shd w:val="clear" w:color="auto" w:fill="auto"/>
            <w:vAlign w:val="center"/>
          </w:tcPr>
          <w:p w14:paraId="3818EDE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w:t>
            </w:r>
          </w:p>
        </w:tc>
        <w:tc>
          <w:tcPr>
            <w:tcW w:w="2415" w:type="dxa"/>
            <w:vMerge w:val="restart"/>
            <w:shd w:val="clear" w:color="auto" w:fill="auto"/>
            <w:vAlign w:val="center"/>
          </w:tcPr>
          <w:p w14:paraId="2F6BD70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未达标配建幼儿园的小区数量（个）</w:t>
            </w:r>
          </w:p>
        </w:tc>
        <w:tc>
          <w:tcPr>
            <w:tcW w:w="963" w:type="dxa"/>
            <w:vMerge w:val="restart"/>
            <w:shd w:val="clear" w:color="auto" w:fill="auto"/>
            <w:vAlign w:val="center"/>
          </w:tcPr>
          <w:p w14:paraId="57257AD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224</w:t>
            </w:r>
          </w:p>
        </w:tc>
        <w:tc>
          <w:tcPr>
            <w:tcW w:w="3672" w:type="dxa"/>
            <w:shd w:val="clear" w:color="auto" w:fill="auto"/>
            <w:vAlign w:val="center"/>
          </w:tcPr>
          <w:p w14:paraId="53E66CA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13.1应配未配婴幼儿园的小区数量（个）</w:t>
            </w:r>
          </w:p>
        </w:tc>
        <w:tc>
          <w:tcPr>
            <w:tcW w:w="965" w:type="dxa"/>
            <w:shd w:val="clear" w:color="auto" w:fill="auto"/>
            <w:vAlign w:val="center"/>
          </w:tcPr>
          <w:p w14:paraId="49E27D9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224</w:t>
            </w:r>
          </w:p>
        </w:tc>
        <w:tc>
          <w:tcPr>
            <w:tcW w:w="3077" w:type="dxa"/>
            <w:vMerge w:val="restart"/>
            <w:shd w:val="clear" w:color="auto" w:fill="auto"/>
            <w:vAlign w:val="center"/>
          </w:tcPr>
          <w:p w14:paraId="10F8AB3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按照《幼儿园建设标准》《完整居住社区建设标准（试行）》等要求，查找幼儿园配建缺失，以及普惠性学前教育服务不到位的问题。</w:t>
            </w:r>
          </w:p>
        </w:tc>
        <w:tc>
          <w:tcPr>
            <w:tcW w:w="1394" w:type="dxa"/>
            <w:vMerge w:val="restart"/>
            <w:shd w:val="clear" w:color="auto" w:fill="auto"/>
            <w:vAlign w:val="center"/>
          </w:tcPr>
          <w:p w14:paraId="2ECC96D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市教育局、社区管理员或专业人员现场调研填报</w:t>
            </w:r>
          </w:p>
        </w:tc>
      </w:tr>
      <w:tr w14:paraId="29AF1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69DE8530">
            <w:pPr>
              <w:pStyle w:val="41"/>
              <w:rPr>
                <w:rFonts w:hint="eastAsia" w:cs="方正仿宋_GBK"/>
                <w:sz w:val="20"/>
                <w:szCs w:val="20"/>
                <w:lang w:bidi="ar"/>
              </w:rPr>
            </w:pPr>
          </w:p>
        </w:tc>
        <w:tc>
          <w:tcPr>
            <w:tcW w:w="436" w:type="dxa"/>
            <w:vMerge w:val="continue"/>
            <w:shd w:val="clear" w:color="auto" w:fill="auto"/>
            <w:vAlign w:val="center"/>
          </w:tcPr>
          <w:p w14:paraId="18A87CF3">
            <w:pPr>
              <w:pStyle w:val="41"/>
              <w:rPr>
                <w:rFonts w:hint="eastAsia" w:cs="方正仿宋_GBK"/>
                <w:sz w:val="20"/>
                <w:szCs w:val="20"/>
                <w:lang w:bidi="ar"/>
              </w:rPr>
            </w:pPr>
          </w:p>
        </w:tc>
        <w:tc>
          <w:tcPr>
            <w:tcW w:w="596" w:type="dxa"/>
            <w:vMerge w:val="continue"/>
            <w:shd w:val="clear" w:color="auto" w:fill="auto"/>
            <w:vAlign w:val="center"/>
          </w:tcPr>
          <w:p w14:paraId="12CE2915">
            <w:pPr>
              <w:pStyle w:val="41"/>
              <w:rPr>
                <w:rFonts w:hint="eastAsia" w:cs="方正仿宋_GBK"/>
                <w:sz w:val="20"/>
                <w:szCs w:val="20"/>
                <w:lang w:bidi="ar"/>
              </w:rPr>
            </w:pPr>
          </w:p>
        </w:tc>
        <w:tc>
          <w:tcPr>
            <w:tcW w:w="2415" w:type="dxa"/>
            <w:vMerge w:val="continue"/>
            <w:shd w:val="clear" w:color="auto" w:fill="auto"/>
            <w:vAlign w:val="center"/>
          </w:tcPr>
          <w:p w14:paraId="0A0AC3F4">
            <w:pPr>
              <w:pStyle w:val="41"/>
              <w:rPr>
                <w:rFonts w:hint="eastAsia" w:cs="方正仿宋_GBK"/>
                <w:sz w:val="20"/>
                <w:szCs w:val="20"/>
                <w:lang w:bidi="ar"/>
              </w:rPr>
            </w:pPr>
          </w:p>
        </w:tc>
        <w:tc>
          <w:tcPr>
            <w:tcW w:w="963" w:type="dxa"/>
            <w:vMerge w:val="continue"/>
            <w:shd w:val="clear" w:color="auto" w:fill="auto"/>
            <w:vAlign w:val="center"/>
          </w:tcPr>
          <w:p w14:paraId="5A0C1964">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1D37028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13.2存在面积不达标的幼儿园的小区数量（个）</w:t>
            </w:r>
          </w:p>
        </w:tc>
        <w:tc>
          <w:tcPr>
            <w:tcW w:w="965" w:type="dxa"/>
            <w:shd w:val="clear" w:color="auto" w:fill="auto"/>
            <w:vAlign w:val="center"/>
          </w:tcPr>
          <w:p w14:paraId="626979F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0377FE87">
            <w:pPr>
              <w:pStyle w:val="41"/>
              <w:rPr>
                <w:rFonts w:hint="eastAsia" w:cs="方正仿宋_GBK"/>
                <w:sz w:val="20"/>
                <w:szCs w:val="20"/>
                <w:lang w:bidi="ar"/>
              </w:rPr>
            </w:pPr>
          </w:p>
        </w:tc>
        <w:tc>
          <w:tcPr>
            <w:tcW w:w="1394" w:type="dxa"/>
            <w:vMerge w:val="continue"/>
            <w:shd w:val="clear" w:color="auto" w:fill="auto"/>
            <w:vAlign w:val="center"/>
          </w:tcPr>
          <w:p w14:paraId="2D6C2AB4">
            <w:pPr>
              <w:pStyle w:val="41"/>
              <w:rPr>
                <w:rFonts w:hint="eastAsia" w:cs="方正仿宋_GBK"/>
                <w:sz w:val="20"/>
                <w:szCs w:val="20"/>
                <w:lang w:bidi="ar"/>
              </w:rPr>
            </w:pPr>
          </w:p>
        </w:tc>
      </w:tr>
      <w:tr w14:paraId="51D4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3CC2CAA0">
            <w:pPr>
              <w:pStyle w:val="41"/>
              <w:rPr>
                <w:rFonts w:hint="eastAsia" w:cs="方正仿宋_GBK"/>
                <w:sz w:val="20"/>
                <w:szCs w:val="20"/>
                <w:lang w:bidi="ar"/>
              </w:rPr>
            </w:pPr>
          </w:p>
        </w:tc>
        <w:tc>
          <w:tcPr>
            <w:tcW w:w="436" w:type="dxa"/>
            <w:vMerge w:val="continue"/>
            <w:shd w:val="clear" w:color="auto" w:fill="auto"/>
            <w:vAlign w:val="center"/>
          </w:tcPr>
          <w:p w14:paraId="17E41FA3">
            <w:pPr>
              <w:pStyle w:val="41"/>
              <w:rPr>
                <w:rFonts w:hint="eastAsia" w:cs="方正仿宋_GBK"/>
                <w:sz w:val="20"/>
                <w:szCs w:val="20"/>
                <w:lang w:bidi="ar"/>
              </w:rPr>
            </w:pPr>
          </w:p>
        </w:tc>
        <w:tc>
          <w:tcPr>
            <w:tcW w:w="596" w:type="dxa"/>
            <w:vMerge w:val="continue"/>
            <w:shd w:val="clear" w:color="auto" w:fill="auto"/>
            <w:vAlign w:val="center"/>
          </w:tcPr>
          <w:p w14:paraId="259E7CF1">
            <w:pPr>
              <w:pStyle w:val="41"/>
              <w:rPr>
                <w:rFonts w:hint="eastAsia" w:cs="方正仿宋_GBK"/>
                <w:sz w:val="20"/>
                <w:szCs w:val="20"/>
                <w:lang w:bidi="ar"/>
              </w:rPr>
            </w:pPr>
          </w:p>
        </w:tc>
        <w:tc>
          <w:tcPr>
            <w:tcW w:w="2415" w:type="dxa"/>
            <w:vMerge w:val="continue"/>
            <w:shd w:val="clear" w:color="auto" w:fill="auto"/>
            <w:vAlign w:val="center"/>
          </w:tcPr>
          <w:p w14:paraId="4C2C0364">
            <w:pPr>
              <w:pStyle w:val="41"/>
              <w:rPr>
                <w:rFonts w:hint="eastAsia" w:cs="方正仿宋_GBK"/>
                <w:sz w:val="20"/>
                <w:szCs w:val="20"/>
                <w:lang w:bidi="ar"/>
              </w:rPr>
            </w:pPr>
          </w:p>
        </w:tc>
        <w:tc>
          <w:tcPr>
            <w:tcW w:w="963" w:type="dxa"/>
            <w:vMerge w:val="continue"/>
            <w:shd w:val="clear" w:color="auto" w:fill="auto"/>
            <w:vAlign w:val="center"/>
          </w:tcPr>
          <w:p w14:paraId="4F8AE500">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1E800A6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13.3存在普惠性学前教育服务不到位的幼儿园的小区数量（个）</w:t>
            </w:r>
          </w:p>
        </w:tc>
        <w:tc>
          <w:tcPr>
            <w:tcW w:w="965" w:type="dxa"/>
            <w:shd w:val="clear" w:color="auto" w:fill="auto"/>
            <w:vAlign w:val="center"/>
          </w:tcPr>
          <w:p w14:paraId="311B6C8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04204F58">
            <w:pPr>
              <w:pStyle w:val="41"/>
              <w:rPr>
                <w:rFonts w:hint="eastAsia" w:cs="方正仿宋_GBK"/>
                <w:sz w:val="20"/>
                <w:szCs w:val="20"/>
                <w:lang w:bidi="ar"/>
              </w:rPr>
            </w:pPr>
          </w:p>
        </w:tc>
        <w:tc>
          <w:tcPr>
            <w:tcW w:w="1394" w:type="dxa"/>
            <w:vMerge w:val="continue"/>
            <w:shd w:val="clear" w:color="auto" w:fill="auto"/>
            <w:vAlign w:val="center"/>
          </w:tcPr>
          <w:p w14:paraId="66908895">
            <w:pPr>
              <w:pStyle w:val="41"/>
              <w:rPr>
                <w:rFonts w:hint="eastAsia" w:cs="方正仿宋_GBK"/>
                <w:sz w:val="20"/>
                <w:szCs w:val="20"/>
                <w:lang w:bidi="ar"/>
              </w:rPr>
            </w:pPr>
          </w:p>
        </w:tc>
      </w:tr>
      <w:tr w14:paraId="37B02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shd w:val="clear" w:color="auto" w:fill="auto"/>
            <w:vAlign w:val="center"/>
          </w:tcPr>
          <w:p w14:paraId="6498509B">
            <w:pPr>
              <w:pStyle w:val="41"/>
              <w:rPr>
                <w:rFonts w:hint="eastAsia" w:cs="方正仿宋_GBK"/>
                <w:sz w:val="20"/>
                <w:szCs w:val="20"/>
                <w:lang w:bidi="ar"/>
              </w:rPr>
            </w:pPr>
          </w:p>
        </w:tc>
        <w:tc>
          <w:tcPr>
            <w:tcW w:w="436" w:type="dxa"/>
            <w:vMerge w:val="continue"/>
            <w:shd w:val="clear" w:color="auto" w:fill="auto"/>
            <w:vAlign w:val="center"/>
          </w:tcPr>
          <w:p w14:paraId="42594651">
            <w:pPr>
              <w:pStyle w:val="41"/>
              <w:rPr>
                <w:rFonts w:hint="eastAsia" w:cs="方正仿宋_GBK"/>
                <w:sz w:val="20"/>
                <w:szCs w:val="20"/>
                <w:lang w:bidi="ar"/>
              </w:rPr>
            </w:pPr>
          </w:p>
        </w:tc>
        <w:tc>
          <w:tcPr>
            <w:tcW w:w="596" w:type="dxa"/>
            <w:shd w:val="clear" w:color="auto" w:fill="auto"/>
            <w:vAlign w:val="center"/>
          </w:tcPr>
          <w:p w14:paraId="75EB5C8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14</w:t>
            </w:r>
          </w:p>
        </w:tc>
        <w:tc>
          <w:tcPr>
            <w:tcW w:w="2415" w:type="dxa"/>
            <w:shd w:val="clear" w:color="auto" w:fill="auto"/>
            <w:vAlign w:val="center"/>
          </w:tcPr>
          <w:p w14:paraId="61489AD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小学学位缺口数（个）</w:t>
            </w:r>
          </w:p>
        </w:tc>
        <w:tc>
          <w:tcPr>
            <w:tcW w:w="963" w:type="dxa"/>
            <w:shd w:val="clear" w:color="auto" w:fill="auto"/>
            <w:vAlign w:val="center"/>
          </w:tcPr>
          <w:p w14:paraId="39697CE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672" w:type="dxa"/>
            <w:shd w:val="clear" w:color="auto" w:fill="auto"/>
            <w:vAlign w:val="center"/>
          </w:tcPr>
          <w:p w14:paraId="1EE89BD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小学500米服务半径覆盖率（%）</w:t>
            </w:r>
          </w:p>
        </w:tc>
        <w:tc>
          <w:tcPr>
            <w:tcW w:w="965" w:type="dxa"/>
            <w:shd w:val="clear" w:color="auto" w:fill="auto"/>
            <w:vAlign w:val="center"/>
          </w:tcPr>
          <w:p w14:paraId="5CAFEB6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81.79</w:t>
            </w:r>
          </w:p>
        </w:tc>
        <w:tc>
          <w:tcPr>
            <w:tcW w:w="3077" w:type="dxa"/>
            <w:shd w:val="clear" w:color="auto" w:fill="auto"/>
            <w:vAlign w:val="center"/>
          </w:tcPr>
          <w:p w14:paraId="63E7069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以小学500米服务半径覆盖范围为原则，查找小学学位供给与适龄儿童就近入学需求方面的差距和不足。</w:t>
            </w:r>
          </w:p>
        </w:tc>
        <w:tc>
          <w:tcPr>
            <w:tcW w:w="1394" w:type="dxa"/>
            <w:shd w:val="clear" w:color="auto" w:fill="auto"/>
            <w:vAlign w:val="center"/>
          </w:tcPr>
          <w:p w14:paraId="30F4BAD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市教育局、社区管理员或专业人员现场调研填报</w:t>
            </w:r>
          </w:p>
        </w:tc>
      </w:tr>
      <w:tr w14:paraId="523B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656" w:type="dxa"/>
            <w:vMerge w:val="continue"/>
            <w:shd w:val="clear" w:color="auto" w:fill="auto"/>
            <w:vAlign w:val="center"/>
          </w:tcPr>
          <w:p w14:paraId="7BD6842B">
            <w:pPr>
              <w:pStyle w:val="41"/>
              <w:rPr>
                <w:rFonts w:hint="eastAsia" w:cs="方正仿宋_GBK"/>
                <w:sz w:val="20"/>
                <w:szCs w:val="20"/>
                <w:lang w:bidi="ar"/>
              </w:rPr>
            </w:pPr>
          </w:p>
        </w:tc>
        <w:tc>
          <w:tcPr>
            <w:tcW w:w="436" w:type="dxa"/>
            <w:vMerge w:val="continue"/>
            <w:shd w:val="clear" w:color="auto" w:fill="auto"/>
            <w:vAlign w:val="center"/>
          </w:tcPr>
          <w:p w14:paraId="6F996825">
            <w:pPr>
              <w:pStyle w:val="41"/>
              <w:rPr>
                <w:rFonts w:hint="eastAsia" w:cs="方正仿宋_GBK"/>
                <w:sz w:val="20"/>
                <w:szCs w:val="20"/>
                <w:lang w:bidi="ar"/>
              </w:rPr>
            </w:pPr>
          </w:p>
        </w:tc>
        <w:tc>
          <w:tcPr>
            <w:tcW w:w="596" w:type="dxa"/>
            <w:shd w:val="clear" w:color="auto" w:fill="auto"/>
            <w:vAlign w:val="center"/>
          </w:tcPr>
          <w:p w14:paraId="6B3D3D7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15</w:t>
            </w:r>
          </w:p>
        </w:tc>
        <w:tc>
          <w:tcPr>
            <w:tcW w:w="2415" w:type="dxa"/>
            <w:shd w:val="clear" w:color="auto" w:fill="auto"/>
            <w:vAlign w:val="center"/>
          </w:tcPr>
          <w:p w14:paraId="276BD8F8">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停车泊位缺口数（个）</w:t>
            </w:r>
          </w:p>
        </w:tc>
        <w:tc>
          <w:tcPr>
            <w:tcW w:w="963" w:type="dxa"/>
            <w:shd w:val="clear" w:color="auto" w:fill="auto"/>
            <w:vAlign w:val="center"/>
          </w:tcPr>
          <w:p w14:paraId="6F6F7AB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25309</w:t>
            </w:r>
          </w:p>
        </w:tc>
        <w:tc>
          <w:tcPr>
            <w:tcW w:w="3672" w:type="dxa"/>
            <w:shd w:val="clear" w:color="auto" w:fill="auto"/>
            <w:vAlign w:val="center"/>
          </w:tcPr>
          <w:p w14:paraId="22C4539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存在机动车占用消防通道问题的小区数量（个）</w:t>
            </w:r>
          </w:p>
        </w:tc>
        <w:tc>
          <w:tcPr>
            <w:tcW w:w="965" w:type="dxa"/>
            <w:shd w:val="clear" w:color="auto" w:fill="auto"/>
            <w:vAlign w:val="center"/>
          </w:tcPr>
          <w:p w14:paraId="60C6B06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shd w:val="clear" w:color="auto" w:fill="auto"/>
            <w:vAlign w:val="center"/>
          </w:tcPr>
          <w:p w14:paraId="416B1BC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按照《城市停车规划规范》《完整居住社区建设标准（试行）》等要求，查找现有停车泊位与小区居民停车需求的差距，以及停车占用消防通道等方面的问题。</w:t>
            </w:r>
          </w:p>
        </w:tc>
        <w:tc>
          <w:tcPr>
            <w:tcW w:w="1394" w:type="dxa"/>
            <w:shd w:val="clear" w:color="auto" w:fill="auto"/>
            <w:vAlign w:val="center"/>
          </w:tcPr>
          <w:p w14:paraId="451503B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市住建局、市城市管理综合行政执法局、交警大队、社区管理员或专业人员现场调研填报</w:t>
            </w:r>
          </w:p>
        </w:tc>
      </w:tr>
      <w:tr w14:paraId="2A103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trPr>
        <w:tc>
          <w:tcPr>
            <w:tcW w:w="656" w:type="dxa"/>
            <w:vMerge w:val="continue"/>
            <w:shd w:val="clear" w:color="auto" w:fill="auto"/>
            <w:vAlign w:val="center"/>
          </w:tcPr>
          <w:p w14:paraId="5588FEDA">
            <w:pPr>
              <w:pStyle w:val="41"/>
              <w:rPr>
                <w:rFonts w:hint="eastAsia" w:cs="方正仿宋_GBK"/>
                <w:sz w:val="20"/>
                <w:szCs w:val="20"/>
                <w:lang w:bidi="ar"/>
              </w:rPr>
            </w:pPr>
          </w:p>
        </w:tc>
        <w:tc>
          <w:tcPr>
            <w:tcW w:w="436" w:type="dxa"/>
            <w:vMerge w:val="continue"/>
            <w:shd w:val="clear" w:color="auto" w:fill="auto"/>
            <w:vAlign w:val="center"/>
          </w:tcPr>
          <w:p w14:paraId="03A5D00F">
            <w:pPr>
              <w:pStyle w:val="41"/>
              <w:rPr>
                <w:rFonts w:hint="eastAsia" w:cs="方正仿宋_GBK"/>
                <w:sz w:val="20"/>
                <w:szCs w:val="20"/>
                <w:lang w:bidi="ar"/>
              </w:rPr>
            </w:pPr>
          </w:p>
        </w:tc>
        <w:tc>
          <w:tcPr>
            <w:tcW w:w="596" w:type="dxa"/>
            <w:shd w:val="clear" w:color="auto" w:fill="auto"/>
            <w:vAlign w:val="center"/>
          </w:tcPr>
          <w:p w14:paraId="0B2B814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16</w:t>
            </w:r>
          </w:p>
        </w:tc>
        <w:tc>
          <w:tcPr>
            <w:tcW w:w="2415" w:type="dxa"/>
            <w:shd w:val="clear" w:color="auto" w:fill="auto"/>
            <w:vAlign w:val="center"/>
          </w:tcPr>
          <w:p w14:paraId="1F0B529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新能源汽车充电桩缺口数（个）</w:t>
            </w:r>
          </w:p>
        </w:tc>
        <w:tc>
          <w:tcPr>
            <w:tcW w:w="963" w:type="dxa"/>
            <w:shd w:val="clear" w:color="auto" w:fill="auto"/>
            <w:vAlign w:val="center"/>
          </w:tcPr>
          <w:p w14:paraId="106D385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3460</w:t>
            </w:r>
          </w:p>
        </w:tc>
        <w:tc>
          <w:tcPr>
            <w:tcW w:w="3672" w:type="dxa"/>
            <w:shd w:val="clear" w:color="auto" w:fill="auto"/>
            <w:vAlign w:val="center"/>
          </w:tcPr>
          <w:p w14:paraId="49180DC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充电桩在安装、使用、运维过程中存在问题的小区数量（个）</w:t>
            </w:r>
          </w:p>
        </w:tc>
        <w:tc>
          <w:tcPr>
            <w:tcW w:w="965" w:type="dxa"/>
            <w:shd w:val="clear" w:color="auto" w:fill="auto"/>
            <w:vAlign w:val="center"/>
          </w:tcPr>
          <w:p w14:paraId="3AD50B1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63</w:t>
            </w:r>
          </w:p>
        </w:tc>
        <w:tc>
          <w:tcPr>
            <w:tcW w:w="3077" w:type="dxa"/>
            <w:shd w:val="clear" w:color="auto" w:fill="auto"/>
            <w:vAlign w:val="center"/>
          </w:tcPr>
          <w:p w14:paraId="1A16767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按照《电动汽车分散充电设施工程技术标准》《完整居住社区建设标准（试行）》等标准，查找现有充电桩供给能力与小区居民新能源汽车充电需求的差距，以及充电桩在安装、使用、运维过程中存在的问题。</w:t>
            </w:r>
          </w:p>
        </w:tc>
        <w:tc>
          <w:tcPr>
            <w:tcW w:w="1394" w:type="dxa"/>
            <w:shd w:val="clear" w:color="auto" w:fill="auto"/>
            <w:vAlign w:val="center"/>
          </w:tcPr>
          <w:p w14:paraId="6ACBDDF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市住建局、各街道办、社区管理员或专业人员现场调研填报</w:t>
            </w:r>
          </w:p>
        </w:tc>
      </w:tr>
      <w:tr w14:paraId="229EF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4A495413">
            <w:pPr>
              <w:pStyle w:val="41"/>
              <w:rPr>
                <w:rFonts w:hint="eastAsia" w:cs="方正仿宋_GBK"/>
                <w:sz w:val="20"/>
                <w:szCs w:val="20"/>
                <w:lang w:bidi="ar"/>
              </w:rPr>
            </w:pPr>
          </w:p>
        </w:tc>
        <w:tc>
          <w:tcPr>
            <w:tcW w:w="436" w:type="dxa"/>
            <w:vMerge w:val="continue"/>
            <w:shd w:val="clear" w:color="auto" w:fill="auto"/>
            <w:vAlign w:val="center"/>
          </w:tcPr>
          <w:p w14:paraId="7A2B27AD">
            <w:pPr>
              <w:pStyle w:val="41"/>
              <w:rPr>
                <w:rFonts w:hint="eastAsia" w:cs="方正仿宋_GBK"/>
                <w:sz w:val="20"/>
                <w:szCs w:val="20"/>
                <w:lang w:bidi="ar"/>
              </w:rPr>
            </w:pPr>
          </w:p>
        </w:tc>
        <w:tc>
          <w:tcPr>
            <w:tcW w:w="596" w:type="dxa"/>
            <w:vMerge w:val="restart"/>
            <w:shd w:val="clear" w:color="auto" w:fill="auto"/>
            <w:vAlign w:val="center"/>
          </w:tcPr>
          <w:p w14:paraId="649E22B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17</w:t>
            </w:r>
          </w:p>
        </w:tc>
        <w:tc>
          <w:tcPr>
            <w:tcW w:w="2415" w:type="dxa"/>
            <w:vMerge w:val="restart"/>
            <w:shd w:val="clear" w:color="auto" w:fill="auto"/>
            <w:vAlign w:val="center"/>
          </w:tcPr>
          <w:p w14:paraId="21A5AA1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未配建电动自行车充电设施的小区数量（个）</w:t>
            </w:r>
          </w:p>
        </w:tc>
        <w:tc>
          <w:tcPr>
            <w:tcW w:w="963" w:type="dxa"/>
            <w:vMerge w:val="restart"/>
            <w:shd w:val="clear" w:color="auto" w:fill="auto"/>
            <w:vAlign w:val="center"/>
          </w:tcPr>
          <w:p w14:paraId="6B7BA46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254</w:t>
            </w:r>
          </w:p>
        </w:tc>
        <w:tc>
          <w:tcPr>
            <w:tcW w:w="3672" w:type="dxa"/>
            <w:shd w:val="clear" w:color="auto" w:fill="auto"/>
            <w:vAlign w:val="center"/>
          </w:tcPr>
          <w:p w14:paraId="015FC28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17.1未配建电动自行车集中充电设施的小区数量（个）</w:t>
            </w:r>
          </w:p>
        </w:tc>
        <w:tc>
          <w:tcPr>
            <w:tcW w:w="965" w:type="dxa"/>
            <w:shd w:val="clear" w:color="auto" w:fill="auto"/>
            <w:vAlign w:val="center"/>
          </w:tcPr>
          <w:p w14:paraId="51B6F2F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254</w:t>
            </w:r>
          </w:p>
        </w:tc>
        <w:tc>
          <w:tcPr>
            <w:tcW w:w="3077" w:type="dxa"/>
            <w:vMerge w:val="restart"/>
            <w:shd w:val="clear" w:color="auto" w:fill="auto"/>
            <w:vAlign w:val="center"/>
          </w:tcPr>
          <w:p w14:paraId="729498F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按照国务院安委办《加强电动自行车全链条安全监管重点工作任务及分工方案》要求，查找未配建电动自行车集中室外充电设施和停放场所，以及乱拉飞线充电、消防安全管理不到位等问题。</w:t>
            </w:r>
          </w:p>
        </w:tc>
        <w:tc>
          <w:tcPr>
            <w:tcW w:w="1394" w:type="dxa"/>
            <w:vMerge w:val="restart"/>
            <w:shd w:val="clear" w:color="auto" w:fill="auto"/>
            <w:vAlign w:val="center"/>
          </w:tcPr>
          <w:p w14:paraId="49BE3FB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市住建局、社区管理员或专业人员现场调研填报</w:t>
            </w:r>
          </w:p>
        </w:tc>
      </w:tr>
      <w:tr w14:paraId="40CC0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656" w:type="dxa"/>
            <w:vMerge w:val="continue"/>
            <w:shd w:val="clear" w:color="auto" w:fill="auto"/>
            <w:vAlign w:val="center"/>
          </w:tcPr>
          <w:p w14:paraId="469AE132">
            <w:pPr>
              <w:pStyle w:val="41"/>
              <w:rPr>
                <w:rFonts w:hint="eastAsia" w:cs="方正仿宋_GBK"/>
                <w:sz w:val="20"/>
                <w:szCs w:val="20"/>
                <w:lang w:bidi="ar"/>
              </w:rPr>
            </w:pPr>
          </w:p>
        </w:tc>
        <w:tc>
          <w:tcPr>
            <w:tcW w:w="436" w:type="dxa"/>
            <w:vMerge w:val="continue"/>
            <w:shd w:val="clear" w:color="auto" w:fill="auto"/>
            <w:vAlign w:val="center"/>
          </w:tcPr>
          <w:p w14:paraId="3EBE220A">
            <w:pPr>
              <w:pStyle w:val="41"/>
              <w:rPr>
                <w:rFonts w:hint="eastAsia" w:cs="方正仿宋_GBK"/>
                <w:sz w:val="20"/>
                <w:szCs w:val="20"/>
                <w:lang w:bidi="ar"/>
              </w:rPr>
            </w:pPr>
          </w:p>
        </w:tc>
        <w:tc>
          <w:tcPr>
            <w:tcW w:w="596" w:type="dxa"/>
            <w:vMerge w:val="continue"/>
            <w:shd w:val="clear" w:color="auto" w:fill="auto"/>
            <w:vAlign w:val="center"/>
          </w:tcPr>
          <w:p w14:paraId="1F2CC289">
            <w:pPr>
              <w:pStyle w:val="41"/>
              <w:rPr>
                <w:rFonts w:hint="eastAsia" w:cs="方正仿宋_GBK"/>
                <w:sz w:val="20"/>
                <w:szCs w:val="20"/>
                <w:lang w:bidi="ar"/>
              </w:rPr>
            </w:pPr>
          </w:p>
        </w:tc>
        <w:tc>
          <w:tcPr>
            <w:tcW w:w="2415" w:type="dxa"/>
            <w:vMerge w:val="continue"/>
            <w:shd w:val="clear" w:color="auto" w:fill="auto"/>
            <w:vAlign w:val="center"/>
          </w:tcPr>
          <w:p w14:paraId="132FC0A3">
            <w:pPr>
              <w:pStyle w:val="41"/>
              <w:rPr>
                <w:rFonts w:hint="eastAsia" w:cs="方正仿宋_GBK"/>
                <w:sz w:val="20"/>
                <w:szCs w:val="20"/>
                <w:lang w:bidi="ar"/>
              </w:rPr>
            </w:pPr>
          </w:p>
        </w:tc>
        <w:tc>
          <w:tcPr>
            <w:tcW w:w="963" w:type="dxa"/>
            <w:vMerge w:val="continue"/>
            <w:shd w:val="clear" w:color="auto" w:fill="auto"/>
            <w:vAlign w:val="center"/>
          </w:tcPr>
          <w:p w14:paraId="29FDEFE7">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0DE93DB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17.2配建电动自行车充电设施数量不达标的小区数量（个）</w:t>
            </w:r>
          </w:p>
        </w:tc>
        <w:tc>
          <w:tcPr>
            <w:tcW w:w="965" w:type="dxa"/>
            <w:shd w:val="clear" w:color="auto" w:fill="auto"/>
            <w:vAlign w:val="center"/>
          </w:tcPr>
          <w:p w14:paraId="47F19CA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1B138039">
            <w:pPr>
              <w:pStyle w:val="41"/>
              <w:rPr>
                <w:rFonts w:hint="eastAsia" w:cs="方正仿宋_GBK"/>
                <w:sz w:val="20"/>
                <w:szCs w:val="20"/>
                <w:lang w:bidi="ar"/>
              </w:rPr>
            </w:pPr>
          </w:p>
        </w:tc>
        <w:tc>
          <w:tcPr>
            <w:tcW w:w="1394" w:type="dxa"/>
            <w:vMerge w:val="continue"/>
            <w:shd w:val="clear" w:color="auto" w:fill="auto"/>
            <w:vAlign w:val="center"/>
          </w:tcPr>
          <w:p w14:paraId="562ABE1B">
            <w:pPr>
              <w:pStyle w:val="41"/>
              <w:rPr>
                <w:rFonts w:hint="eastAsia" w:cs="方正仿宋_GBK"/>
                <w:sz w:val="20"/>
                <w:szCs w:val="20"/>
                <w:lang w:bidi="ar"/>
              </w:rPr>
            </w:pPr>
          </w:p>
        </w:tc>
      </w:tr>
      <w:tr w14:paraId="5F66B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656" w:type="dxa"/>
            <w:vMerge w:val="continue"/>
            <w:shd w:val="clear" w:color="auto" w:fill="auto"/>
            <w:vAlign w:val="center"/>
          </w:tcPr>
          <w:p w14:paraId="6D9728E2">
            <w:pPr>
              <w:pStyle w:val="41"/>
              <w:rPr>
                <w:rFonts w:hint="eastAsia" w:cs="方正仿宋_GBK"/>
                <w:sz w:val="20"/>
                <w:szCs w:val="20"/>
                <w:lang w:bidi="ar"/>
              </w:rPr>
            </w:pPr>
          </w:p>
        </w:tc>
        <w:tc>
          <w:tcPr>
            <w:tcW w:w="436" w:type="dxa"/>
            <w:vMerge w:val="continue"/>
            <w:shd w:val="clear" w:color="auto" w:fill="auto"/>
            <w:vAlign w:val="center"/>
          </w:tcPr>
          <w:p w14:paraId="5B085A50">
            <w:pPr>
              <w:pStyle w:val="41"/>
              <w:rPr>
                <w:rFonts w:hint="eastAsia" w:cs="方正仿宋_GBK"/>
                <w:sz w:val="20"/>
                <w:szCs w:val="20"/>
                <w:lang w:bidi="ar"/>
              </w:rPr>
            </w:pPr>
          </w:p>
        </w:tc>
        <w:tc>
          <w:tcPr>
            <w:tcW w:w="596" w:type="dxa"/>
            <w:vMerge w:val="continue"/>
            <w:shd w:val="clear" w:color="auto" w:fill="auto"/>
            <w:vAlign w:val="center"/>
          </w:tcPr>
          <w:p w14:paraId="6A7DA4C6">
            <w:pPr>
              <w:pStyle w:val="41"/>
              <w:rPr>
                <w:rFonts w:hint="eastAsia" w:cs="方正仿宋_GBK"/>
                <w:sz w:val="20"/>
                <w:szCs w:val="20"/>
                <w:lang w:bidi="ar"/>
              </w:rPr>
            </w:pPr>
          </w:p>
        </w:tc>
        <w:tc>
          <w:tcPr>
            <w:tcW w:w="2415" w:type="dxa"/>
            <w:vMerge w:val="continue"/>
            <w:shd w:val="clear" w:color="auto" w:fill="auto"/>
            <w:vAlign w:val="center"/>
          </w:tcPr>
          <w:p w14:paraId="7127277A">
            <w:pPr>
              <w:pStyle w:val="41"/>
              <w:rPr>
                <w:rFonts w:hint="eastAsia" w:cs="方正仿宋_GBK"/>
                <w:sz w:val="20"/>
                <w:szCs w:val="20"/>
                <w:lang w:bidi="ar"/>
              </w:rPr>
            </w:pPr>
          </w:p>
        </w:tc>
        <w:tc>
          <w:tcPr>
            <w:tcW w:w="963" w:type="dxa"/>
            <w:vMerge w:val="continue"/>
            <w:shd w:val="clear" w:color="auto" w:fill="auto"/>
            <w:vAlign w:val="center"/>
          </w:tcPr>
          <w:p w14:paraId="06227493">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72DEEB9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17.3存在电动自行车乱拉飞线充电、消防安全管理不到位等问题的小区数量（个）</w:t>
            </w:r>
          </w:p>
        </w:tc>
        <w:tc>
          <w:tcPr>
            <w:tcW w:w="965" w:type="dxa"/>
            <w:shd w:val="clear" w:color="auto" w:fill="auto"/>
            <w:vAlign w:val="center"/>
          </w:tcPr>
          <w:p w14:paraId="6D01D96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60</w:t>
            </w:r>
          </w:p>
        </w:tc>
        <w:tc>
          <w:tcPr>
            <w:tcW w:w="3077" w:type="dxa"/>
            <w:vMerge w:val="continue"/>
            <w:shd w:val="clear" w:color="auto" w:fill="auto"/>
            <w:vAlign w:val="center"/>
          </w:tcPr>
          <w:p w14:paraId="7AFEF9F2">
            <w:pPr>
              <w:pStyle w:val="41"/>
              <w:rPr>
                <w:rFonts w:hint="eastAsia" w:cs="方正仿宋_GBK"/>
                <w:sz w:val="20"/>
                <w:szCs w:val="20"/>
                <w:lang w:bidi="ar"/>
              </w:rPr>
            </w:pPr>
          </w:p>
        </w:tc>
        <w:tc>
          <w:tcPr>
            <w:tcW w:w="1394" w:type="dxa"/>
            <w:vMerge w:val="continue"/>
            <w:shd w:val="clear" w:color="auto" w:fill="auto"/>
            <w:vAlign w:val="center"/>
          </w:tcPr>
          <w:p w14:paraId="22C7A08B">
            <w:pPr>
              <w:pStyle w:val="41"/>
              <w:rPr>
                <w:rFonts w:hint="eastAsia" w:cs="方正仿宋_GBK"/>
                <w:sz w:val="20"/>
                <w:szCs w:val="20"/>
                <w:lang w:bidi="ar"/>
              </w:rPr>
            </w:pPr>
          </w:p>
        </w:tc>
      </w:tr>
      <w:tr w14:paraId="49B8C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017D3F2A">
            <w:pPr>
              <w:pStyle w:val="41"/>
              <w:rPr>
                <w:rFonts w:hint="eastAsia" w:cs="方正仿宋_GBK"/>
                <w:sz w:val="20"/>
                <w:szCs w:val="20"/>
                <w:lang w:bidi="ar"/>
              </w:rPr>
            </w:pPr>
          </w:p>
        </w:tc>
        <w:tc>
          <w:tcPr>
            <w:tcW w:w="436" w:type="dxa"/>
            <w:vMerge w:val="restart"/>
            <w:shd w:val="clear" w:color="auto" w:fill="auto"/>
            <w:vAlign w:val="center"/>
          </w:tcPr>
          <w:p w14:paraId="3CECF09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环境宜居</w:t>
            </w:r>
          </w:p>
        </w:tc>
        <w:tc>
          <w:tcPr>
            <w:tcW w:w="596" w:type="dxa"/>
            <w:vMerge w:val="restart"/>
            <w:shd w:val="clear" w:color="auto" w:fill="auto"/>
            <w:vAlign w:val="center"/>
          </w:tcPr>
          <w:p w14:paraId="68D5E15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w:t>
            </w:r>
          </w:p>
        </w:tc>
        <w:tc>
          <w:tcPr>
            <w:tcW w:w="2415" w:type="dxa"/>
            <w:vMerge w:val="restart"/>
            <w:shd w:val="clear" w:color="auto" w:fill="auto"/>
            <w:vAlign w:val="center"/>
          </w:tcPr>
          <w:p w14:paraId="7033874C">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未达标配建的公共活动场地的小区数量（个）</w:t>
            </w:r>
          </w:p>
        </w:tc>
        <w:tc>
          <w:tcPr>
            <w:tcW w:w="963" w:type="dxa"/>
            <w:vMerge w:val="restart"/>
            <w:shd w:val="clear" w:color="auto" w:fill="auto"/>
            <w:vAlign w:val="center"/>
          </w:tcPr>
          <w:p w14:paraId="03DA58A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188</w:t>
            </w:r>
          </w:p>
        </w:tc>
        <w:tc>
          <w:tcPr>
            <w:tcW w:w="3672" w:type="dxa"/>
            <w:shd w:val="clear" w:color="auto" w:fill="auto"/>
            <w:vAlign w:val="center"/>
          </w:tcPr>
          <w:p w14:paraId="6A87199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18.1存在面积不达标的公共活动场地的小区数量（个）</w:t>
            </w:r>
          </w:p>
        </w:tc>
        <w:tc>
          <w:tcPr>
            <w:tcW w:w="965" w:type="dxa"/>
            <w:shd w:val="clear" w:color="auto" w:fill="auto"/>
            <w:vAlign w:val="center"/>
          </w:tcPr>
          <w:p w14:paraId="5BED8E6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139</w:t>
            </w:r>
          </w:p>
        </w:tc>
        <w:tc>
          <w:tcPr>
            <w:tcW w:w="3077" w:type="dxa"/>
            <w:vMerge w:val="restart"/>
            <w:shd w:val="clear" w:color="auto" w:fill="auto"/>
            <w:vAlign w:val="center"/>
          </w:tcPr>
          <w:p w14:paraId="437D938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居住区规划设计标准》《完整居住社区建设标准（试行）》等要求，查找社区公共活动场地、公共绿地面积不达标，配套的儿童娱乐、老年活动、体育健身等设施设备不充足或破损，不符合无障碍设计要求，以及存在私搭乱建等问题。</w:t>
            </w:r>
          </w:p>
        </w:tc>
        <w:tc>
          <w:tcPr>
            <w:tcW w:w="1394" w:type="dxa"/>
            <w:vMerge w:val="restart"/>
            <w:shd w:val="clear" w:color="auto" w:fill="auto"/>
            <w:vAlign w:val="center"/>
          </w:tcPr>
          <w:p w14:paraId="4391C17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市住建局、社区管理员或专业人员现场调研填报</w:t>
            </w:r>
          </w:p>
        </w:tc>
      </w:tr>
      <w:tr w14:paraId="6F8BF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50A8EFBF">
            <w:pPr>
              <w:pStyle w:val="41"/>
              <w:rPr>
                <w:rFonts w:hint="eastAsia" w:cs="方正仿宋_GBK"/>
                <w:sz w:val="20"/>
                <w:szCs w:val="20"/>
                <w:lang w:bidi="ar"/>
              </w:rPr>
            </w:pPr>
          </w:p>
        </w:tc>
        <w:tc>
          <w:tcPr>
            <w:tcW w:w="436" w:type="dxa"/>
            <w:vMerge w:val="continue"/>
            <w:shd w:val="clear" w:color="auto" w:fill="auto"/>
            <w:vAlign w:val="center"/>
          </w:tcPr>
          <w:p w14:paraId="7C024362">
            <w:pPr>
              <w:pStyle w:val="41"/>
              <w:rPr>
                <w:rFonts w:hint="eastAsia" w:cs="方正仿宋_GBK"/>
                <w:sz w:val="20"/>
                <w:szCs w:val="20"/>
                <w:lang w:bidi="ar"/>
              </w:rPr>
            </w:pPr>
          </w:p>
        </w:tc>
        <w:tc>
          <w:tcPr>
            <w:tcW w:w="596" w:type="dxa"/>
            <w:vMerge w:val="continue"/>
            <w:shd w:val="clear" w:color="auto" w:fill="auto"/>
            <w:vAlign w:val="center"/>
          </w:tcPr>
          <w:p w14:paraId="7DDFEE00">
            <w:pPr>
              <w:pStyle w:val="41"/>
              <w:rPr>
                <w:rFonts w:hint="eastAsia" w:cs="方正仿宋_GBK"/>
                <w:sz w:val="20"/>
                <w:szCs w:val="20"/>
                <w:lang w:bidi="ar"/>
              </w:rPr>
            </w:pPr>
          </w:p>
        </w:tc>
        <w:tc>
          <w:tcPr>
            <w:tcW w:w="2415" w:type="dxa"/>
            <w:vMerge w:val="continue"/>
            <w:shd w:val="clear" w:color="auto" w:fill="auto"/>
            <w:vAlign w:val="center"/>
          </w:tcPr>
          <w:p w14:paraId="12BA6951">
            <w:pPr>
              <w:pStyle w:val="41"/>
              <w:rPr>
                <w:rFonts w:hint="eastAsia" w:cs="方正仿宋_GBK"/>
                <w:sz w:val="20"/>
                <w:szCs w:val="20"/>
                <w:lang w:bidi="ar"/>
              </w:rPr>
            </w:pPr>
          </w:p>
        </w:tc>
        <w:tc>
          <w:tcPr>
            <w:tcW w:w="963" w:type="dxa"/>
            <w:vMerge w:val="continue"/>
            <w:shd w:val="clear" w:color="auto" w:fill="auto"/>
            <w:vAlign w:val="center"/>
          </w:tcPr>
          <w:p w14:paraId="146710E2">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50FF7A6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18.2存在设施设备不充足或破损的公共活动场地的小区数量（个）</w:t>
            </w:r>
          </w:p>
        </w:tc>
        <w:tc>
          <w:tcPr>
            <w:tcW w:w="965" w:type="dxa"/>
            <w:shd w:val="clear" w:color="auto" w:fill="auto"/>
            <w:vAlign w:val="center"/>
          </w:tcPr>
          <w:p w14:paraId="7406B1A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64</w:t>
            </w:r>
          </w:p>
        </w:tc>
        <w:tc>
          <w:tcPr>
            <w:tcW w:w="3077" w:type="dxa"/>
            <w:vMerge w:val="continue"/>
            <w:shd w:val="clear" w:color="auto" w:fill="auto"/>
            <w:vAlign w:val="center"/>
          </w:tcPr>
          <w:p w14:paraId="3FD957E3">
            <w:pPr>
              <w:pStyle w:val="41"/>
              <w:rPr>
                <w:rFonts w:hint="eastAsia" w:cs="方正仿宋_GBK"/>
                <w:sz w:val="20"/>
                <w:szCs w:val="20"/>
                <w:lang w:bidi="ar"/>
              </w:rPr>
            </w:pPr>
          </w:p>
        </w:tc>
        <w:tc>
          <w:tcPr>
            <w:tcW w:w="1394" w:type="dxa"/>
            <w:vMerge w:val="continue"/>
            <w:shd w:val="clear" w:color="auto" w:fill="auto"/>
            <w:vAlign w:val="center"/>
          </w:tcPr>
          <w:p w14:paraId="100D769C">
            <w:pPr>
              <w:pStyle w:val="41"/>
              <w:rPr>
                <w:rFonts w:hint="eastAsia" w:cs="方正仿宋_GBK"/>
                <w:sz w:val="20"/>
                <w:szCs w:val="20"/>
                <w:lang w:bidi="ar"/>
              </w:rPr>
            </w:pPr>
          </w:p>
        </w:tc>
      </w:tr>
      <w:tr w14:paraId="6F49B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shd w:val="clear" w:color="auto" w:fill="auto"/>
            <w:vAlign w:val="center"/>
          </w:tcPr>
          <w:p w14:paraId="68427D0D">
            <w:pPr>
              <w:pStyle w:val="41"/>
              <w:rPr>
                <w:rFonts w:hint="eastAsia" w:cs="方正仿宋_GBK"/>
                <w:sz w:val="20"/>
                <w:szCs w:val="20"/>
                <w:lang w:bidi="ar"/>
              </w:rPr>
            </w:pPr>
          </w:p>
        </w:tc>
        <w:tc>
          <w:tcPr>
            <w:tcW w:w="436" w:type="dxa"/>
            <w:vMerge w:val="continue"/>
            <w:shd w:val="clear" w:color="auto" w:fill="auto"/>
            <w:vAlign w:val="center"/>
          </w:tcPr>
          <w:p w14:paraId="59C442E6">
            <w:pPr>
              <w:pStyle w:val="41"/>
              <w:rPr>
                <w:rFonts w:hint="eastAsia" w:cs="方正仿宋_GBK"/>
                <w:sz w:val="20"/>
                <w:szCs w:val="20"/>
                <w:lang w:bidi="ar"/>
              </w:rPr>
            </w:pPr>
          </w:p>
        </w:tc>
        <w:tc>
          <w:tcPr>
            <w:tcW w:w="596" w:type="dxa"/>
            <w:vMerge w:val="continue"/>
            <w:shd w:val="clear" w:color="auto" w:fill="auto"/>
            <w:vAlign w:val="center"/>
          </w:tcPr>
          <w:p w14:paraId="59474FF7">
            <w:pPr>
              <w:pStyle w:val="41"/>
              <w:rPr>
                <w:rFonts w:hint="eastAsia" w:cs="方正仿宋_GBK"/>
                <w:sz w:val="20"/>
                <w:szCs w:val="20"/>
                <w:lang w:bidi="ar"/>
              </w:rPr>
            </w:pPr>
          </w:p>
        </w:tc>
        <w:tc>
          <w:tcPr>
            <w:tcW w:w="2415" w:type="dxa"/>
            <w:vMerge w:val="continue"/>
            <w:shd w:val="clear" w:color="auto" w:fill="auto"/>
            <w:vAlign w:val="center"/>
          </w:tcPr>
          <w:p w14:paraId="1FD38B7A">
            <w:pPr>
              <w:pStyle w:val="41"/>
              <w:rPr>
                <w:rFonts w:hint="eastAsia" w:cs="方正仿宋_GBK"/>
                <w:sz w:val="20"/>
                <w:szCs w:val="20"/>
                <w:lang w:bidi="ar"/>
              </w:rPr>
            </w:pPr>
          </w:p>
        </w:tc>
        <w:tc>
          <w:tcPr>
            <w:tcW w:w="963" w:type="dxa"/>
            <w:vMerge w:val="continue"/>
            <w:shd w:val="clear" w:color="auto" w:fill="auto"/>
            <w:vAlign w:val="center"/>
          </w:tcPr>
          <w:p w14:paraId="119A8B82">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70E6B8F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18.3存在不符合无障碍设计要求的公共活动场地的小区数量（个）</w:t>
            </w:r>
          </w:p>
        </w:tc>
        <w:tc>
          <w:tcPr>
            <w:tcW w:w="965" w:type="dxa"/>
            <w:shd w:val="clear" w:color="auto" w:fill="auto"/>
            <w:vAlign w:val="center"/>
          </w:tcPr>
          <w:p w14:paraId="5E51D0A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w:t>
            </w:r>
          </w:p>
        </w:tc>
        <w:tc>
          <w:tcPr>
            <w:tcW w:w="3077" w:type="dxa"/>
            <w:vMerge w:val="continue"/>
            <w:shd w:val="clear" w:color="auto" w:fill="auto"/>
            <w:vAlign w:val="center"/>
          </w:tcPr>
          <w:p w14:paraId="03BEDECE">
            <w:pPr>
              <w:pStyle w:val="41"/>
              <w:rPr>
                <w:rFonts w:hint="eastAsia" w:cs="方正仿宋_GBK"/>
                <w:sz w:val="20"/>
                <w:szCs w:val="20"/>
                <w:lang w:bidi="ar"/>
              </w:rPr>
            </w:pPr>
          </w:p>
        </w:tc>
        <w:tc>
          <w:tcPr>
            <w:tcW w:w="1394" w:type="dxa"/>
            <w:vMerge w:val="continue"/>
            <w:shd w:val="clear" w:color="auto" w:fill="auto"/>
            <w:vAlign w:val="center"/>
          </w:tcPr>
          <w:p w14:paraId="4C763E88">
            <w:pPr>
              <w:pStyle w:val="41"/>
              <w:rPr>
                <w:rFonts w:hint="eastAsia" w:cs="方正仿宋_GBK"/>
                <w:sz w:val="20"/>
                <w:szCs w:val="20"/>
                <w:lang w:bidi="ar"/>
              </w:rPr>
            </w:pPr>
          </w:p>
        </w:tc>
      </w:tr>
      <w:tr w14:paraId="213A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shd w:val="clear" w:color="auto" w:fill="auto"/>
            <w:vAlign w:val="center"/>
          </w:tcPr>
          <w:p w14:paraId="7ABE289C">
            <w:pPr>
              <w:pStyle w:val="41"/>
              <w:rPr>
                <w:rFonts w:hint="eastAsia" w:cs="方正仿宋_GBK"/>
                <w:sz w:val="20"/>
                <w:szCs w:val="20"/>
                <w:lang w:bidi="ar"/>
              </w:rPr>
            </w:pPr>
          </w:p>
        </w:tc>
        <w:tc>
          <w:tcPr>
            <w:tcW w:w="436" w:type="dxa"/>
            <w:vMerge w:val="continue"/>
            <w:shd w:val="clear" w:color="auto" w:fill="auto"/>
            <w:vAlign w:val="center"/>
          </w:tcPr>
          <w:p w14:paraId="6C28D5FD">
            <w:pPr>
              <w:pStyle w:val="41"/>
              <w:rPr>
                <w:rFonts w:hint="eastAsia" w:cs="方正仿宋_GBK"/>
                <w:sz w:val="20"/>
                <w:szCs w:val="20"/>
                <w:lang w:bidi="ar"/>
              </w:rPr>
            </w:pPr>
          </w:p>
        </w:tc>
        <w:tc>
          <w:tcPr>
            <w:tcW w:w="596" w:type="dxa"/>
            <w:vMerge w:val="continue"/>
            <w:shd w:val="clear" w:color="auto" w:fill="auto"/>
            <w:vAlign w:val="center"/>
          </w:tcPr>
          <w:p w14:paraId="75A64BB5">
            <w:pPr>
              <w:pStyle w:val="41"/>
              <w:rPr>
                <w:rFonts w:hint="eastAsia" w:cs="方正仿宋_GBK"/>
                <w:sz w:val="20"/>
                <w:szCs w:val="20"/>
                <w:lang w:bidi="ar"/>
              </w:rPr>
            </w:pPr>
          </w:p>
        </w:tc>
        <w:tc>
          <w:tcPr>
            <w:tcW w:w="2415" w:type="dxa"/>
            <w:vMerge w:val="continue"/>
            <w:shd w:val="clear" w:color="auto" w:fill="auto"/>
            <w:vAlign w:val="center"/>
          </w:tcPr>
          <w:p w14:paraId="07B36840">
            <w:pPr>
              <w:pStyle w:val="41"/>
              <w:rPr>
                <w:rFonts w:hint="eastAsia" w:cs="方正仿宋_GBK"/>
                <w:sz w:val="20"/>
                <w:szCs w:val="20"/>
                <w:lang w:bidi="ar"/>
              </w:rPr>
            </w:pPr>
          </w:p>
        </w:tc>
        <w:tc>
          <w:tcPr>
            <w:tcW w:w="963" w:type="dxa"/>
            <w:vMerge w:val="continue"/>
            <w:shd w:val="clear" w:color="auto" w:fill="auto"/>
            <w:vAlign w:val="center"/>
          </w:tcPr>
          <w:p w14:paraId="08B31EB8">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5AAE268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18.4存在私搭乱建的公共活动场地的小区数量（个）</w:t>
            </w:r>
          </w:p>
        </w:tc>
        <w:tc>
          <w:tcPr>
            <w:tcW w:w="965" w:type="dxa"/>
            <w:shd w:val="clear" w:color="auto" w:fill="auto"/>
            <w:vAlign w:val="center"/>
          </w:tcPr>
          <w:p w14:paraId="6609C16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1F4E09AE">
            <w:pPr>
              <w:pStyle w:val="41"/>
              <w:rPr>
                <w:rFonts w:hint="eastAsia" w:cs="方正仿宋_GBK"/>
                <w:sz w:val="20"/>
                <w:szCs w:val="20"/>
                <w:lang w:bidi="ar"/>
              </w:rPr>
            </w:pPr>
          </w:p>
        </w:tc>
        <w:tc>
          <w:tcPr>
            <w:tcW w:w="1394" w:type="dxa"/>
            <w:shd w:val="clear" w:color="auto" w:fill="auto"/>
            <w:vAlign w:val="center"/>
          </w:tcPr>
          <w:p w14:paraId="0FD60998">
            <w:pPr>
              <w:pStyle w:val="41"/>
              <w:rPr>
                <w:rFonts w:hint="eastAsia" w:cs="方正仿宋_GBK"/>
                <w:sz w:val="20"/>
                <w:szCs w:val="20"/>
                <w:lang w:bidi="ar"/>
              </w:rPr>
            </w:pPr>
          </w:p>
        </w:tc>
      </w:tr>
      <w:tr w14:paraId="6D9ED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6421151F">
            <w:pPr>
              <w:pStyle w:val="41"/>
              <w:rPr>
                <w:rFonts w:hint="eastAsia" w:cs="方正仿宋_GBK"/>
                <w:sz w:val="20"/>
                <w:szCs w:val="20"/>
                <w:lang w:bidi="ar"/>
              </w:rPr>
            </w:pPr>
          </w:p>
        </w:tc>
        <w:tc>
          <w:tcPr>
            <w:tcW w:w="436" w:type="dxa"/>
            <w:vMerge w:val="continue"/>
            <w:shd w:val="clear" w:color="auto" w:fill="auto"/>
            <w:vAlign w:val="center"/>
          </w:tcPr>
          <w:p w14:paraId="6434305C">
            <w:pPr>
              <w:pStyle w:val="41"/>
              <w:rPr>
                <w:rFonts w:hint="eastAsia" w:cs="方正仿宋_GBK"/>
                <w:sz w:val="20"/>
                <w:szCs w:val="20"/>
                <w:lang w:bidi="ar"/>
              </w:rPr>
            </w:pPr>
          </w:p>
        </w:tc>
        <w:tc>
          <w:tcPr>
            <w:tcW w:w="596" w:type="dxa"/>
            <w:vMerge w:val="restart"/>
            <w:shd w:val="clear" w:color="auto" w:fill="auto"/>
            <w:vAlign w:val="center"/>
          </w:tcPr>
          <w:p w14:paraId="41301B0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19</w:t>
            </w:r>
          </w:p>
        </w:tc>
        <w:tc>
          <w:tcPr>
            <w:tcW w:w="2415" w:type="dxa"/>
            <w:vMerge w:val="restart"/>
            <w:shd w:val="clear" w:color="auto" w:fill="auto"/>
            <w:vAlign w:val="center"/>
          </w:tcPr>
          <w:p w14:paraId="6D8AB58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不达标的步行道长度（千米）</w:t>
            </w:r>
          </w:p>
        </w:tc>
        <w:tc>
          <w:tcPr>
            <w:tcW w:w="963" w:type="dxa"/>
            <w:vMerge w:val="restart"/>
            <w:shd w:val="clear" w:color="auto" w:fill="auto"/>
            <w:vAlign w:val="center"/>
          </w:tcPr>
          <w:p w14:paraId="7D64281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48.75</w:t>
            </w:r>
          </w:p>
        </w:tc>
        <w:tc>
          <w:tcPr>
            <w:tcW w:w="3672" w:type="dxa"/>
            <w:shd w:val="clear" w:color="auto" w:fill="auto"/>
            <w:vAlign w:val="center"/>
          </w:tcPr>
          <w:p w14:paraId="0663891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19.1存在以下问题（人行道路面破损、宽度不足、雨后积水、夜间照明不足、铺装不防滑）的步行道长度（千米）</w:t>
            </w:r>
          </w:p>
        </w:tc>
        <w:tc>
          <w:tcPr>
            <w:tcW w:w="965" w:type="dxa"/>
            <w:shd w:val="clear" w:color="auto" w:fill="auto"/>
            <w:vAlign w:val="center"/>
          </w:tcPr>
          <w:p w14:paraId="338E5BB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48.75</w:t>
            </w:r>
          </w:p>
        </w:tc>
        <w:tc>
          <w:tcPr>
            <w:tcW w:w="3077" w:type="dxa"/>
            <w:vMerge w:val="restart"/>
            <w:shd w:val="clear" w:color="auto" w:fill="auto"/>
            <w:vAlign w:val="center"/>
          </w:tcPr>
          <w:p w14:paraId="7761760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建筑与市政工程无障碍通用规范》《完整居住社区建设标准（试行）》等要求，查找人行道路面破损、宽度不足、雨后积水、夜间照明不足、铺装不防滑，不能连贯住宅和各类服务设施，以及不符合无障碍设计要求等问题。</w:t>
            </w:r>
          </w:p>
        </w:tc>
        <w:tc>
          <w:tcPr>
            <w:tcW w:w="1394" w:type="dxa"/>
            <w:vMerge w:val="restart"/>
            <w:shd w:val="clear" w:color="auto" w:fill="auto"/>
            <w:vAlign w:val="center"/>
          </w:tcPr>
          <w:p w14:paraId="70FB23F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市住建局、社区管理员或专业人员现场调研填报</w:t>
            </w:r>
          </w:p>
        </w:tc>
      </w:tr>
      <w:tr w14:paraId="0557A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0199BEC3">
            <w:pPr>
              <w:pStyle w:val="41"/>
              <w:rPr>
                <w:rFonts w:hint="eastAsia" w:cs="方正仿宋_GBK"/>
                <w:sz w:val="20"/>
                <w:szCs w:val="20"/>
                <w:lang w:bidi="ar"/>
              </w:rPr>
            </w:pPr>
          </w:p>
        </w:tc>
        <w:tc>
          <w:tcPr>
            <w:tcW w:w="436" w:type="dxa"/>
            <w:vMerge w:val="continue"/>
            <w:shd w:val="clear" w:color="auto" w:fill="auto"/>
            <w:vAlign w:val="center"/>
          </w:tcPr>
          <w:p w14:paraId="0237E2BC">
            <w:pPr>
              <w:pStyle w:val="41"/>
              <w:rPr>
                <w:rFonts w:hint="eastAsia" w:cs="方正仿宋_GBK"/>
                <w:sz w:val="20"/>
                <w:szCs w:val="20"/>
                <w:lang w:bidi="ar"/>
              </w:rPr>
            </w:pPr>
          </w:p>
        </w:tc>
        <w:tc>
          <w:tcPr>
            <w:tcW w:w="596" w:type="dxa"/>
            <w:vMerge w:val="continue"/>
            <w:shd w:val="clear" w:color="auto" w:fill="auto"/>
            <w:vAlign w:val="center"/>
          </w:tcPr>
          <w:p w14:paraId="3501FA00">
            <w:pPr>
              <w:pStyle w:val="41"/>
              <w:rPr>
                <w:rFonts w:hint="eastAsia" w:cs="方正仿宋_GBK"/>
                <w:sz w:val="20"/>
                <w:szCs w:val="20"/>
                <w:lang w:bidi="ar"/>
              </w:rPr>
            </w:pPr>
          </w:p>
        </w:tc>
        <w:tc>
          <w:tcPr>
            <w:tcW w:w="2415" w:type="dxa"/>
            <w:vMerge w:val="continue"/>
            <w:shd w:val="clear" w:color="auto" w:fill="auto"/>
            <w:vAlign w:val="center"/>
          </w:tcPr>
          <w:p w14:paraId="27E09DB7">
            <w:pPr>
              <w:pStyle w:val="41"/>
              <w:rPr>
                <w:rFonts w:hint="eastAsia" w:cs="方正仿宋_GBK"/>
                <w:sz w:val="20"/>
                <w:szCs w:val="20"/>
                <w:lang w:bidi="ar"/>
              </w:rPr>
            </w:pPr>
          </w:p>
        </w:tc>
        <w:tc>
          <w:tcPr>
            <w:tcW w:w="963" w:type="dxa"/>
            <w:vMerge w:val="continue"/>
            <w:shd w:val="clear" w:color="auto" w:fill="auto"/>
            <w:vAlign w:val="center"/>
          </w:tcPr>
          <w:p w14:paraId="6F0F3A26">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3636C2F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19.2不能连贯住宅和各类服务设施的步行道长度（千米）</w:t>
            </w:r>
          </w:p>
        </w:tc>
        <w:tc>
          <w:tcPr>
            <w:tcW w:w="965" w:type="dxa"/>
            <w:shd w:val="clear" w:color="auto" w:fill="auto"/>
            <w:vAlign w:val="center"/>
          </w:tcPr>
          <w:p w14:paraId="6DE3842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4C52C6DB">
            <w:pPr>
              <w:pStyle w:val="41"/>
              <w:rPr>
                <w:rFonts w:hint="eastAsia" w:cs="方正仿宋_GBK"/>
                <w:sz w:val="20"/>
                <w:szCs w:val="20"/>
                <w:lang w:bidi="ar"/>
              </w:rPr>
            </w:pPr>
          </w:p>
        </w:tc>
        <w:tc>
          <w:tcPr>
            <w:tcW w:w="1394" w:type="dxa"/>
            <w:vMerge w:val="continue"/>
            <w:shd w:val="clear" w:color="auto" w:fill="auto"/>
            <w:vAlign w:val="center"/>
          </w:tcPr>
          <w:p w14:paraId="1EA39A00">
            <w:pPr>
              <w:pStyle w:val="41"/>
              <w:rPr>
                <w:rFonts w:hint="eastAsia" w:cs="方正仿宋_GBK"/>
                <w:sz w:val="20"/>
                <w:szCs w:val="20"/>
                <w:lang w:bidi="ar"/>
              </w:rPr>
            </w:pPr>
          </w:p>
        </w:tc>
      </w:tr>
      <w:tr w14:paraId="0BC4B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0FD59B17">
            <w:pPr>
              <w:pStyle w:val="41"/>
              <w:rPr>
                <w:rFonts w:hint="eastAsia" w:cs="方正仿宋_GBK"/>
                <w:sz w:val="20"/>
                <w:szCs w:val="20"/>
                <w:lang w:bidi="ar"/>
              </w:rPr>
            </w:pPr>
          </w:p>
        </w:tc>
        <w:tc>
          <w:tcPr>
            <w:tcW w:w="436" w:type="dxa"/>
            <w:vMerge w:val="continue"/>
            <w:shd w:val="clear" w:color="auto" w:fill="auto"/>
            <w:vAlign w:val="center"/>
          </w:tcPr>
          <w:p w14:paraId="10AB6C38">
            <w:pPr>
              <w:pStyle w:val="41"/>
              <w:rPr>
                <w:rFonts w:hint="eastAsia" w:cs="方正仿宋_GBK"/>
                <w:sz w:val="20"/>
                <w:szCs w:val="20"/>
                <w:lang w:bidi="ar"/>
              </w:rPr>
            </w:pPr>
          </w:p>
        </w:tc>
        <w:tc>
          <w:tcPr>
            <w:tcW w:w="596" w:type="dxa"/>
            <w:vMerge w:val="continue"/>
            <w:shd w:val="clear" w:color="auto" w:fill="auto"/>
            <w:vAlign w:val="center"/>
          </w:tcPr>
          <w:p w14:paraId="1B634FED">
            <w:pPr>
              <w:pStyle w:val="41"/>
              <w:rPr>
                <w:rFonts w:hint="eastAsia" w:cs="方正仿宋_GBK"/>
                <w:sz w:val="20"/>
                <w:szCs w:val="20"/>
                <w:lang w:bidi="ar"/>
              </w:rPr>
            </w:pPr>
          </w:p>
        </w:tc>
        <w:tc>
          <w:tcPr>
            <w:tcW w:w="2415" w:type="dxa"/>
            <w:vMerge w:val="continue"/>
            <w:shd w:val="clear" w:color="auto" w:fill="auto"/>
            <w:vAlign w:val="center"/>
          </w:tcPr>
          <w:p w14:paraId="4BFDF7AF">
            <w:pPr>
              <w:pStyle w:val="41"/>
              <w:rPr>
                <w:rFonts w:hint="eastAsia" w:cs="方正仿宋_GBK"/>
                <w:sz w:val="20"/>
                <w:szCs w:val="20"/>
                <w:lang w:bidi="ar"/>
              </w:rPr>
            </w:pPr>
          </w:p>
        </w:tc>
        <w:tc>
          <w:tcPr>
            <w:tcW w:w="963" w:type="dxa"/>
            <w:vMerge w:val="continue"/>
            <w:shd w:val="clear" w:color="auto" w:fill="auto"/>
            <w:vAlign w:val="center"/>
          </w:tcPr>
          <w:p w14:paraId="6913E471">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3B2FA42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19.3不符合无障碍设计要求的步行道长度（千米）</w:t>
            </w:r>
          </w:p>
        </w:tc>
        <w:tc>
          <w:tcPr>
            <w:tcW w:w="965" w:type="dxa"/>
            <w:shd w:val="clear" w:color="auto" w:fill="auto"/>
            <w:vAlign w:val="center"/>
          </w:tcPr>
          <w:p w14:paraId="2DB97BF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3FD52F49">
            <w:pPr>
              <w:pStyle w:val="41"/>
              <w:rPr>
                <w:rFonts w:hint="eastAsia" w:cs="方正仿宋_GBK"/>
                <w:sz w:val="20"/>
                <w:szCs w:val="20"/>
                <w:lang w:bidi="ar"/>
              </w:rPr>
            </w:pPr>
          </w:p>
        </w:tc>
        <w:tc>
          <w:tcPr>
            <w:tcW w:w="1394" w:type="dxa"/>
            <w:vMerge w:val="continue"/>
            <w:shd w:val="clear" w:color="auto" w:fill="auto"/>
            <w:vAlign w:val="center"/>
          </w:tcPr>
          <w:p w14:paraId="7083CFB8">
            <w:pPr>
              <w:pStyle w:val="41"/>
              <w:rPr>
                <w:rFonts w:hint="eastAsia" w:cs="方正仿宋_GBK"/>
                <w:sz w:val="20"/>
                <w:szCs w:val="20"/>
                <w:lang w:bidi="ar"/>
              </w:rPr>
            </w:pPr>
          </w:p>
        </w:tc>
      </w:tr>
      <w:tr w14:paraId="55A95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shd w:val="clear" w:color="auto" w:fill="auto"/>
            <w:vAlign w:val="center"/>
          </w:tcPr>
          <w:p w14:paraId="155EFE03">
            <w:pPr>
              <w:pStyle w:val="41"/>
              <w:rPr>
                <w:rFonts w:hint="eastAsia" w:cs="方正仿宋_GBK"/>
                <w:sz w:val="20"/>
                <w:szCs w:val="20"/>
                <w:lang w:bidi="ar"/>
              </w:rPr>
            </w:pPr>
          </w:p>
        </w:tc>
        <w:tc>
          <w:tcPr>
            <w:tcW w:w="436" w:type="dxa"/>
            <w:vMerge w:val="continue"/>
            <w:shd w:val="clear" w:color="auto" w:fill="auto"/>
            <w:vAlign w:val="center"/>
          </w:tcPr>
          <w:p w14:paraId="7843697E">
            <w:pPr>
              <w:pStyle w:val="41"/>
              <w:rPr>
                <w:rFonts w:hint="eastAsia" w:cs="方正仿宋_GBK"/>
                <w:sz w:val="20"/>
                <w:szCs w:val="20"/>
                <w:lang w:bidi="ar"/>
              </w:rPr>
            </w:pPr>
          </w:p>
        </w:tc>
        <w:tc>
          <w:tcPr>
            <w:tcW w:w="596" w:type="dxa"/>
            <w:vMerge w:val="restart"/>
            <w:shd w:val="clear" w:color="auto" w:fill="auto"/>
            <w:vAlign w:val="center"/>
          </w:tcPr>
          <w:p w14:paraId="4D32EDA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20</w:t>
            </w:r>
          </w:p>
        </w:tc>
        <w:tc>
          <w:tcPr>
            <w:tcW w:w="2415" w:type="dxa"/>
            <w:vMerge w:val="restart"/>
            <w:shd w:val="clear" w:color="auto" w:fill="auto"/>
            <w:vAlign w:val="center"/>
          </w:tcPr>
          <w:p w14:paraId="35D3E24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未实施生活垃圾分类的小区数量（个）</w:t>
            </w:r>
          </w:p>
        </w:tc>
        <w:tc>
          <w:tcPr>
            <w:tcW w:w="963" w:type="dxa"/>
            <w:vMerge w:val="restart"/>
            <w:shd w:val="clear" w:color="auto" w:fill="auto"/>
            <w:vAlign w:val="center"/>
          </w:tcPr>
          <w:p w14:paraId="1C9CA9F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672" w:type="dxa"/>
            <w:shd w:val="clear" w:color="auto" w:fill="auto"/>
            <w:vAlign w:val="center"/>
          </w:tcPr>
          <w:p w14:paraId="413233D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20.1没有实行垃圾分类制度的小区数量（个）</w:t>
            </w:r>
          </w:p>
        </w:tc>
        <w:tc>
          <w:tcPr>
            <w:tcW w:w="965" w:type="dxa"/>
            <w:shd w:val="clear" w:color="auto" w:fill="auto"/>
            <w:vAlign w:val="center"/>
          </w:tcPr>
          <w:p w14:paraId="3DFB8C4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restart"/>
            <w:shd w:val="clear" w:color="auto" w:fill="auto"/>
            <w:vAlign w:val="center"/>
          </w:tcPr>
          <w:p w14:paraId="7641837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按照住房和城乡建设部等部门《关于进一步推进生活垃圾分类工作的若干意见》要求，查找没有实行垃圾分类制度，未建立分类投放、分类收集、分类运输、分类处理系统等方面的问题。</w:t>
            </w:r>
          </w:p>
        </w:tc>
        <w:tc>
          <w:tcPr>
            <w:tcW w:w="1394" w:type="dxa"/>
            <w:vMerge w:val="restart"/>
            <w:shd w:val="clear" w:color="auto" w:fill="auto"/>
            <w:vAlign w:val="center"/>
          </w:tcPr>
          <w:p w14:paraId="4A5C655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市住建局、社区管理员或专业人员现场调研填报</w:t>
            </w:r>
          </w:p>
        </w:tc>
      </w:tr>
      <w:tr w14:paraId="53AAC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5C575CE8">
            <w:pPr>
              <w:pStyle w:val="41"/>
              <w:rPr>
                <w:rFonts w:hint="eastAsia" w:cs="方正仿宋_GBK"/>
                <w:sz w:val="20"/>
                <w:szCs w:val="20"/>
                <w:lang w:bidi="ar"/>
              </w:rPr>
            </w:pPr>
          </w:p>
        </w:tc>
        <w:tc>
          <w:tcPr>
            <w:tcW w:w="436" w:type="dxa"/>
            <w:vMerge w:val="continue"/>
            <w:shd w:val="clear" w:color="auto" w:fill="auto"/>
            <w:vAlign w:val="center"/>
          </w:tcPr>
          <w:p w14:paraId="1E9419DC">
            <w:pPr>
              <w:pStyle w:val="41"/>
              <w:rPr>
                <w:rFonts w:hint="eastAsia" w:cs="方正仿宋_GBK"/>
                <w:sz w:val="20"/>
                <w:szCs w:val="20"/>
                <w:lang w:bidi="ar"/>
              </w:rPr>
            </w:pPr>
          </w:p>
        </w:tc>
        <w:tc>
          <w:tcPr>
            <w:tcW w:w="596" w:type="dxa"/>
            <w:vMerge w:val="continue"/>
            <w:shd w:val="clear" w:color="auto" w:fill="auto"/>
            <w:vAlign w:val="center"/>
          </w:tcPr>
          <w:p w14:paraId="32B0BDC7">
            <w:pPr>
              <w:pStyle w:val="41"/>
              <w:rPr>
                <w:rFonts w:hint="eastAsia" w:cs="方正仿宋_GBK"/>
                <w:sz w:val="20"/>
                <w:szCs w:val="20"/>
                <w:lang w:bidi="ar"/>
              </w:rPr>
            </w:pPr>
          </w:p>
        </w:tc>
        <w:tc>
          <w:tcPr>
            <w:tcW w:w="2415" w:type="dxa"/>
            <w:vMerge w:val="continue"/>
            <w:shd w:val="clear" w:color="auto" w:fill="auto"/>
            <w:vAlign w:val="center"/>
          </w:tcPr>
          <w:p w14:paraId="416D3F41">
            <w:pPr>
              <w:pStyle w:val="41"/>
              <w:rPr>
                <w:rFonts w:hint="eastAsia" w:cs="方正仿宋_GBK"/>
                <w:sz w:val="20"/>
                <w:szCs w:val="20"/>
                <w:lang w:bidi="ar"/>
              </w:rPr>
            </w:pPr>
          </w:p>
        </w:tc>
        <w:tc>
          <w:tcPr>
            <w:tcW w:w="963" w:type="dxa"/>
            <w:vMerge w:val="continue"/>
            <w:shd w:val="clear" w:color="auto" w:fill="auto"/>
            <w:vAlign w:val="center"/>
          </w:tcPr>
          <w:p w14:paraId="172070CA">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5293B67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20.2垃圾分类投放存在短板的小区数量（个）</w:t>
            </w:r>
          </w:p>
        </w:tc>
        <w:tc>
          <w:tcPr>
            <w:tcW w:w="965" w:type="dxa"/>
            <w:shd w:val="clear" w:color="auto" w:fill="auto"/>
            <w:vAlign w:val="center"/>
          </w:tcPr>
          <w:p w14:paraId="07CCFA0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5DA1D5B5">
            <w:pPr>
              <w:pStyle w:val="41"/>
              <w:rPr>
                <w:rFonts w:hint="eastAsia" w:cs="方正仿宋_GBK"/>
                <w:sz w:val="20"/>
                <w:szCs w:val="20"/>
                <w:lang w:bidi="ar"/>
              </w:rPr>
            </w:pPr>
          </w:p>
        </w:tc>
        <w:tc>
          <w:tcPr>
            <w:tcW w:w="1394" w:type="dxa"/>
            <w:vMerge w:val="continue"/>
            <w:shd w:val="clear" w:color="auto" w:fill="auto"/>
            <w:vAlign w:val="center"/>
          </w:tcPr>
          <w:p w14:paraId="24906CCD">
            <w:pPr>
              <w:pStyle w:val="41"/>
              <w:rPr>
                <w:rFonts w:hint="eastAsia" w:cs="方正仿宋_GBK"/>
                <w:sz w:val="20"/>
                <w:szCs w:val="20"/>
                <w:lang w:bidi="ar"/>
              </w:rPr>
            </w:pPr>
          </w:p>
        </w:tc>
      </w:tr>
      <w:tr w14:paraId="2D68A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5A4C69A6">
            <w:pPr>
              <w:pStyle w:val="41"/>
              <w:rPr>
                <w:rFonts w:hint="eastAsia" w:cs="方正仿宋_GBK"/>
                <w:sz w:val="20"/>
                <w:szCs w:val="20"/>
                <w:lang w:bidi="ar"/>
              </w:rPr>
            </w:pPr>
          </w:p>
        </w:tc>
        <w:tc>
          <w:tcPr>
            <w:tcW w:w="436" w:type="dxa"/>
            <w:vMerge w:val="continue"/>
            <w:shd w:val="clear" w:color="auto" w:fill="auto"/>
            <w:vAlign w:val="center"/>
          </w:tcPr>
          <w:p w14:paraId="407DE1D7">
            <w:pPr>
              <w:pStyle w:val="41"/>
              <w:rPr>
                <w:rFonts w:hint="eastAsia" w:cs="方正仿宋_GBK"/>
                <w:sz w:val="20"/>
                <w:szCs w:val="20"/>
                <w:lang w:bidi="ar"/>
              </w:rPr>
            </w:pPr>
          </w:p>
        </w:tc>
        <w:tc>
          <w:tcPr>
            <w:tcW w:w="596" w:type="dxa"/>
            <w:vMerge w:val="continue"/>
            <w:shd w:val="clear" w:color="auto" w:fill="auto"/>
            <w:vAlign w:val="center"/>
          </w:tcPr>
          <w:p w14:paraId="384DDB75">
            <w:pPr>
              <w:pStyle w:val="41"/>
              <w:rPr>
                <w:rFonts w:hint="eastAsia" w:cs="方正仿宋_GBK"/>
                <w:sz w:val="20"/>
                <w:szCs w:val="20"/>
                <w:lang w:bidi="ar"/>
              </w:rPr>
            </w:pPr>
          </w:p>
        </w:tc>
        <w:tc>
          <w:tcPr>
            <w:tcW w:w="2415" w:type="dxa"/>
            <w:vMerge w:val="continue"/>
            <w:shd w:val="clear" w:color="auto" w:fill="auto"/>
            <w:vAlign w:val="center"/>
          </w:tcPr>
          <w:p w14:paraId="1DE8F5FE">
            <w:pPr>
              <w:pStyle w:val="41"/>
              <w:rPr>
                <w:rFonts w:hint="eastAsia" w:cs="方正仿宋_GBK"/>
                <w:sz w:val="20"/>
                <w:szCs w:val="20"/>
                <w:lang w:bidi="ar"/>
              </w:rPr>
            </w:pPr>
          </w:p>
        </w:tc>
        <w:tc>
          <w:tcPr>
            <w:tcW w:w="963" w:type="dxa"/>
            <w:vMerge w:val="continue"/>
            <w:shd w:val="clear" w:color="auto" w:fill="auto"/>
            <w:vAlign w:val="center"/>
          </w:tcPr>
          <w:p w14:paraId="0D31C6A0">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499DA83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垃圾分类收集存在短板的小区数量（个）</w:t>
            </w:r>
          </w:p>
        </w:tc>
        <w:tc>
          <w:tcPr>
            <w:tcW w:w="965" w:type="dxa"/>
            <w:shd w:val="clear" w:color="auto" w:fill="auto"/>
            <w:vAlign w:val="center"/>
          </w:tcPr>
          <w:p w14:paraId="404A1EE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768FE86B">
            <w:pPr>
              <w:pStyle w:val="41"/>
              <w:rPr>
                <w:rFonts w:hint="eastAsia" w:cs="方正仿宋_GBK"/>
                <w:sz w:val="20"/>
                <w:szCs w:val="20"/>
                <w:lang w:bidi="ar"/>
              </w:rPr>
            </w:pPr>
          </w:p>
        </w:tc>
        <w:tc>
          <w:tcPr>
            <w:tcW w:w="1394" w:type="dxa"/>
            <w:vMerge w:val="continue"/>
            <w:shd w:val="clear" w:color="auto" w:fill="auto"/>
            <w:vAlign w:val="center"/>
          </w:tcPr>
          <w:p w14:paraId="09D437AD">
            <w:pPr>
              <w:pStyle w:val="41"/>
              <w:rPr>
                <w:rFonts w:hint="eastAsia" w:cs="方正仿宋_GBK"/>
                <w:sz w:val="20"/>
                <w:szCs w:val="20"/>
                <w:lang w:bidi="ar"/>
              </w:rPr>
            </w:pPr>
          </w:p>
        </w:tc>
      </w:tr>
      <w:tr w14:paraId="6D30E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225202DC">
            <w:pPr>
              <w:pStyle w:val="41"/>
              <w:rPr>
                <w:rFonts w:hint="eastAsia" w:cs="方正仿宋_GBK"/>
                <w:sz w:val="20"/>
                <w:szCs w:val="20"/>
                <w:lang w:bidi="ar"/>
              </w:rPr>
            </w:pPr>
          </w:p>
        </w:tc>
        <w:tc>
          <w:tcPr>
            <w:tcW w:w="436" w:type="dxa"/>
            <w:vMerge w:val="restart"/>
            <w:shd w:val="clear" w:color="auto" w:fill="auto"/>
            <w:vAlign w:val="center"/>
          </w:tcPr>
          <w:p w14:paraId="3F44743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管理健全</w:t>
            </w:r>
          </w:p>
        </w:tc>
        <w:tc>
          <w:tcPr>
            <w:tcW w:w="596" w:type="dxa"/>
            <w:vMerge w:val="restart"/>
            <w:shd w:val="clear" w:color="auto" w:fill="auto"/>
            <w:vAlign w:val="center"/>
          </w:tcPr>
          <w:p w14:paraId="402BF21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21</w:t>
            </w:r>
          </w:p>
        </w:tc>
        <w:tc>
          <w:tcPr>
            <w:tcW w:w="2415" w:type="dxa"/>
            <w:vMerge w:val="restart"/>
            <w:shd w:val="clear" w:color="auto" w:fill="auto"/>
            <w:vAlign w:val="center"/>
          </w:tcPr>
          <w:p w14:paraId="70F45E4F">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未实施物业管理的小区数量（个）</w:t>
            </w:r>
          </w:p>
        </w:tc>
        <w:tc>
          <w:tcPr>
            <w:tcW w:w="963" w:type="dxa"/>
            <w:vMerge w:val="restart"/>
            <w:shd w:val="clear" w:color="auto" w:fill="auto"/>
            <w:vAlign w:val="center"/>
          </w:tcPr>
          <w:p w14:paraId="69D2EEB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182</w:t>
            </w:r>
          </w:p>
        </w:tc>
        <w:tc>
          <w:tcPr>
            <w:tcW w:w="3672" w:type="dxa"/>
            <w:shd w:val="clear" w:color="auto" w:fill="auto"/>
            <w:vAlign w:val="center"/>
          </w:tcPr>
          <w:p w14:paraId="5C1DB42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21.1未实施专业化物业管理的小区数量（个）</w:t>
            </w:r>
          </w:p>
        </w:tc>
        <w:tc>
          <w:tcPr>
            <w:tcW w:w="965" w:type="dxa"/>
            <w:shd w:val="clear" w:color="auto" w:fill="auto"/>
            <w:vAlign w:val="center"/>
          </w:tcPr>
          <w:p w14:paraId="7A963BA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182</w:t>
            </w:r>
          </w:p>
        </w:tc>
        <w:tc>
          <w:tcPr>
            <w:tcW w:w="3077" w:type="dxa"/>
            <w:vMerge w:val="restart"/>
            <w:shd w:val="clear" w:color="auto" w:fill="auto"/>
            <w:vAlign w:val="center"/>
          </w:tcPr>
          <w:p w14:paraId="707B419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住房和城乡建设部等部门《关于加强和改进住宅物业管理工作的通知》要求，查找未实行小区物业管理，未建立所在街道党（工）委统一协调，相关部门联动执法，协调解决物业管理问题的工作机制，未建立矛盾纠纷调解机制等问题。</w:t>
            </w:r>
          </w:p>
        </w:tc>
        <w:tc>
          <w:tcPr>
            <w:tcW w:w="1394" w:type="dxa"/>
            <w:vMerge w:val="restart"/>
            <w:shd w:val="clear" w:color="auto" w:fill="auto"/>
            <w:vAlign w:val="center"/>
          </w:tcPr>
          <w:p w14:paraId="438F580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市住建局、社区管理员或专业人员现场调研填报</w:t>
            </w:r>
          </w:p>
        </w:tc>
      </w:tr>
      <w:tr w14:paraId="15E6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07B05D31">
            <w:pPr>
              <w:pStyle w:val="41"/>
              <w:rPr>
                <w:rFonts w:hint="eastAsia" w:cs="方正仿宋_GBK"/>
                <w:sz w:val="20"/>
                <w:szCs w:val="20"/>
                <w:lang w:bidi="ar"/>
              </w:rPr>
            </w:pPr>
          </w:p>
        </w:tc>
        <w:tc>
          <w:tcPr>
            <w:tcW w:w="436" w:type="dxa"/>
            <w:vMerge w:val="continue"/>
            <w:shd w:val="clear" w:color="auto" w:fill="auto"/>
            <w:vAlign w:val="center"/>
          </w:tcPr>
          <w:p w14:paraId="13F3C54B">
            <w:pPr>
              <w:pStyle w:val="41"/>
              <w:rPr>
                <w:rFonts w:hint="eastAsia" w:cs="方正仿宋_GBK"/>
                <w:sz w:val="20"/>
                <w:szCs w:val="20"/>
                <w:lang w:bidi="ar"/>
              </w:rPr>
            </w:pPr>
          </w:p>
        </w:tc>
        <w:tc>
          <w:tcPr>
            <w:tcW w:w="596" w:type="dxa"/>
            <w:vMerge w:val="continue"/>
            <w:shd w:val="clear" w:color="auto" w:fill="auto"/>
            <w:vAlign w:val="center"/>
          </w:tcPr>
          <w:p w14:paraId="09E49355">
            <w:pPr>
              <w:pStyle w:val="41"/>
              <w:rPr>
                <w:rFonts w:hint="eastAsia" w:cs="方正仿宋_GBK"/>
                <w:sz w:val="20"/>
                <w:szCs w:val="20"/>
                <w:lang w:bidi="ar"/>
              </w:rPr>
            </w:pPr>
          </w:p>
        </w:tc>
        <w:tc>
          <w:tcPr>
            <w:tcW w:w="2415" w:type="dxa"/>
            <w:vMerge w:val="continue"/>
            <w:shd w:val="clear" w:color="auto" w:fill="auto"/>
            <w:vAlign w:val="center"/>
          </w:tcPr>
          <w:p w14:paraId="20F4E97D">
            <w:pPr>
              <w:pStyle w:val="41"/>
              <w:rPr>
                <w:rFonts w:hint="eastAsia" w:cs="方正仿宋_GBK"/>
                <w:sz w:val="20"/>
                <w:szCs w:val="20"/>
                <w:lang w:bidi="ar"/>
              </w:rPr>
            </w:pPr>
          </w:p>
        </w:tc>
        <w:tc>
          <w:tcPr>
            <w:tcW w:w="963" w:type="dxa"/>
            <w:vMerge w:val="continue"/>
            <w:shd w:val="clear" w:color="auto" w:fill="auto"/>
            <w:vAlign w:val="center"/>
          </w:tcPr>
          <w:p w14:paraId="6EAE306E">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2B84EBD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21.2物业党建引领要求落实不到位的小区数量（个）</w:t>
            </w:r>
          </w:p>
        </w:tc>
        <w:tc>
          <w:tcPr>
            <w:tcW w:w="965" w:type="dxa"/>
            <w:shd w:val="clear" w:color="auto" w:fill="auto"/>
            <w:vAlign w:val="center"/>
          </w:tcPr>
          <w:p w14:paraId="2559598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6FCC3428">
            <w:pPr>
              <w:pStyle w:val="41"/>
              <w:rPr>
                <w:rFonts w:hint="eastAsia" w:cs="方正仿宋_GBK"/>
                <w:sz w:val="20"/>
                <w:szCs w:val="20"/>
                <w:lang w:bidi="ar"/>
              </w:rPr>
            </w:pPr>
          </w:p>
        </w:tc>
        <w:tc>
          <w:tcPr>
            <w:tcW w:w="1394" w:type="dxa"/>
            <w:vMerge w:val="continue"/>
            <w:shd w:val="clear" w:color="auto" w:fill="auto"/>
            <w:vAlign w:val="center"/>
          </w:tcPr>
          <w:p w14:paraId="07F9D181">
            <w:pPr>
              <w:pStyle w:val="41"/>
              <w:rPr>
                <w:rFonts w:hint="eastAsia" w:cs="方正仿宋_GBK"/>
                <w:sz w:val="20"/>
                <w:szCs w:val="20"/>
                <w:lang w:bidi="ar"/>
              </w:rPr>
            </w:pPr>
          </w:p>
        </w:tc>
      </w:tr>
      <w:tr w14:paraId="5B1B9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58701B80">
            <w:pPr>
              <w:pStyle w:val="41"/>
              <w:rPr>
                <w:rFonts w:hint="eastAsia" w:cs="方正仿宋_GBK"/>
                <w:sz w:val="20"/>
                <w:szCs w:val="20"/>
                <w:lang w:bidi="ar"/>
              </w:rPr>
            </w:pPr>
          </w:p>
        </w:tc>
        <w:tc>
          <w:tcPr>
            <w:tcW w:w="436" w:type="dxa"/>
            <w:vMerge w:val="continue"/>
            <w:shd w:val="clear" w:color="auto" w:fill="auto"/>
            <w:vAlign w:val="center"/>
          </w:tcPr>
          <w:p w14:paraId="5FDBE486">
            <w:pPr>
              <w:pStyle w:val="41"/>
              <w:rPr>
                <w:rFonts w:hint="eastAsia" w:cs="方正仿宋_GBK"/>
                <w:sz w:val="20"/>
                <w:szCs w:val="20"/>
                <w:lang w:bidi="ar"/>
              </w:rPr>
            </w:pPr>
          </w:p>
        </w:tc>
        <w:tc>
          <w:tcPr>
            <w:tcW w:w="596" w:type="dxa"/>
            <w:vMerge w:val="continue"/>
            <w:shd w:val="clear" w:color="auto" w:fill="auto"/>
            <w:vAlign w:val="center"/>
          </w:tcPr>
          <w:p w14:paraId="11DADF85">
            <w:pPr>
              <w:pStyle w:val="41"/>
              <w:rPr>
                <w:rFonts w:hint="eastAsia" w:cs="方正仿宋_GBK"/>
                <w:sz w:val="20"/>
                <w:szCs w:val="20"/>
                <w:lang w:bidi="ar"/>
              </w:rPr>
            </w:pPr>
          </w:p>
        </w:tc>
        <w:tc>
          <w:tcPr>
            <w:tcW w:w="2415" w:type="dxa"/>
            <w:vMerge w:val="continue"/>
            <w:shd w:val="clear" w:color="auto" w:fill="auto"/>
            <w:vAlign w:val="center"/>
          </w:tcPr>
          <w:p w14:paraId="14BDA7F1">
            <w:pPr>
              <w:pStyle w:val="41"/>
              <w:rPr>
                <w:rFonts w:hint="eastAsia" w:cs="方正仿宋_GBK"/>
                <w:sz w:val="20"/>
                <w:szCs w:val="20"/>
                <w:lang w:bidi="ar"/>
              </w:rPr>
            </w:pPr>
          </w:p>
        </w:tc>
        <w:tc>
          <w:tcPr>
            <w:tcW w:w="963" w:type="dxa"/>
            <w:vMerge w:val="continue"/>
            <w:shd w:val="clear" w:color="auto" w:fill="auto"/>
            <w:vAlign w:val="center"/>
          </w:tcPr>
          <w:p w14:paraId="4AE08BFC">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23672EA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21.3物业不能及时处理居民报修、求助等各类信息的小区数量（个）</w:t>
            </w:r>
          </w:p>
        </w:tc>
        <w:tc>
          <w:tcPr>
            <w:tcW w:w="965" w:type="dxa"/>
            <w:shd w:val="clear" w:color="auto" w:fill="auto"/>
            <w:vAlign w:val="center"/>
          </w:tcPr>
          <w:p w14:paraId="4876341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79B8DAEC">
            <w:pPr>
              <w:pStyle w:val="41"/>
              <w:rPr>
                <w:rFonts w:hint="eastAsia" w:cs="方正仿宋_GBK"/>
                <w:sz w:val="20"/>
                <w:szCs w:val="20"/>
                <w:lang w:bidi="ar"/>
              </w:rPr>
            </w:pPr>
          </w:p>
        </w:tc>
        <w:tc>
          <w:tcPr>
            <w:tcW w:w="1394" w:type="dxa"/>
            <w:vMerge w:val="continue"/>
            <w:shd w:val="clear" w:color="auto" w:fill="auto"/>
            <w:vAlign w:val="center"/>
          </w:tcPr>
          <w:p w14:paraId="43B39302">
            <w:pPr>
              <w:pStyle w:val="41"/>
              <w:rPr>
                <w:rFonts w:hint="eastAsia" w:cs="方正仿宋_GBK"/>
                <w:sz w:val="20"/>
                <w:szCs w:val="20"/>
                <w:lang w:bidi="ar"/>
              </w:rPr>
            </w:pPr>
          </w:p>
        </w:tc>
      </w:tr>
      <w:tr w14:paraId="7AC70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4C6BB5D4">
            <w:pPr>
              <w:pStyle w:val="41"/>
              <w:rPr>
                <w:rFonts w:hint="eastAsia" w:cs="方正仿宋_GBK"/>
                <w:sz w:val="20"/>
                <w:szCs w:val="20"/>
                <w:lang w:bidi="ar"/>
              </w:rPr>
            </w:pPr>
          </w:p>
        </w:tc>
        <w:tc>
          <w:tcPr>
            <w:tcW w:w="436" w:type="dxa"/>
            <w:vMerge w:val="continue"/>
            <w:shd w:val="clear" w:color="auto" w:fill="auto"/>
            <w:vAlign w:val="center"/>
          </w:tcPr>
          <w:p w14:paraId="5B2B639A">
            <w:pPr>
              <w:pStyle w:val="41"/>
              <w:rPr>
                <w:rFonts w:hint="eastAsia" w:cs="方正仿宋_GBK"/>
                <w:sz w:val="20"/>
                <w:szCs w:val="20"/>
                <w:lang w:bidi="ar"/>
              </w:rPr>
            </w:pPr>
          </w:p>
        </w:tc>
        <w:tc>
          <w:tcPr>
            <w:tcW w:w="596" w:type="dxa"/>
            <w:vMerge w:val="continue"/>
            <w:shd w:val="clear" w:color="auto" w:fill="auto"/>
            <w:vAlign w:val="center"/>
          </w:tcPr>
          <w:p w14:paraId="2A98DFC4">
            <w:pPr>
              <w:pStyle w:val="41"/>
              <w:rPr>
                <w:rFonts w:hint="eastAsia" w:cs="方正仿宋_GBK"/>
                <w:sz w:val="20"/>
                <w:szCs w:val="20"/>
                <w:lang w:bidi="ar"/>
              </w:rPr>
            </w:pPr>
          </w:p>
        </w:tc>
        <w:tc>
          <w:tcPr>
            <w:tcW w:w="2415" w:type="dxa"/>
            <w:vMerge w:val="continue"/>
            <w:shd w:val="clear" w:color="auto" w:fill="auto"/>
            <w:vAlign w:val="center"/>
          </w:tcPr>
          <w:p w14:paraId="45CD2D5B">
            <w:pPr>
              <w:pStyle w:val="41"/>
              <w:rPr>
                <w:rFonts w:hint="eastAsia" w:cs="方正仿宋_GBK"/>
                <w:sz w:val="20"/>
                <w:szCs w:val="20"/>
                <w:lang w:bidi="ar"/>
              </w:rPr>
            </w:pPr>
          </w:p>
        </w:tc>
        <w:tc>
          <w:tcPr>
            <w:tcW w:w="963" w:type="dxa"/>
            <w:vMerge w:val="continue"/>
            <w:shd w:val="clear" w:color="auto" w:fill="auto"/>
            <w:vAlign w:val="center"/>
          </w:tcPr>
          <w:p w14:paraId="6B51DD03">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3E98BDF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21.4秩序维护和环境卫生服务不到位的小区数量（个）</w:t>
            </w:r>
          </w:p>
        </w:tc>
        <w:tc>
          <w:tcPr>
            <w:tcW w:w="965" w:type="dxa"/>
            <w:shd w:val="clear" w:color="auto" w:fill="auto"/>
            <w:vAlign w:val="center"/>
          </w:tcPr>
          <w:p w14:paraId="04BB982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3077" w:type="dxa"/>
            <w:vMerge w:val="continue"/>
            <w:shd w:val="clear" w:color="auto" w:fill="auto"/>
            <w:vAlign w:val="center"/>
          </w:tcPr>
          <w:p w14:paraId="2BC8BC3A">
            <w:pPr>
              <w:pStyle w:val="41"/>
              <w:rPr>
                <w:rFonts w:hint="eastAsia" w:cs="方正仿宋_GBK"/>
                <w:sz w:val="20"/>
                <w:szCs w:val="20"/>
                <w:lang w:bidi="ar"/>
              </w:rPr>
            </w:pPr>
          </w:p>
        </w:tc>
        <w:tc>
          <w:tcPr>
            <w:tcW w:w="1394" w:type="dxa"/>
            <w:vMerge w:val="continue"/>
            <w:shd w:val="clear" w:color="auto" w:fill="auto"/>
            <w:vAlign w:val="center"/>
          </w:tcPr>
          <w:p w14:paraId="4EE9CF6A">
            <w:pPr>
              <w:pStyle w:val="41"/>
              <w:rPr>
                <w:rFonts w:hint="eastAsia" w:cs="方正仿宋_GBK"/>
                <w:sz w:val="20"/>
                <w:szCs w:val="20"/>
                <w:lang w:bidi="ar"/>
              </w:rPr>
            </w:pPr>
          </w:p>
        </w:tc>
      </w:tr>
      <w:tr w14:paraId="3A9DC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56" w:type="dxa"/>
            <w:vMerge w:val="continue"/>
            <w:shd w:val="clear" w:color="auto" w:fill="auto"/>
            <w:vAlign w:val="center"/>
          </w:tcPr>
          <w:p w14:paraId="406DF1C0">
            <w:pPr>
              <w:pStyle w:val="41"/>
              <w:rPr>
                <w:rFonts w:hint="eastAsia" w:cs="方正仿宋_GBK"/>
                <w:sz w:val="20"/>
                <w:szCs w:val="20"/>
                <w:lang w:bidi="ar"/>
              </w:rPr>
            </w:pPr>
          </w:p>
        </w:tc>
        <w:tc>
          <w:tcPr>
            <w:tcW w:w="436" w:type="dxa"/>
            <w:vMerge w:val="continue"/>
            <w:shd w:val="clear" w:color="auto" w:fill="auto"/>
            <w:vAlign w:val="center"/>
          </w:tcPr>
          <w:p w14:paraId="54E021F3">
            <w:pPr>
              <w:pStyle w:val="41"/>
              <w:rPr>
                <w:rFonts w:hint="eastAsia" w:cs="方正仿宋_GBK"/>
                <w:sz w:val="20"/>
                <w:szCs w:val="20"/>
                <w:lang w:bidi="ar"/>
              </w:rPr>
            </w:pPr>
          </w:p>
        </w:tc>
        <w:tc>
          <w:tcPr>
            <w:tcW w:w="596" w:type="dxa"/>
            <w:vMerge w:val="restart"/>
            <w:shd w:val="clear" w:color="auto" w:fill="auto"/>
            <w:vAlign w:val="center"/>
          </w:tcPr>
          <w:p w14:paraId="358340E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w:t>
            </w:r>
          </w:p>
        </w:tc>
        <w:tc>
          <w:tcPr>
            <w:tcW w:w="2415" w:type="dxa"/>
            <w:vMerge w:val="restart"/>
            <w:shd w:val="clear" w:color="auto" w:fill="auto"/>
            <w:vAlign w:val="center"/>
          </w:tcPr>
          <w:p w14:paraId="075D4DF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需要进行智慧化改造的小区数量（个）</w:t>
            </w:r>
          </w:p>
        </w:tc>
        <w:tc>
          <w:tcPr>
            <w:tcW w:w="963" w:type="dxa"/>
            <w:vMerge w:val="restart"/>
            <w:shd w:val="clear" w:color="auto" w:fill="auto"/>
            <w:vAlign w:val="center"/>
          </w:tcPr>
          <w:p w14:paraId="218495C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198</w:t>
            </w:r>
          </w:p>
        </w:tc>
        <w:tc>
          <w:tcPr>
            <w:tcW w:w="3672" w:type="dxa"/>
            <w:shd w:val="clear" w:color="auto" w:fill="auto"/>
            <w:vAlign w:val="center"/>
          </w:tcPr>
          <w:p w14:paraId="7672009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22.1未安装智能信包箱、智能快递柜的小区数量（个）</w:t>
            </w:r>
          </w:p>
        </w:tc>
        <w:tc>
          <w:tcPr>
            <w:tcW w:w="965" w:type="dxa"/>
            <w:shd w:val="clear" w:color="auto" w:fill="auto"/>
            <w:vAlign w:val="center"/>
          </w:tcPr>
          <w:p w14:paraId="0E8D041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134</w:t>
            </w:r>
          </w:p>
        </w:tc>
        <w:tc>
          <w:tcPr>
            <w:tcW w:w="3077" w:type="dxa"/>
            <w:vMerge w:val="restart"/>
            <w:shd w:val="clear" w:color="auto" w:fill="auto"/>
            <w:vAlign w:val="center"/>
          </w:tcPr>
          <w:p w14:paraId="52E27D0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民政部、住房和城乡建设部等部门《关于深入推进智慧社区建设的意见》要求，查找未安装智能信包箱、智能快递柜、智能安防设施及系统建设不完善等问题。有条件的，查找智慧社区综合信息平台建设、公共服务信息化建设等方面的差距和不足。</w:t>
            </w:r>
          </w:p>
        </w:tc>
        <w:tc>
          <w:tcPr>
            <w:tcW w:w="1394" w:type="dxa"/>
            <w:vMerge w:val="restart"/>
            <w:shd w:val="clear" w:color="auto" w:fill="auto"/>
            <w:vAlign w:val="center"/>
          </w:tcPr>
          <w:p w14:paraId="55E483B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市社工部、市住建局、社区管理员或专业人员现场调研填报</w:t>
            </w:r>
          </w:p>
        </w:tc>
      </w:tr>
      <w:tr w14:paraId="6B7B2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trPr>
        <w:tc>
          <w:tcPr>
            <w:tcW w:w="656" w:type="dxa"/>
            <w:vMerge w:val="continue"/>
            <w:shd w:val="clear" w:color="auto" w:fill="auto"/>
            <w:vAlign w:val="center"/>
          </w:tcPr>
          <w:p w14:paraId="50DF56E6">
            <w:pPr>
              <w:pStyle w:val="41"/>
              <w:rPr>
                <w:rFonts w:hint="eastAsia" w:cs="方正仿宋_GBK"/>
                <w:sz w:val="20"/>
                <w:szCs w:val="20"/>
                <w:lang w:bidi="ar"/>
              </w:rPr>
            </w:pPr>
          </w:p>
        </w:tc>
        <w:tc>
          <w:tcPr>
            <w:tcW w:w="436" w:type="dxa"/>
            <w:vMerge w:val="continue"/>
            <w:shd w:val="clear" w:color="auto" w:fill="auto"/>
            <w:vAlign w:val="center"/>
          </w:tcPr>
          <w:p w14:paraId="23158AE6">
            <w:pPr>
              <w:pStyle w:val="41"/>
              <w:rPr>
                <w:rFonts w:hint="eastAsia" w:cs="方正仿宋_GBK"/>
                <w:sz w:val="20"/>
                <w:szCs w:val="20"/>
                <w:lang w:bidi="ar"/>
              </w:rPr>
            </w:pPr>
          </w:p>
        </w:tc>
        <w:tc>
          <w:tcPr>
            <w:tcW w:w="596" w:type="dxa"/>
            <w:vMerge w:val="continue"/>
            <w:shd w:val="clear" w:color="auto" w:fill="auto"/>
            <w:vAlign w:val="center"/>
          </w:tcPr>
          <w:p w14:paraId="0C7E6F20">
            <w:pPr>
              <w:pStyle w:val="41"/>
              <w:rPr>
                <w:rFonts w:hint="eastAsia" w:cs="方正仿宋_GBK"/>
                <w:sz w:val="20"/>
                <w:szCs w:val="20"/>
                <w:lang w:bidi="ar"/>
              </w:rPr>
            </w:pPr>
          </w:p>
        </w:tc>
        <w:tc>
          <w:tcPr>
            <w:tcW w:w="2415" w:type="dxa"/>
            <w:vMerge w:val="continue"/>
            <w:shd w:val="clear" w:color="auto" w:fill="auto"/>
            <w:vAlign w:val="center"/>
          </w:tcPr>
          <w:p w14:paraId="6979E2BC">
            <w:pPr>
              <w:pStyle w:val="41"/>
              <w:rPr>
                <w:rFonts w:hint="eastAsia" w:cs="方正仿宋_GBK"/>
                <w:sz w:val="20"/>
                <w:szCs w:val="20"/>
                <w:lang w:bidi="ar"/>
              </w:rPr>
            </w:pPr>
          </w:p>
        </w:tc>
        <w:tc>
          <w:tcPr>
            <w:tcW w:w="963" w:type="dxa"/>
            <w:vMerge w:val="continue"/>
            <w:shd w:val="clear" w:color="auto" w:fill="auto"/>
            <w:vAlign w:val="center"/>
          </w:tcPr>
          <w:p w14:paraId="03FC2469">
            <w:pPr>
              <w:pStyle w:val="41"/>
              <w:kinsoku w:val="0"/>
              <w:autoSpaceDE w:val="0"/>
              <w:autoSpaceDN w:val="0"/>
              <w:textAlignment w:val="center"/>
              <w:rPr>
                <w:rFonts w:hint="eastAsia" w:cs="方正仿宋_GBK"/>
                <w:sz w:val="22"/>
                <w:szCs w:val="22"/>
                <w:lang w:bidi="ar"/>
              </w:rPr>
            </w:pPr>
          </w:p>
        </w:tc>
        <w:tc>
          <w:tcPr>
            <w:tcW w:w="3672" w:type="dxa"/>
            <w:shd w:val="clear" w:color="auto" w:fill="auto"/>
            <w:vAlign w:val="center"/>
          </w:tcPr>
          <w:p w14:paraId="7B0D890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22.2智能安防设施及系统建设不完善的小区数量（个）</w:t>
            </w:r>
          </w:p>
        </w:tc>
        <w:tc>
          <w:tcPr>
            <w:tcW w:w="965" w:type="dxa"/>
            <w:shd w:val="clear" w:color="auto" w:fill="auto"/>
            <w:vAlign w:val="center"/>
          </w:tcPr>
          <w:p w14:paraId="514E331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124</w:t>
            </w:r>
          </w:p>
        </w:tc>
        <w:tc>
          <w:tcPr>
            <w:tcW w:w="3077" w:type="dxa"/>
            <w:vMerge w:val="continue"/>
            <w:shd w:val="clear" w:color="auto" w:fill="auto"/>
            <w:vAlign w:val="center"/>
          </w:tcPr>
          <w:p w14:paraId="400C0FFE">
            <w:pPr>
              <w:pStyle w:val="41"/>
              <w:rPr>
                <w:rFonts w:hint="eastAsia" w:cs="方正仿宋_GBK"/>
                <w:sz w:val="20"/>
                <w:szCs w:val="20"/>
                <w:lang w:bidi="ar"/>
              </w:rPr>
            </w:pPr>
          </w:p>
        </w:tc>
        <w:tc>
          <w:tcPr>
            <w:tcW w:w="1394" w:type="dxa"/>
            <w:vMerge w:val="continue"/>
            <w:shd w:val="clear" w:color="auto" w:fill="auto"/>
            <w:vAlign w:val="center"/>
          </w:tcPr>
          <w:p w14:paraId="29CE540C">
            <w:pPr>
              <w:pStyle w:val="41"/>
              <w:rPr>
                <w:rFonts w:hint="eastAsia" w:cs="方正仿宋_GBK"/>
                <w:sz w:val="20"/>
                <w:szCs w:val="20"/>
                <w:lang w:bidi="ar"/>
              </w:rPr>
            </w:pPr>
          </w:p>
        </w:tc>
      </w:tr>
    </w:tbl>
    <w:p w14:paraId="6DF504DF">
      <w:pPr>
        <w:ind w:firstLine="480"/>
        <w:rPr>
          <w:rFonts w:hint="eastAsia" w:ascii="方正黑体_GBK" w:hAnsi="方正黑体_GBK" w:eastAsia="方正黑体_GBK" w:cs="方正黑体_GBK"/>
          <w:sz w:val="24"/>
          <w:szCs w:val="24"/>
        </w:rPr>
      </w:pPr>
      <w:r>
        <w:rPr>
          <w:rFonts w:hint="eastAsia" w:ascii="方正黑体_GBK" w:hAnsi="方正黑体_GBK" w:eastAsia="方正黑体_GBK" w:cs="方正黑体_GBK"/>
          <w:sz w:val="24"/>
          <w:szCs w:val="24"/>
        </w:rPr>
        <w:br w:type="page"/>
      </w:r>
    </w:p>
    <w:p w14:paraId="6BC8CCA1">
      <w:pPr>
        <w:ind w:firstLine="0" w:firstLineChars="0"/>
        <w:jc w:val="center"/>
        <w:outlineLvl w:val="2"/>
        <w:rPr>
          <w:rFonts w:hint="eastAsia" w:ascii="方正黑体_GBK" w:hAnsi="方正黑体_GBK" w:eastAsia="方正黑体_GBK" w:cs="方正黑体_GBK"/>
          <w:sz w:val="24"/>
          <w:szCs w:val="24"/>
        </w:rPr>
        <w:sectPr>
          <w:pgSz w:w="16838" w:h="11906" w:orient="landscape"/>
          <w:pgMar w:top="1800" w:right="1440" w:bottom="1800" w:left="1440" w:header="851" w:footer="992" w:gutter="0"/>
          <w:pgNumType w:fmt="decimal"/>
          <w:cols w:space="425" w:num="1"/>
          <w:docGrid w:type="lines" w:linePitch="312" w:charSpace="0"/>
        </w:sectPr>
      </w:pPr>
    </w:p>
    <w:p w14:paraId="115F32CE">
      <w:pPr>
        <w:pStyle w:val="48"/>
        <w:outlineLvl w:val="2"/>
        <w:rPr>
          <w:rFonts w:hint="eastAsia"/>
        </w:rPr>
      </w:pPr>
      <w:r>
        <w:rPr>
          <w:rFonts w:hint="eastAsia"/>
        </w:rPr>
        <w:t>街区维度数据统计表</w:t>
      </w:r>
    </w:p>
    <w:tbl>
      <w:tblPr>
        <w:tblStyle w:val="2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439"/>
        <w:gridCol w:w="608"/>
        <w:gridCol w:w="1497"/>
        <w:gridCol w:w="1018"/>
        <w:gridCol w:w="3048"/>
        <w:gridCol w:w="898"/>
        <w:gridCol w:w="3381"/>
        <w:gridCol w:w="2660"/>
      </w:tblGrid>
      <w:tr w14:paraId="60C9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blHeader/>
        </w:trPr>
        <w:tc>
          <w:tcPr>
            <w:tcW w:w="610" w:type="dxa"/>
            <w:shd w:val="clear" w:color="auto" w:fill="auto"/>
            <w:vAlign w:val="center"/>
          </w:tcPr>
          <w:p w14:paraId="0C2CB51F">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维度</w:t>
            </w:r>
          </w:p>
        </w:tc>
        <w:tc>
          <w:tcPr>
            <w:tcW w:w="436" w:type="dxa"/>
            <w:shd w:val="clear" w:color="auto" w:fill="auto"/>
            <w:vAlign w:val="center"/>
          </w:tcPr>
          <w:p w14:paraId="2A2D2727">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二级维度</w:t>
            </w:r>
          </w:p>
        </w:tc>
        <w:tc>
          <w:tcPr>
            <w:tcW w:w="605" w:type="dxa"/>
            <w:shd w:val="clear" w:color="auto" w:fill="auto"/>
            <w:vAlign w:val="center"/>
          </w:tcPr>
          <w:p w14:paraId="2143C22F">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序号</w:t>
            </w:r>
          </w:p>
        </w:tc>
        <w:tc>
          <w:tcPr>
            <w:tcW w:w="1497" w:type="dxa"/>
            <w:shd w:val="clear" w:color="auto" w:fill="auto"/>
            <w:vAlign w:val="center"/>
          </w:tcPr>
          <w:p w14:paraId="3F7D55B3">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指标</w:t>
            </w:r>
          </w:p>
        </w:tc>
        <w:tc>
          <w:tcPr>
            <w:tcW w:w="1017" w:type="dxa"/>
            <w:shd w:val="clear" w:color="auto" w:fill="auto"/>
            <w:vAlign w:val="center"/>
          </w:tcPr>
          <w:p w14:paraId="464D7896">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指标值</w:t>
            </w:r>
          </w:p>
        </w:tc>
        <w:tc>
          <w:tcPr>
            <w:tcW w:w="3052" w:type="dxa"/>
            <w:shd w:val="clear" w:color="auto" w:fill="auto"/>
            <w:vAlign w:val="center"/>
          </w:tcPr>
          <w:p w14:paraId="2517F40D">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分解指标</w:t>
            </w:r>
          </w:p>
        </w:tc>
        <w:tc>
          <w:tcPr>
            <w:tcW w:w="896" w:type="dxa"/>
            <w:shd w:val="clear" w:color="auto" w:fill="auto"/>
            <w:vAlign w:val="center"/>
          </w:tcPr>
          <w:p w14:paraId="22FA5D3B">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分项体检值</w:t>
            </w:r>
          </w:p>
        </w:tc>
        <w:tc>
          <w:tcPr>
            <w:tcW w:w="3386" w:type="dxa"/>
            <w:shd w:val="clear" w:color="auto" w:fill="auto"/>
            <w:vAlign w:val="center"/>
          </w:tcPr>
          <w:p w14:paraId="79D77759">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体检内容</w:t>
            </w:r>
          </w:p>
        </w:tc>
        <w:tc>
          <w:tcPr>
            <w:tcW w:w="2664" w:type="dxa"/>
            <w:shd w:val="clear" w:color="auto" w:fill="auto"/>
            <w:vAlign w:val="center"/>
          </w:tcPr>
          <w:p w14:paraId="5A0A8625">
            <w:pPr>
              <w:adjustRightInd w:val="0"/>
              <w:snapToGrid w:val="0"/>
              <w:spacing w:line="240" w:lineRule="auto"/>
              <w:ind w:firstLine="0" w:firstLineChars="0"/>
              <w:jc w:val="center"/>
              <w:rPr>
                <w:rFonts w:hint="eastAsia" w:ascii="方正黑体_GBK" w:hAnsi="方正黑体_GBK" w:eastAsia="方正黑体_GBK" w:cs="方正黑体_GBK"/>
                <w:snapToGrid w:val="0"/>
                <w:kern w:val="0"/>
                <w:sz w:val="22"/>
                <w:szCs w:val="22"/>
                <w:lang w:bidi="ar"/>
              </w:rPr>
            </w:pPr>
            <w:r>
              <w:rPr>
                <w:rFonts w:hint="eastAsia" w:ascii="方正黑体_GBK" w:hAnsi="方正黑体_GBK" w:eastAsia="方正黑体_GBK" w:cs="方正黑体_GBK"/>
                <w:sz w:val="22"/>
                <w:szCs w:val="22"/>
              </w:rPr>
              <w:t>数据获取</w:t>
            </w:r>
          </w:p>
        </w:tc>
      </w:tr>
      <w:tr w14:paraId="6DA06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restart"/>
            <w:shd w:val="clear" w:color="auto" w:fill="auto"/>
            <w:vAlign w:val="center"/>
          </w:tcPr>
          <w:p w14:paraId="1DFDF6EF">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街区</w:t>
            </w:r>
          </w:p>
        </w:tc>
        <w:tc>
          <w:tcPr>
            <w:tcW w:w="436" w:type="dxa"/>
            <w:vMerge w:val="restart"/>
            <w:shd w:val="clear" w:color="auto" w:fill="auto"/>
            <w:vAlign w:val="center"/>
          </w:tcPr>
          <w:p w14:paraId="32F6E659">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功能完善</w:t>
            </w:r>
          </w:p>
        </w:tc>
        <w:tc>
          <w:tcPr>
            <w:tcW w:w="605" w:type="dxa"/>
            <w:vMerge w:val="restart"/>
            <w:shd w:val="clear" w:color="auto" w:fill="auto"/>
            <w:vAlign w:val="center"/>
          </w:tcPr>
          <w:p w14:paraId="44EFAEA9">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23</w:t>
            </w:r>
          </w:p>
        </w:tc>
        <w:tc>
          <w:tcPr>
            <w:tcW w:w="1497" w:type="dxa"/>
            <w:vMerge w:val="restart"/>
            <w:shd w:val="clear" w:color="auto" w:fill="auto"/>
            <w:vAlign w:val="center"/>
          </w:tcPr>
          <w:p w14:paraId="3A0C6A6D">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中学服务半径覆盖率（%）</w:t>
            </w:r>
          </w:p>
        </w:tc>
        <w:tc>
          <w:tcPr>
            <w:tcW w:w="1017" w:type="dxa"/>
            <w:vMerge w:val="restart"/>
            <w:shd w:val="clear" w:color="auto" w:fill="auto"/>
            <w:vAlign w:val="center"/>
          </w:tcPr>
          <w:p w14:paraId="095BBA0F">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48.85%</w:t>
            </w:r>
          </w:p>
        </w:tc>
        <w:tc>
          <w:tcPr>
            <w:tcW w:w="3052" w:type="dxa"/>
            <w:shd w:val="clear" w:color="auto" w:fill="auto"/>
            <w:vAlign w:val="center"/>
          </w:tcPr>
          <w:p w14:paraId="1EFD787D">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23.1初级中学、九年制学校1千米服务半径覆盖的居住用地面积（平方公里）</w:t>
            </w:r>
          </w:p>
        </w:tc>
        <w:tc>
          <w:tcPr>
            <w:tcW w:w="896" w:type="dxa"/>
            <w:shd w:val="clear" w:color="auto" w:fill="auto"/>
            <w:vAlign w:val="center"/>
          </w:tcPr>
          <w:p w14:paraId="7D041F3C">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16.83</w:t>
            </w:r>
          </w:p>
        </w:tc>
        <w:tc>
          <w:tcPr>
            <w:tcW w:w="3386" w:type="dxa"/>
            <w:vMerge w:val="restart"/>
            <w:shd w:val="clear" w:color="auto" w:fill="auto"/>
            <w:vAlign w:val="center"/>
          </w:tcPr>
          <w:p w14:paraId="222F3A1C">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调查分析中学1公里服务半径覆盖的居住用地面积，占所在街道总居住用地面积的百分比，查找中学服务半径覆盖与适龄青少年就近入学需求方面的差距和不足。</w:t>
            </w:r>
          </w:p>
        </w:tc>
        <w:tc>
          <w:tcPr>
            <w:tcW w:w="2664" w:type="dxa"/>
            <w:vMerge w:val="restart"/>
            <w:shd w:val="clear" w:color="auto" w:fill="auto"/>
            <w:vAlign w:val="center"/>
          </w:tcPr>
          <w:p w14:paraId="08D4FAA6">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市教育局、街道管理员或专业人员现场调研填报；大数据辅助分析</w:t>
            </w:r>
          </w:p>
        </w:tc>
      </w:tr>
      <w:tr w14:paraId="35940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3DBB17D6">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4D8E4A07">
            <w:pPr>
              <w:adjustRightInd w:val="0"/>
              <w:snapToGrid w:val="0"/>
              <w:spacing w:line="240" w:lineRule="auto"/>
              <w:ind w:firstLine="0" w:firstLineChars="0"/>
              <w:jc w:val="center"/>
              <w:rPr>
                <w:rFonts w:hint="eastAsia"/>
                <w:sz w:val="22"/>
                <w:szCs w:val="22"/>
              </w:rPr>
            </w:pPr>
          </w:p>
        </w:tc>
        <w:tc>
          <w:tcPr>
            <w:tcW w:w="605" w:type="dxa"/>
            <w:vMerge w:val="continue"/>
            <w:shd w:val="clear" w:color="auto" w:fill="auto"/>
            <w:vAlign w:val="center"/>
          </w:tcPr>
          <w:p w14:paraId="66BACDDA">
            <w:pPr>
              <w:adjustRightInd w:val="0"/>
              <w:snapToGrid w:val="0"/>
              <w:spacing w:line="240" w:lineRule="auto"/>
              <w:ind w:firstLine="0" w:firstLineChars="0"/>
              <w:jc w:val="center"/>
              <w:rPr>
                <w:rFonts w:hint="eastAsia"/>
                <w:sz w:val="22"/>
                <w:szCs w:val="22"/>
              </w:rPr>
            </w:pPr>
          </w:p>
        </w:tc>
        <w:tc>
          <w:tcPr>
            <w:tcW w:w="1497" w:type="dxa"/>
            <w:vMerge w:val="continue"/>
            <w:shd w:val="clear" w:color="auto" w:fill="auto"/>
            <w:vAlign w:val="center"/>
          </w:tcPr>
          <w:p w14:paraId="2777FFD6">
            <w:pPr>
              <w:adjustRightInd w:val="0"/>
              <w:snapToGrid w:val="0"/>
              <w:spacing w:line="240" w:lineRule="auto"/>
              <w:ind w:firstLine="0" w:firstLineChars="0"/>
              <w:jc w:val="center"/>
              <w:rPr>
                <w:rFonts w:hint="eastAsia"/>
                <w:sz w:val="22"/>
                <w:szCs w:val="22"/>
              </w:rPr>
            </w:pPr>
          </w:p>
        </w:tc>
        <w:tc>
          <w:tcPr>
            <w:tcW w:w="1017" w:type="dxa"/>
            <w:vMerge w:val="continue"/>
            <w:shd w:val="clear" w:color="auto" w:fill="auto"/>
            <w:vAlign w:val="center"/>
          </w:tcPr>
          <w:p w14:paraId="419E6DD6">
            <w:pPr>
              <w:adjustRightInd w:val="0"/>
              <w:snapToGrid w:val="0"/>
              <w:spacing w:line="240" w:lineRule="auto"/>
              <w:ind w:firstLine="0" w:firstLineChars="0"/>
              <w:jc w:val="center"/>
              <w:rPr>
                <w:rFonts w:hint="eastAsia"/>
                <w:sz w:val="22"/>
                <w:szCs w:val="22"/>
              </w:rPr>
            </w:pPr>
          </w:p>
        </w:tc>
        <w:tc>
          <w:tcPr>
            <w:tcW w:w="3052" w:type="dxa"/>
            <w:shd w:val="clear" w:color="auto" w:fill="auto"/>
            <w:vAlign w:val="center"/>
          </w:tcPr>
          <w:p w14:paraId="75E89450">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23.2街道内居住用地面积（平方公里）</w:t>
            </w:r>
          </w:p>
        </w:tc>
        <w:tc>
          <w:tcPr>
            <w:tcW w:w="896" w:type="dxa"/>
            <w:shd w:val="clear" w:color="auto" w:fill="auto"/>
            <w:vAlign w:val="center"/>
          </w:tcPr>
          <w:p w14:paraId="768EBEA4">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36.42</w:t>
            </w:r>
          </w:p>
        </w:tc>
        <w:tc>
          <w:tcPr>
            <w:tcW w:w="3386" w:type="dxa"/>
            <w:vMerge w:val="continue"/>
            <w:shd w:val="clear" w:color="auto" w:fill="auto"/>
            <w:vAlign w:val="center"/>
          </w:tcPr>
          <w:p w14:paraId="5D3483E6">
            <w:pPr>
              <w:adjustRightInd w:val="0"/>
              <w:snapToGrid w:val="0"/>
              <w:spacing w:line="240" w:lineRule="auto"/>
              <w:ind w:firstLine="0" w:firstLineChars="0"/>
              <w:jc w:val="center"/>
              <w:rPr>
                <w:rFonts w:hint="eastAsia"/>
                <w:sz w:val="22"/>
                <w:szCs w:val="22"/>
              </w:rPr>
            </w:pPr>
          </w:p>
        </w:tc>
        <w:tc>
          <w:tcPr>
            <w:tcW w:w="2664" w:type="dxa"/>
            <w:vMerge w:val="continue"/>
            <w:shd w:val="clear" w:color="auto" w:fill="auto"/>
            <w:vAlign w:val="center"/>
          </w:tcPr>
          <w:p w14:paraId="42B5052B">
            <w:pPr>
              <w:adjustRightInd w:val="0"/>
              <w:snapToGrid w:val="0"/>
              <w:spacing w:line="240" w:lineRule="auto"/>
              <w:ind w:firstLine="0" w:firstLineChars="0"/>
              <w:jc w:val="center"/>
              <w:rPr>
                <w:rFonts w:hint="eastAsia"/>
                <w:sz w:val="22"/>
                <w:szCs w:val="22"/>
              </w:rPr>
            </w:pPr>
          </w:p>
        </w:tc>
      </w:tr>
      <w:tr w14:paraId="62ED9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B6B6B31">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32FBFB70">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07E9B9DA">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24</w:t>
            </w:r>
          </w:p>
        </w:tc>
        <w:tc>
          <w:tcPr>
            <w:tcW w:w="1497" w:type="dxa"/>
            <w:vMerge w:val="restart"/>
            <w:shd w:val="clear" w:color="auto" w:fill="auto"/>
            <w:vAlign w:val="center"/>
          </w:tcPr>
          <w:p w14:paraId="2C8BA295">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未达标配建多功能运动场地的数量（个）</w:t>
            </w:r>
          </w:p>
        </w:tc>
        <w:tc>
          <w:tcPr>
            <w:tcW w:w="1017" w:type="dxa"/>
            <w:vMerge w:val="restart"/>
            <w:shd w:val="clear" w:color="auto" w:fill="auto"/>
            <w:vAlign w:val="center"/>
          </w:tcPr>
          <w:p w14:paraId="03E9056D">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8</w:t>
            </w:r>
          </w:p>
        </w:tc>
        <w:tc>
          <w:tcPr>
            <w:tcW w:w="3052" w:type="dxa"/>
            <w:shd w:val="clear" w:color="auto" w:fill="auto"/>
            <w:vAlign w:val="center"/>
          </w:tcPr>
          <w:p w14:paraId="1D81CB2A">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24.1没有配建的数量</w:t>
            </w:r>
          </w:p>
        </w:tc>
        <w:tc>
          <w:tcPr>
            <w:tcW w:w="896" w:type="dxa"/>
            <w:shd w:val="clear" w:color="auto" w:fill="auto"/>
            <w:vAlign w:val="center"/>
          </w:tcPr>
          <w:p w14:paraId="175BD650">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restart"/>
            <w:shd w:val="clear" w:color="auto" w:fill="auto"/>
            <w:vAlign w:val="center"/>
          </w:tcPr>
          <w:p w14:paraId="39397C8D">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按照《城市社区多功能公共运动场配置要求》《城市居住区规划设计标准》要求，查找多功能运动场地配建缺失，或场地面积不足、设施设备不完善、布局不均衡，以及没有向公众开放等问题。</w:t>
            </w:r>
          </w:p>
        </w:tc>
        <w:tc>
          <w:tcPr>
            <w:tcW w:w="2664" w:type="dxa"/>
            <w:vMerge w:val="restart"/>
            <w:shd w:val="clear" w:color="auto" w:fill="auto"/>
            <w:vAlign w:val="center"/>
          </w:tcPr>
          <w:p w14:paraId="6D6BFD9E">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市体育局、街道管理员或专业人员现场调研填报；大数据辅助分析</w:t>
            </w:r>
          </w:p>
        </w:tc>
      </w:tr>
      <w:tr w14:paraId="2ED82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4F24CA36">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516E655D">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13338245">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3A19509B">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78362558">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50439568">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24.2面积未达标的数量</w:t>
            </w:r>
          </w:p>
        </w:tc>
        <w:tc>
          <w:tcPr>
            <w:tcW w:w="896" w:type="dxa"/>
            <w:shd w:val="clear" w:color="auto" w:fill="auto"/>
            <w:vAlign w:val="center"/>
          </w:tcPr>
          <w:p w14:paraId="4BC79B1C">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8</w:t>
            </w:r>
          </w:p>
        </w:tc>
        <w:tc>
          <w:tcPr>
            <w:tcW w:w="3386" w:type="dxa"/>
            <w:vMerge w:val="continue"/>
            <w:shd w:val="clear" w:color="auto" w:fill="auto"/>
            <w:vAlign w:val="center"/>
          </w:tcPr>
          <w:p w14:paraId="4396635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7B6D656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55E6E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34C7212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5650331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5DC56D6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7A02ACAE">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53A78C1E">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5DB72CF2">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24.3设施设备不完善的数量</w:t>
            </w:r>
          </w:p>
        </w:tc>
        <w:tc>
          <w:tcPr>
            <w:tcW w:w="896" w:type="dxa"/>
            <w:shd w:val="clear" w:color="auto" w:fill="auto"/>
            <w:vAlign w:val="center"/>
          </w:tcPr>
          <w:p w14:paraId="574415C8">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6A0479A3">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48BB563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240CA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169D65B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2F53AEA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385F93E8">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45BA0C5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0D773B8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32332AB8">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24.4布局不均衡的数量</w:t>
            </w:r>
          </w:p>
        </w:tc>
        <w:tc>
          <w:tcPr>
            <w:tcW w:w="896" w:type="dxa"/>
            <w:shd w:val="clear" w:color="auto" w:fill="auto"/>
            <w:vAlign w:val="center"/>
          </w:tcPr>
          <w:p w14:paraId="6FFAA0AB">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7CF2B96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06C08DC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154B5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610" w:type="dxa"/>
            <w:vMerge w:val="continue"/>
            <w:shd w:val="clear" w:color="auto" w:fill="auto"/>
            <w:vAlign w:val="center"/>
          </w:tcPr>
          <w:p w14:paraId="14714C5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598A0B9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1FEC120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3E7C4C6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418C6F5A">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4398984D">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24.5未面向公众的数量</w:t>
            </w:r>
          </w:p>
        </w:tc>
        <w:tc>
          <w:tcPr>
            <w:tcW w:w="896" w:type="dxa"/>
            <w:shd w:val="clear" w:color="auto" w:fill="auto"/>
            <w:vAlign w:val="center"/>
          </w:tcPr>
          <w:p w14:paraId="50179C30">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34CFAB9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1DF684A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08A51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66F685C">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7B034319">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47320055">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25</w:t>
            </w:r>
          </w:p>
        </w:tc>
        <w:tc>
          <w:tcPr>
            <w:tcW w:w="1497" w:type="dxa"/>
            <w:vMerge w:val="restart"/>
            <w:shd w:val="clear" w:color="auto" w:fill="auto"/>
            <w:vAlign w:val="center"/>
          </w:tcPr>
          <w:p w14:paraId="6443863B">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未达标配建文化活动中心的数量（个）</w:t>
            </w:r>
          </w:p>
        </w:tc>
        <w:tc>
          <w:tcPr>
            <w:tcW w:w="1017" w:type="dxa"/>
            <w:vMerge w:val="restart"/>
            <w:shd w:val="clear" w:color="auto" w:fill="auto"/>
            <w:vAlign w:val="center"/>
          </w:tcPr>
          <w:p w14:paraId="0D817EF8">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10</w:t>
            </w:r>
          </w:p>
        </w:tc>
        <w:tc>
          <w:tcPr>
            <w:tcW w:w="3052" w:type="dxa"/>
            <w:shd w:val="clear" w:color="auto" w:fill="auto"/>
            <w:vAlign w:val="center"/>
          </w:tcPr>
          <w:p w14:paraId="3BF0BB66">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25.1没有配建的数量</w:t>
            </w:r>
          </w:p>
        </w:tc>
        <w:tc>
          <w:tcPr>
            <w:tcW w:w="896" w:type="dxa"/>
            <w:shd w:val="clear" w:color="auto" w:fill="auto"/>
            <w:vAlign w:val="center"/>
          </w:tcPr>
          <w:p w14:paraId="1D520096">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w:t>
            </w:r>
          </w:p>
        </w:tc>
        <w:tc>
          <w:tcPr>
            <w:tcW w:w="3386" w:type="dxa"/>
            <w:vMerge w:val="restart"/>
            <w:shd w:val="clear" w:color="auto" w:fill="auto"/>
            <w:vAlign w:val="center"/>
          </w:tcPr>
          <w:p w14:paraId="6DED4DBC">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按照《城市居住区规划设计标准》要求，文化活动中心应包括青少年活动中心和老年活动中心，服务半径不宜大于1000米。体检应查找文化活动中心配建缺失，或文化活动中心面积不足，青少年和老年活动设施、儿童之家服务功能不完善，布局不均衡，以及没有向公众开放等问题。</w:t>
            </w:r>
          </w:p>
        </w:tc>
        <w:tc>
          <w:tcPr>
            <w:tcW w:w="2664" w:type="dxa"/>
            <w:vMerge w:val="restart"/>
            <w:shd w:val="clear" w:color="auto" w:fill="auto"/>
            <w:vAlign w:val="center"/>
          </w:tcPr>
          <w:p w14:paraId="43CC1DEE">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市住建局、街道管理员或专业人员现场调研填报；大数据辅助分析</w:t>
            </w:r>
          </w:p>
        </w:tc>
      </w:tr>
      <w:tr w14:paraId="3A41D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418B7729">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1E672668">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76391455">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06CDF5B2">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26576809">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023EE7DB">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25.2文化活动中心面积未达标</w:t>
            </w:r>
          </w:p>
        </w:tc>
        <w:tc>
          <w:tcPr>
            <w:tcW w:w="896" w:type="dxa"/>
            <w:shd w:val="clear" w:color="auto" w:fill="auto"/>
            <w:vAlign w:val="center"/>
          </w:tcPr>
          <w:p w14:paraId="42517415">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9</w:t>
            </w:r>
          </w:p>
        </w:tc>
        <w:tc>
          <w:tcPr>
            <w:tcW w:w="3386" w:type="dxa"/>
            <w:vMerge w:val="continue"/>
            <w:shd w:val="clear" w:color="auto" w:fill="auto"/>
            <w:vAlign w:val="center"/>
          </w:tcPr>
          <w:p w14:paraId="49DF13F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0E0D960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44D07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AE2CF6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3A3B948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1ABE17C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09A1DB4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2165BA9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56B3E222">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25.3青少年和老年活动设施、儿童之家服务功能不完善</w:t>
            </w:r>
          </w:p>
        </w:tc>
        <w:tc>
          <w:tcPr>
            <w:tcW w:w="896" w:type="dxa"/>
            <w:shd w:val="clear" w:color="auto" w:fill="auto"/>
            <w:vAlign w:val="center"/>
          </w:tcPr>
          <w:p w14:paraId="4DF723CB">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1D24FCB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2F0097E8">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49411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B75FAF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48288DE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56D879A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49C1133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0F0A898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224BFA5C">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25.4布局不均衡的数量</w:t>
            </w:r>
          </w:p>
        </w:tc>
        <w:tc>
          <w:tcPr>
            <w:tcW w:w="896" w:type="dxa"/>
            <w:shd w:val="clear" w:color="auto" w:fill="auto"/>
            <w:vAlign w:val="center"/>
          </w:tcPr>
          <w:p w14:paraId="57D052D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6E07F85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42D039AA">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166A3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610" w:type="dxa"/>
            <w:vMerge w:val="continue"/>
            <w:shd w:val="clear" w:color="auto" w:fill="auto"/>
            <w:vAlign w:val="center"/>
          </w:tcPr>
          <w:p w14:paraId="603598C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033295C3">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46A8054C">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36E01BF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4E9CA32C">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6A2CB8C8">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25.5未面向公众的数量</w:t>
            </w:r>
          </w:p>
        </w:tc>
        <w:tc>
          <w:tcPr>
            <w:tcW w:w="896" w:type="dxa"/>
            <w:shd w:val="clear" w:color="auto" w:fill="auto"/>
            <w:vAlign w:val="center"/>
          </w:tcPr>
          <w:p w14:paraId="50B9BCC7">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008BFC42">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15591AEA">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26944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42EEAEC">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16F711E7">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1F76828E">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26</w:t>
            </w:r>
          </w:p>
        </w:tc>
        <w:tc>
          <w:tcPr>
            <w:tcW w:w="1497" w:type="dxa"/>
            <w:vMerge w:val="restart"/>
            <w:shd w:val="clear" w:color="auto" w:fill="auto"/>
            <w:vAlign w:val="center"/>
          </w:tcPr>
          <w:p w14:paraId="207B4330">
            <w:pPr>
              <w:widowControl/>
              <w:adjustRightInd w:val="0"/>
              <w:snapToGrid w:val="0"/>
              <w:spacing w:line="240" w:lineRule="auto"/>
              <w:ind w:firstLine="0" w:firstLineChars="0"/>
              <w:jc w:val="center"/>
              <w:textAlignment w:val="center"/>
              <w:rPr>
                <w:rFonts w:hint="eastAsia"/>
                <w:sz w:val="22"/>
                <w:szCs w:val="22"/>
              </w:rPr>
            </w:pPr>
            <w:r>
              <w:rPr>
                <w:rStyle w:val="51"/>
                <w:rFonts w:hint="eastAsia" w:ascii="方正仿宋_GBK" w:hAnsi="方正仿宋_GBK" w:eastAsia="方正仿宋_GBK" w:cs="方正仿宋_GBK"/>
                <w:snapToGrid w:val="0"/>
                <w:color w:val="auto"/>
                <w:sz w:val="22"/>
                <w:szCs w:val="22"/>
                <w:u w:val="none"/>
                <w:lang w:bidi="ar"/>
              </w:rPr>
              <w:t>☆</w:t>
            </w:r>
            <w:r>
              <w:rPr>
                <w:rStyle w:val="52"/>
                <w:rFonts w:hint="default" w:ascii="方正仿宋_GBK" w:hAnsi="方正仿宋_GBK" w:eastAsia="方正仿宋_GBK" w:cs="方正仿宋_GBK"/>
                <w:snapToGrid w:val="0"/>
                <w:color w:val="auto"/>
                <w:u w:val="none"/>
                <w:lang w:bidi="ar"/>
              </w:rPr>
              <w:t>公园绿化活动场地服务半径覆盖率（%）</w:t>
            </w:r>
          </w:p>
        </w:tc>
        <w:tc>
          <w:tcPr>
            <w:tcW w:w="1017" w:type="dxa"/>
            <w:vMerge w:val="restart"/>
            <w:shd w:val="clear" w:color="auto" w:fill="auto"/>
            <w:vAlign w:val="center"/>
          </w:tcPr>
          <w:p w14:paraId="33CD501C">
            <w:pPr>
              <w:widowControl/>
              <w:adjustRightInd w:val="0"/>
              <w:snapToGrid w:val="0"/>
              <w:spacing w:line="240" w:lineRule="auto"/>
              <w:ind w:firstLine="0" w:firstLineChars="0"/>
              <w:jc w:val="center"/>
              <w:textAlignment w:val="center"/>
              <w:rPr>
                <w:rStyle w:val="51"/>
                <w:rFonts w:hint="eastAsia" w:ascii="方正仿宋_GBK" w:hAnsi="方正仿宋_GBK" w:eastAsia="方正仿宋_GBK" w:cs="方正仿宋_GBK"/>
                <w:snapToGrid w:val="0"/>
                <w:color w:val="auto"/>
                <w:sz w:val="22"/>
                <w:szCs w:val="22"/>
                <w:u w:val="none"/>
                <w:lang w:bidi="ar"/>
              </w:rPr>
            </w:pPr>
            <w:r>
              <w:rPr>
                <w:rStyle w:val="52"/>
                <w:rFonts w:hint="default" w:ascii="方正仿宋_GBK" w:hAnsi="方正仿宋_GBK" w:eastAsia="方正仿宋_GBK" w:cs="方正仿宋_GBK"/>
                <w:snapToGrid w:val="0"/>
                <w:color w:val="auto"/>
                <w:u w:val="none"/>
                <w:lang w:bidi="ar"/>
              </w:rPr>
              <w:t>75.33%（非建成区综合结果）</w:t>
            </w:r>
          </w:p>
        </w:tc>
        <w:tc>
          <w:tcPr>
            <w:tcW w:w="3052" w:type="dxa"/>
            <w:shd w:val="clear" w:color="auto" w:fill="auto"/>
            <w:vAlign w:val="center"/>
          </w:tcPr>
          <w:p w14:paraId="6686FED3">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26.1公园绿化活动场地服务半径覆盖的居住用地面积（平方千米）</w:t>
            </w:r>
          </w:p>
        </w:tc>
        <w:tc>
          <w:tcPr>
            <w:tcW w:w="896" w:type="dxa"/>
            <w:shd w:val="clear" w:color="auto" w:fill="auto"/>
            <w:vAlign w:val="center"/>
          </w:tcPr>
          <w:p w14:paraId="63EAD322">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23.94</w:t>
            </w:r>
          </w:p>
        </w:tc>
        <w:tc>
          <w:tcPr>
            <w:tcW w:w="3386" w:type="dxa"/>
            <w:vMerge w:val="restart"/>
            <w:shd w:val="clear" w:color="auto" w:fill="auto"/>
            <w:vAlign w:val="center"/>
          </w:tcPr>
          <w:p w14:paraId="42B2A5DB">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1）公园绿化活动场地是否配建。</w:t>
            </w:r>
          </w:p>
          <w:p w14:paraId="5A91889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2）公园绿化活动场地面积是否达标。根据《国家园林城市评选标准》（2022版），国家生态园林城市公园绿化活动场地服务半径覆盖率≥90%；国家园林城市公园绿化活动场地服务半径覆盖率≥85%。</w:t>
            </w:r>
          </w:p>
          <w:p w14:paraId="1C32E8DF">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3）公园绿化活动场地布局是否均衡。</w:t>
            </w:r>
          </w:p>
        </w:tc>
        <w:tc>
          <w:tcPr>
            <w:tcW w:w="2664" w:type="dxa"/>
            <w:vMerge w:val="restart"/>
            <w:shd w:val="clear" w:color="auto" w:fill="auto"/>
            <w:vAlign w:val="center"/>
          </w:tcPr>
          <w:p w14:paraId="681C73D3">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市住建局、遥感解译数据、行业部门调查统计数据，街道管理员或专业人员现场调研复核</w:t>
            </w:r>
          </w:p>
        </w:tc>
      </w:tr>
      <w:tr w14:paraId="03C22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2103EE8F">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2EE3A823">
            <w:pPr>
              <w:adjustRightInd w:val="0"/>
              <w:snapToGrid w:val="0"/>
              <w:spacing w:line="240" w:lineRule="auto"/>
              <w:ind w:firstLine="0" w:firstLineChars="0"/>
              <w:jc w:val="center"/>
              <w:rPr>
                <w:rFonts w:hint="eastAsia"/>
                <w:sz w:val="22"/>
                <w:szCs w:val="22"/>
              </w:rPr>
            </w:pPr>
          </w:p>
        </w:tc>
        <w:tc>
          <w:tcPr>
            <w:tcW w:w="605" w:type="dxa"/>
            <w:vMerge w:val="continue"/>
            <w:shd w:val="clear" w:color="auto" w:fill="auto"/>
            <w:vAlign w:val="center"/>
          </w:tcPr>
          <w:p w14:paraId="6EB6056D">
            <w:pPr>
              <w:adjustRightInd w:val="0"/>
              <w:snapToGrid w:val="0"/>
              <w:spacing w:line="240" w:lineRule="auto"/>
              <w:ind w:firstLine="0" w:firstLineChars="0"/>
              <w:jc w:val="center"/>
              <w:rPr>
                <w:rFonts w:hint="eastAsia"/>
                <w:sz w:val="22"/>
                <w:szCs w:val="22"/>
              </w:rPr>
            </w:pPr>
          </w:p>
        </w:tc>
        <w:tc>
          <w:tcPr>
            <w:tcW w:w="1497" w:type="dxa"/>
            <w:vMerge w:val="continue"/>
            <w:shd w:val="clear" w:color="auto" w:fill="auto"/>
            <w:vAlign w:val="center"/>
          </w:tcPr>
          <w:p w14:paraId="57FB2813">
            <w:pPr>
              <w:adjustRightInd w:val="0"/>
              <w:snapToGrid w:val="0"/>
              <w:spacing w:line="240" w:lineRule="auto"/>
              <w:ind w:firstLine="0" w:firstLineChars="0"/>
              <w:jc w:val="center"/>
              <w:rPr>
                <w:rFonts w:hint="eastAsia"/>
                <w:sz w:val="22"/>
                <w:szCs w:val="22"/>
              </w:rPr>
            </w:pPr>
          </w:p>
        </w:tc>
        <w:tc>
          <w:tcPr>
            <w:tcW w:w="1017" w:type="dxa"/>
            <w:vMerge w:val="continue"/>
            <w:shd w:val="clear" w:color="auto" w:fill="auto"/>
            <w:vAlign w:val="center"/>
          </w:tcPr>
          <w:p w14:paraId="593D35F2">
            <w:pPr>
              <w:adjustRightInd w:val="0"/>
              <w:snapToGrid w:val="0"/>
              <w:spacing w:line="240" w:lineRule="auto"/>
              <w:ind w:firstLine="0" w:firstLineChars="0"/>
              <w:jc w:val="center"/>
              <w:rPr>
                <w:rFonts w:hint="eastAsia"/>
                <w:sz w:val="22"/>
                <w:szCs w:val="22"/>
              </w:rPr>
            </w:pPr>
          </w:p>
        </w:tc>
        <w:tc>
          <w:tcPr>
            <w:tcW w:w="3052" w:type="dxa"/>
            <w:shd w:val="clear" w:color="auto" w:fill="auto"/>
            <w:vAlign w:val="center"/>
          </w:tcPr>
          <w:p w14:paraId="1C4B64FA">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26.2街道内居住用地总面积（平方千米）</w:t>
            </w:r>
          </w:p>
        </w:tc>
        <w:tc>
          <w:tcPr>
            <w:tcW w:w="896" w:type="dxa"/>
            <w:shd w:val="clear" w:color="auto" w:fill="auto"/>
            <w:vAlign w:val="center"/>
          </w:tcPr>
          <w:p w14:paraId="136D790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31.78</w:t>
            </w:r>
          </w:p>
        </w:tc>
        <w:tc>
          <w:tcPr>
            <w:tcW w:w="3386" w:type="dxa"/>
            <w:vMerge w:val="continue"/>
            <w:shd w:val="clear" w:color="auto" w:fill="auto"/>
            <w:vAlign w:val="center"/>
          </w:tcPr>
          <w:p w14:paraId="69C9C455">
            <w:pPr>
              <w:adjustRightInd w:val="0"/>
              <w:snapToGrid w:val="0"/>
              <w:spacing w:line="240" w:lineRule="auto"/>
              <w:ind w:firstLine="0" w:firstLineChars="0"/>
              <w:jc w:val="center"/>
              <w:rPr>
                <w:rFonts w:hint="eastAsia"/>
                <w:sz w:val="22"/>
                <w:szCs w:val="22"/>
              </w:rPr>
            </w:pPr>
          </w:p>
        </w:tc>
        <w:tc>
          <w:tcPr>
            <w:tcW w:w="2664" w:type="dxa"/>
            <w:vMerge w:val="continue"/>
            <w:shd w:val="clear" w:color="auto" w:fill="auto"/>
            <w:vAlign w:val="center"/>
          </w:tcPr>
          <w:p w14:paraId="7C7DDE32">
            <w:pPr>
              <w:adjustRightInd w:val="0"/>
              <w:snapToGrid w:val="0"/>
              <w:spacing w:line="240" w:lineRule="auto"/>
              <w:ind w:firstLine="0" w:firstLineChars="0"/>
              <w:jc w:val="center"/>
              <w:rPr>
                <w:rFonts w:hint="eastAsia"/>
                <w:sz w:val="22"/>
                <w:szCs w:val="22"/>
              </w:rPr>
            </w:pPr>
          </w:p>
        </w:tc>
      </w:tr>
      <w:tr w14:paraId="572AE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4A0E1B11">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1A3125A8">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6A7E66A2">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27</w:t>
            </w:r>
          </w:p>
        </w:tc>
        <w:tc>
          <w:tcPr>
            <w:tcW w:w="1497" w:type="dxa"/>
            <w:vMerge w:val="restart"/>
            <w:shd w:val="clear" w:color="auto" w:fill="auto"/>
            <w:vAlign w:val="center"/>
          </w:tcPr>
          <w:p w14:paraId="0E34556F">
            <w:pPr>
              <w:widowControl/>
              <w:adjustRightInd w:val="0"/>
              <w:snapToGrid w:val="0"/>
              <w:spacing w:line="240" w:lineRule="auto"/>
              <w:ind w:firstLine="0" w:firstLineChars="0"/>
              <w:jc w:val="center"/>
              <w:textAlignment w:val="center"/>
              <w:rPr>
                <w:rFonts w:hint="eastAsia"/>
                <w:sz w:val="22"/>
                <w:szCs w:val="22"/>
              </w:rPr>
            </w:pPr>
            <w:r>
              <w:rPr>
                <w:rStyle w:val="51"/>
                <w:rFonts w:hint="eastAsia" w:ascii="方正仿宋_GBK" w:hAnsi="方正仿宋_GBK" w:eastAsia="方正仿宋_GBK" w:cs="方正仿宋_GBK"/>
                <w:snapToGrid w:val="0"/>
                <w:color w:val="auto"/>
                <w:sz w:val="22"/>
                <w:szCs w:val="22"/>
                <w:u w:val="none"/>
                <w:lang w:bidi="ar"/>
              </w:rPr>
              <w:t>☆</w:t>
            </w:r>
            <w:r>
              <w:rPr>
                <w:rStyle w:val="52"/>
                <w:rFonts w:hint="default" w:ascii="方正仿宋_GBK" w:hAnsi="方正仿宋_GBK" w:eastAsia="方正仿宋_GBK" w:cs="方正仿宋_GBK"/>
                <w:snapToGrid w:val="0"/>
                <w:color w:val="auto"/>
                <w:u w:val="none"/>
                <w:lang w:bidi="ar"/>
              </w:rPr>
              <w:t>存在乱停放车辆问题的道路数量（条）</w:t>
            </w:r>
          </w:p>
        </w:tc>
        <w:tc>
          <w:tcPr>
            <w:tcW w:w="1017" w:type="dxa"/>
            <w:vMerge w:val="restart"/>
            <w:shd w:val="clear" w:color="auto" w:fill="auto"/>
            <w:vAlign w:val="center"/>
          </w:tcPr>
          <w:p w14:paraId="08BE2B1D">
            <w:pPr>
              <w:widowControl/>
              <w:adjustRightInd w:val="0"/>
              <w:snapToGrid w:val="0"/>
              <w:spacing w:line="240" w:lineRule="auto"/>
              <w:ind w:firstLine="0" w:firstLineChars="0"/>
              <w:jc w:val="center"/>
              <w:textAlignment w:val="center"/>
              <w:rPr>
                <w:rStyle w:val="51"/>
                <w:rFonts w:hint="eastAsia" w:ascii="方正仿宋_GBK" w:hAnsi="方正仿宋_GBK" w:eastAsia="方正仿宋_GBK" w:cs="方正仿宋_GBK"/>
                <w:snapToGrid w:val="0"/>
                <w:color w:val="auto"/>
                <w:sz w:val="22"/>
                <w:szCs w:val="22"/>
                <w:u w:val="none"/>
                <w:lang w:bidi="ar"/>
              </w:rPr>
            </w:pPr>
            <w:r>
              <w:rPr>
                <w:rStyle w:val="51"/>
                <w:rFonts w:hint="eastAsia" w:ascii="方正仿宋_GBK" w:hAnsi="方正仿宋_GBK" w:eastAsia="方正仿宋_GBK" w:cs="方正仿宋_GBK"/>
                <w:snapToGrid w:val="0"/>
                <w:color w:val="auto"/>
                <w:sz w:val="22"/>
                <w:szCs w:val="22"/>
                <w:u w:val="none"/>
                <w:lang w:bidi="ar"/>
              </w:rPr>
              <w:t>27</w:t>
            </w:r>
          </w:p>
        </w:tc>
        <w:tc>
          <w:tcPr>
            <w:tcW w:w="3052" w:type="dxa"/>
            <w:shd w:val="clear" w:color="auto" w:fill="auto"/>
            <w:vAlign w:val="center"/>
          </w:tcPr>
          <w:p w14:paraId="0288BC53">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27.1违停机动车连续超过3辆或非机动车连续超过10辆的道路数量</w:t>
            </w:r>
          </w:p>
        </w:tc>
        <w:tc>
          <w:tcPr>
            <w:tcW w:w="896" w:type="dxa"/>
            <w:shd w:val="clear" w:color="auto" w:fill="auto"/>
            <w:vAlign w:val="center"/>
          </w:tcPr>
          <w:p w14:paraId="52AD65E3">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27</w:t>
            </w:r>
          </w:p>
        </w:tc>
        <w:tc>
          <w:tcPr>
            <w:tcW w:w="3386" w:type="dxa"/>
            <w:vMerge w:val="restart"/>
            <w:shd w:val="clear" w:color="auto" w:fill="auto"/>
            <w:vAlign w:val="center"/>
          </w:tcPr>
          <w:p w14:paraId="612A95F9">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查找街道上机动车、非机动车无序停放、占用绿化带和人行道的问题。</w:t>
            </w:r>
          </w:p>
        </w:tc>
        <w:tc>
          <w:tcPr>
            <w:tcW w:w="2664" w:type="dxa"/>
            <w:vMerge w:val="restart"/>
            <w:shd w:val="clear" w:color="auto" w:fill="auto"/>
            <w:vAlign w:val="center"/>
          </w:tcPr>
          <w:p w14:paraId="39C86080">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市公安局、市城市管理综合行政执法局、街道管理员或专业人员现场调研填报；大数据辅助分析</w:t>
            </w:r>
          </w:p>
        </w:tc>
      </w:tr>
      <w:tr w14:paraId="7E173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 w:hRule="atLeast"/>
        </w:trPr>
        <w:tc>
          <w:tcPr>
            <w:tcW w:w="610" w:type="dxa"/>
            <w:vMerge w:val="continue"/>
            <w:shd w:val="clear" w:color="auto" w:fill="auto"/>
            <w:vAlign w:val="center"/>
          </w:tcPr>
          <w:p w14:paraId="2539D69B">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36EABD78">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6673712B">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75C970E2">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4BFC8E61">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32EEF7E1">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27.2占用绿化带和人行道的道路数量</w:t>
            </w:r>
          </w:p>
        </w:tc>
        <w:tc>
          <w:tcPr>
            <w:tcW w:w="896" w:type="dxa"/>
            <w:shd w:val="clear" w:color="auto" w:fill="auto"/>
            <w:vAlign w:val="center"/>
          </w:tcPr>
          <w:p w14:paraId="14A84802">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16DF435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0E26B5C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53724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6" w:hRule="atLeast"/>
        </w:trPr>
        <w:tc>
          <w:tcPr>
            <w:tcW w:w="610" w:type="dxa"/>
            <w:vMerge w:val="continue"/>
            <w:shd w:val="clear" w:color="auto" w:fill="auto"/>
            <w:vAlign w:val="center"/>
          </w:tcPr>
          <w:p w14:paraId="5CB70E04">
            <w:pPr>
              <w:adjustRightInd w:val="0"/>
              <w:snapToGrid w:val="0"/>
              <w:spacing w:line="240" w:lineRule="auto"/>
              <w:ind w:firstLine="0" w:firstLineChars="0"/>
              <w:jc w:val="center"/>
              <w:rPr>
                <w:rFonts w:hint="eastAsia"/>
                <w:sz w:val="22"/>
                <w:szCs w:val="22"/>
              </w:rPr>
            </w:pPr>
          </w:p>
        </w:tc>
        <w:tc>
          <w:tcPr>
            <w:tcW w:w="436" w:type="dxa"/>
            <w:vMerge w:val="restart"/>
            <w:shd w:val="clear" w:color="auto" w:fill="auto"/>
            <w:vAlign w:val="center"/>
          </w:tcPr>
          <w:p w14:paraId="75A198E0">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特色活力</w:t>
            </w:r>
          </w:p>
        </w:tc>
        <w:tc>
          <w:tcPr>
            <w:tcW w:w="605" w:type="dxa"/>
            <w:vMerge w:val="restart"/>
            <w:shd w:val="clear" w:color="auto" w:fill="auto"/>
            <w:vAlign w:val="center"/>
          </w:tcPr>
          <w:p w14:paraId="5372B904">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28</w:t>
            </w:r>
          </w:p>
        </w:tc>
        <w:tc>
          <w:tcPr>
            <w:tcW w:w="1497" w:type="dxa"/>
            <w:vMerge w:val="restart"/>
            <w:shd w:val="clear" w:color="auto" w:fill="auto"/>
            <w:vAlign w:val="center"/>
          </w:tcPr>
          <w:p w14:paraId="7330C12A">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需要更新改造的老旧商业街数量（个）</w:t>
            </w:r>
          </w:p>
        </w:tc>
        <w:tc>
          <w:tcPr>
            <w:tcW w:w="1017" w:type="dxa"/>
            <w:vMerge w:val="restart"/>
            <w:shd w:val="clear" w:color="auto" w:fill="auto"/>
            <w:vAlign w:val="center"/>
          </w:tcPr>
          <w:p w14:paraId="306F6BFC">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w:t>
            </w:r>
          </w:p>
        </w:tc>
        <w:tc>
          <w:tcPr>
            <w:tcW w:w="3052" w:type="dxa"/>
            <w:shd w:val="clear" w:color="auto" w:fill="auto"/>
            <w:vAlign w:val="center"/>
          </w:tcPr>
          <w:p w14:paraId="3D8E629C">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28.1老旧商业街区既包括高等级的城市老旧商圈、步行街，也包括街道、社区层级的商业节点及商业街道。老旧商业街区可以是单体商业综合体、线性商业集中的道路或商圈面状区域。</w:t>
            </w:r>
          </w:p>
        </w:tc>
        <w:tc>
          <w:tcPr>
            <w:tcW w:w="896" w:type="dxa"/>
            <w:shd w:val="clear" w:color="auto" w:fill="auto"/>
            <w:vAlign w:val="center"/>
          </w:tcPr>
          <w:p w14:paraId="1A69E021">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w:t>
            </w:r>
          </w:p>
        </w:tc>
        <w:tc>
          <w:tcPr>
            <w:tcW w:w="3386" w:type="dxa"/>
            <w:vMerge w:val="restart"/>
            <w:shd w:val="clear" w:color="auto" w:fill="auto"/>
            <w:vAlign w:val="center"/>
          </w:tcPr>
          <w:p w14:paraId="6AC80337">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查找老旧商业街区在购物、娱乐、旅游、文化等多功能多业态集聚、公共空间塑造、步行环境整治、特色化品牌化服务等方面的问题与短板。</w:t>
            </w:r>
          </w:p>
        </w:tc>
        <w:tc>
          <w:tcPr>
            <w:tcW w:w="2664" w:type="dxa"/>
            <w:vMerge w:val="restart"/>
            <w:shd w:val="clear" w:color="auto" w:fill="auto"/>
            <w:vAlign w:val="center"/>
          </w:tcPr>
          <w:p w14:paraId="16303BC9">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行业部门调查统计数据，街道管理员或专业人员现场调研复核</w:t>
            </w:r>
          </w:p>
        </w:tc>
      </w:tr>
      <w:tr w14:paraId="40BD4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4" w:hRule="atLeast"/>
        </w:trPr>
        <w:tc>
          <w:tcPr>
            <w:tcW w:w="610" w:type="dxa"/>
            <w:vMerge w:val="continue"/>
            <w:shd w:val="clear" w:color="auto" w:fill="auto"/>
            <w:vAlign w:val="center"/>
          </w:tcPr>
          <w:p w14:paraId="627DE8D7">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135A68C9">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0E7290FC">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5C30BC3B">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54B21579">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4EEEAE54">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28.2重点查找老旧商业街区在业态集聚、公共空间塑造、步行环境整治、特色化服务等方面的问题与短板。</w:t>
            </w:r>
          </w:p>
        </w:tc>
        <w:tc>
          <w:tcPr>
            <w:tcW w:w="896" w:type="dxa"/>
            <w:shd w:val="clear" w:color="auto" w:fill="auto"/>
            <w:vAlign w:val="center"/>
          </w:tcPr>
          <w:p w14:paraId="35A2B185">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3D810F7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1B3AFB0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6F96F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9" w:hRule="atLeast"/>
        </w:trPr>
        <w:tc>
          <w:tcPr>
            <w:tcW w:w="610" w:type="dxa"/>
            <w:vMerge w:val="continue"/>
            <w:shd w:val="clear" w:color="auto" w:fill="auto"/>
            <w:vAlign w:val="center"/>
          </w:tcPr>
          <w:p w14:paraId="378A15F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4779BC4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243A0E2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623D8D6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6E66EB8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7D6699F1">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28.3综合评估问题及潜力后，区级政府及街道应确定本街区需要更新改造的老旧商业街区数量。</w:t>
            </w:r>
          </w:p>
        </w:tc>
        <w:tc>
          <w:tcPr>
            <w:tcW w:w="896" w:type="dxa"/>
            <w:shd w:val="clear" w:color="auto" w:fill="auto"/>
            <w:vAlign w:val="center"/>
          </w:tcPr>
          <w:p w14:paraId="642CB526">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222E63B9">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68B47FC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5EB80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4" w:hRule="atLeast"/>
        </w:trPr>
        <w:tc>
          <w:tcPr>
            <w:tcW w:w="610" w:type="dxa"/>
            <w:vMerge w:val="continue"/>
            <w:shd w:val="clear" w:color="auto" w:fill="auto"/>
            <w:vAlign w:val="center"/>
          </w:tcPr>
          <w:p w14:paraId="0CC5214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019A620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1AB094F2">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034EC3F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7FBF79C1">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6FAEE613">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28.4具体体检细则可参考商务部《城市商圈建设指南》《步行街改造提升评价指标（2019版）》《高品位步行街评价指标（试行）》《上海街道设计导则》等结合本地地方标准与实际情况进一步细化确定。</w:t>
            </w:r>
          </w:p>
        </w:tc>
        <w:tc>
          <w:tcPr>
            <w:tcW w:w="896" w:type="dxa"/>
            <w:shd w:val="clear" w:color="auto" w:fill="auto"/>
            <w:vAlign w:val="center"/>
          </w:tcPr>
          <w:p w14:paraId="23BD50E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30D66ED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2D66E04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4274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6" w:hRule="atLeast"/>
        </w:trPr>
        <w:tc>
          <w:tcPr>
            <w:tcW w:w="610" w:type="dxa"/>
            <w:vMerge w:val="continue"/>
            <w:shd w:val="clear" w:color="auto" w:fill="auto"/>
            <w:vAlign w:val="center"/>
          </w:tcPr>
          <w:p w14:paraId="54A4A3B8">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4B29B810">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1A871F12">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29</w:t>
            </w:r>
          </w:p>
        </w:tc>
        <w:tc>
          <w:tcPr>
            <w:tcW w:w="1497" w:type="dxa"/>
            <w:vMerge w:val="restart"/>
            <w:shd w:val="clear" w:color="auto" w:fill="auto"/>
            <w:vAlign w:val="center"/>
          </w:tcPr>
          <w:p w14:paraId="4CBFC689">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需要更新改造的老旧厂区数量（个）</w:t>
            </w:r>
          </w:p>
        </w:tc>
        <w:tc>
          <w:tcPr>
            <w:tcW w:w="1017" w:type="dxa"/>
            <w:vMerge w:val="restart"/>
            <w:shd w:val="clear" w:color="auto" w:fill="auto"/>
            <w:vAlign w:val="center"/>
          </w:tcPr>
          <w:p w14:paraId="74305D2B">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w:t>
            </w:r>
          </w:p>
        </w:tc>
        <w:tc>
          <w:tcPr>
            <w:tcW w:w="3052" w:type="dxa"/>
            <w:shd w:val="clear" w:color="auto" w:fill="auto"/>
            <w:vAlign w:val="center"/>
          </w:tcPr>
          <w:p w14:paraId="7E732DEF">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29.1老旧厂区既包括独立单体厂房，也包括含有多栋厂房的厂区。</w:t>
            </w:r>
          </w:p>
        </w:tc>
        <w:tc>
          <w:tcPr>
            <w:tcW w:w="896" w:type="dxa"/>
            <w:shd w:val="clear" w:color="auto" w:fill="auto"/>
            <w:vAlign w:val="center"/>
          </w:tcPr>
          <w:p w14:paraId="23B618A5">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1</w:t>
            </w:r>
          </w:p>
        </w:tc>
        <w:tc>
          <w:tcPr>
            <w:tcW w:w="3386" w:type="dxa"/>
            <w:vMerge w:val="restart"/>
            <w:shd w:val="clear" w:color="auto" w:fill="auto"/>
            <w:vAlign w:val="center"/>
          </w:tcPr>
          <w:p w14:paraId="1BDC3E4C">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查找老旧厂区在闲置资源盘活利用、新业态新功能植入、产业转型升级以及专业化运营管理等方面存在的问题和短板</w:t>
            </w:r>
          </w:p>
        </w:tc>
        <w:tc>
          <w:tcPr>
            <w:tcW w:w="2664" w:type="dxa"/>
            <w:vMerge w:val="restart"/>
            <w:shd w:val="clear" w:color="auto" w:fill="auto"/>
            <w:vAlign w:val="center"/>
          </w:tcPr>
          <w:p w14:paraId="6B4EA09B">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市住建局、行业部门调查统计数据，街道管理员或专业人员现场调研复核</w:t>
            </w:r>
          </w:p>
        </w:tc>
      </w:tr>
      <w:tr w14:paraId="21177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2" w:hRule="atLeast"/>
        </w:trPr>
        <w:tc>
          <w:tcPr>
            <w:tcW w:w="610" w:type="dxa"/>
            <w:vMerge w:val="continue"/>
            <w:shd w:val="clear" w:color="auto" w:fill="auto"/>
            <w:vAlign w:val="center"/>
          </w:tcPr>
          <w:p w14:paraId="00DE9216">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7597166D">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40445BE5">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19862ECB">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4BBDE9FA">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4FC5F98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29.2重点查找街区内老旧厂区的上位规划要求、产业转型升级需求、资源闲置情况、低效情况、功能产出情况、文化创意等新功能植入情况以及专业化运营管理等方面的问题和短板。其中经济产出标准应结合本地平均水平划定。</w:t>
            </w:r>
          </w:p>
        </w:tc>
        <w:tc>
          <w:tcPr>
            <w:tcW w:w="896" w:type="dxa"/>
            <w:shd w:val="clear" w:color="auto" w:fill="auto"/>
            <w:vAlign w:val="center"/>
          </w:tcPr>
          <w:p w14:paraId="79039F57">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386" w:type="dxa"/>
            <w:vMerge w:val="continue"/>
            <w:shd w:val="clear" w:color="auto" w:fill="auto"/>
            <w:vAlign w:val="center"/>
          </w:tcPr>
          <w:p w14:paraId="1B04B5E2">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1EC25A8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0F2EA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1CF27F7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1E11ADF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274C72A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3AD6CC1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5D60E912">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69DA3965">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29.3根据各省（区、市）《低效工业用地认定办法》、集中型的工业园区可参考中国工程建设标准化协会标准《既有城市工业区功能提升与改造后评估标准》（征求意见稿）、中国城市规划学会团体标准《城镇更新区划定技术导则》表A.2工矿用地、仓储用地评估要求表等，根据本地实际情况及需求进一步细化确定具体体检细则与标准。</w:t>
            </w:r>
          </w:p>
        </w:tc>
        <w:tc>
          <w:tcPr>
            <w:tcW w:w="896" w:type="dxa"/>
            <w:shd w:val="clear" w:color="auto" w:fill="auto"/>
            <w:vAlign w:val="center"/>
          </w:tcPr>
          <w:p w14:paraId="73D8BA12">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5C67315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7DDC8030">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7A521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C4ADEF3">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2F57BAF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53AD43EA">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3913573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36052EA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7FDB5817">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29.4综合评估以确定本街区需要更新改造的老旧厂区/厂房数量。</w:t>
            </w:r>
          </w:p>
        </w:tc>
        <w:tc>
          <w:tcPr>
            <w:tcW w:w="896" w:type="dxa"/>
            <w:shd w:val="clear" w:color="auto" w:fill="auto"/>
            <w:vAlign w:val="center"/>
          </w:tcPr>
          <w:p w14:paraId="1CCF56A1">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593B2418">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4CE4A31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3D4B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3B165E7F">
            <w:pPr>
              <w:adjustRightInd w:val="0"/>
              <w:snapToGrid w:val="0"/>
              <w:spacing w:line="240" w:lineRule="auto"/>
              <w:ind w:firstLine="0" w:firstLineChars="0"/>
              <w:jc w:val="center"/>
              <w:rPr>
                <w:rFonts w:hint="eastAsia"/>
                <w:sz w:val="22"/>
                <w:szCs w:val="22"/>
              </w:rPr>
            </w:pPr>
          </w:p>
        </w:tc>
        <w:tc>
          <w:tcPr>
            <w:tcW w:w="436" w:type="dxa"/>
            <w:vMerge w:val="continue"/>
            <w:shd w:val="clear" w:color="auto" w:fill="auto"/>
            <w:vAlign w:val="center"/>
          </w:tcPr>
          <w:p w14:paraId="6433F1CC">
            <w:pPr>
              <w:adjustRightInd w:val="0"/>
              <w:snapToGrid w:val="0"/>
              <w:spacing w:line="240" w:lineRule="auto"/>
              <w:ind w:firstLine="0" w:firstLineChars="0"/>
              <w:jc w:val="center"/>
              <w:rPr>
                <w:rFonts w:hint="eastAsia"/>
                <w:sz w:val="22"/>
                <w:szCs w:val="22"/>
              </w:rPr>
            </w:pPr>
          </w:p>
        </w:tc>
        <w:tc>
          <w:tcPr>
            <w:tcW w:w="605" w:type="dxa"/>
            <w:vMerge w:val="restart"/>
            <w:shd w:val="clear" w:color="auto" w:fill="auto"/>
            <w:vAlign w:val="center"/>
          </w:tcPr>
          <w:p w14:paraId="37CFF9C6">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30</w:t>
            </w:r>
          </w:p>
        </w:tc>
        <w:tc>
          <w:tcPr>
            <w:tcW w:w="1497" w:type="dxa"/>
            <w:vMerge w:val="restart"/>
            <w:shd w:val="clear" w:color="auto" w:fill="auto"/>
            <w:vAlign w:val="center"/>
          </w:tcPr>
          <w:p w14:paraId="40ADF287">
            <w:pPr>
              <w:widowControl/>
              <w:adjustRightInd w:val="0"/>
              <w:snapToGrid w:val="0"/>
              <w:spacing w:line="240" w:lineRule="auto"/>
              <w:ind w:firstLine="0" w:firstLineChars="0"/>
              <w:jc w:val="center"/>
              <w:textAlignment w:val="center"/>
              <w:rPr>
                <w:rFonts w:hint="eastAsia"/>
                <w:sz w:val="22"/>
                <w:szCs w:val="22"/>
              </w:rPr>
            </w:pPr>
            <w:r>
              <w:rPr>
                <w:rStyle w:val="51"/>
                <w:rFonts w:hint="eastAsia" w:ascii="方正仿宋_GBK" w:hAnsi="方正仿宋_GBK" w:eastAsia="方正仿宋_GBK" w:cs="方正仿宋_GBK"/>
                <w:snapToGrid w:val="0"/>
                <w:color w:val="auto"/>
                <w:sz w:val="22"/>
                <w:szCs w:val="22"/>
                <w:u w:val="none"/>
                <w:lang w:bidi="ar"/>
              </w:rPr>
              <w:t>☆</w:t>
            </w:r>
            <w:r>
              <w:rPr>
                <w:rStyle w:val="52"/>
                <w:rFonts w:hint="default" w:ascii="方正仿宋_GBK" w:hAnsi="方正仿宋_GBK" w:eastAsia="方正仿宋_GBK" w:cs="方正仿宋_GBK"/>
                <w:snapToGrid w:val="0"/>
                <w:color w:val="auto"/>
                <w:u w:val="none"/>
                <w:lang w:bidi="ar"/>
              </w:rPr>
              <w:t>需要更新改造的老旧街区数量（个）</w:t>
            </w:r>
          </w:p>
        </w:tc>
        <w:tc>
          <w:tcPr>
            <w:tcW w:w="1017" w:type="dxa"/>
            <w:vMerge w:val="restart"/>
            <w:shd w:val="clear" w:color="auto" w:fill="auto"/>
            <w:vAlign w:val="center"/>
          </w:tcPr>
          <w:p w14:paraId="6C3DF776">
            <w:pPr>
              <w:widowControl/>
              <w:adjustRightInd w:val="0"/>
              <w:snapToGrid w:val="0"/>
              <w:spacing w:line="240" w:lineRule="auto"/>
              <w:ind w:firstLine="0" w:firstLineChars="0"/>
              <w:jc w:val="center"/>
              <w:textAlignment w:val="center"/>
              <w:rPr>
                <w:rStyle w:val="51"/>
                <w:rFonts w:hint="eastAsia" w:ascii="方正仿宋_GBK" w:hAnsi="方正仿宋_GBK" w:eastAsia="方正仿宋_GBK" w:cs="方正仿宋_GBK"/>
                <w:snapToGrid w:val="0"/>
                <w:color w:val="auto"/>
                <w:sz w:val="22"/>
                <w:szCs w:val="22"/>
                <w:u w:val="none"/>
                <w:lang w:bidi="ar"/>
              </w:rPr>
            </w:pPr>
            <w:r>
              <w:rPr>
                <w:rFonts w:hint="eastAsia"/>
                <w:snapToGrid w:val="0"/>
                <w:kern w:val="0"/>
                <w:sz w:val="22"/>
                <w:szCs w:val="22"/>
                <w:lang w:bidi="ar"/>
              </w:rPr>
              <w:t>2</w:t>
            </w:r>
          </w:p>
        </w:tc>
        <w:tc>
          <w:tcPr>
            <w:tcW w:w="3052" w:type="dxa"/>
            <w:shd w:val="clear" w:color="auto" w:fill="auto"/>
            <w:vAlign w:val="center"/>
          </w:tcPr>
          <w:p w14:paraId="204B6294">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30.1老旧街区指街道辖区内建成年代较早，以居住为主导功能，具有一定文化特色的区域。</w:t>
            </w:r>
          </w:p>
        </w:tc>
        <w:tc>
          <w:tcPr>
            <w:tcW w:w="896" w:type="dxa"/>
            <w:shd w:val="clear" w:color="auto" w:fill="auto"/>
            <w:vAlign w:val="center"/>
          </w:tcPr>
          <w:p w14:paraId="07119339">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restart"/>
            <w:shd w:val="clear" w:color="auto" w:fill="auto"/>
            <w:vAlign w:val="center"/>
          </w:tcPr>
          <w:p w14:paraId="4849A1D0">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查找老旧街区在既有建筑保留利用、城市客厅等服务设施配置、基础设施更新改造以及功能转换、活力提升等方面存在的问题和短板。</w:t>
            </w:r>
          </w:p>
        </w:tc>
        <w:tc>
          <w:tcPr>
            <w:tcW w:w="2664" w:type="dxa"/>
            <w:vMerge w:val="restart"/>
            <w:shd w:val="clear" w:color="auto" w:fill="auto"/>
            <w:vAlign w:val="center"/>
          </w:tcPr>
          <w:p w14:paraId="4BD17391">
            <w:pPr>
              <w:widowControl/>
              <w:adjustRightInd w:val="0"/>
              <w:snapToGrid w:val="0"/>
              <w:spacing w:line="240" w:lineRule="auto"/>
              <w:ind w:firstLine="0" w:firstLineChars="0"/>
              <w:jc w:val="center"/>
              <w:textAlignment w:val="center"/>
              <w:rPr>
                <w:rFonts w:hint="eastAsia"/>
                <w:sz w:val="22"/>
                <w:szCs w:val="22"/>
              </w:rPr>
            </w:pPr>
            <w:r>
              <w:rPr>
                <w:rFonts w:hint="eastAsia"/>
                <w:snapToGrid w:val="0"/>
                <w:kern w:val="0"/>
                <w:sz w:val="22"/>
                <w:szCs w:val="22"/>
                <w:lang w:bidi="ar"/>
              </w:rPr>
              <w:t>各区政府、行业部门调查统计数据，街道管理员或专业人员现场调研复核</w:t>
            </w:r>
          </w:p>
        </w:tc>
      </w:tr>
      <w:tr w14:paraId="5222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DFD1466">
            <w:pPr>
              <w:widowControl/>
              <w:adjustRightInd w:val="0"/>
              <w:snapToGrid w:val="0"/>
              <w:spacing w:line="240" w:lineRule="auto"/>
              <w:ind w:firstLine="0" w:firstLineChars="0"/>
              <w:jc w:val="center"/>
              <w:textAlignment w:val="center"/>
              <w:rPr>
                <w:rFonts w:hint="eastAsia"/>
                <w:sz w:val="22"/>
                <w:szCs w:val="22"/>
              </w:rPr>
            </w:pPr>
          </w:p>
        </w:tc>
        <w:tc>
          <w:tcPr>
            <w:tcW w:w="436" w:type="dxa"/>
            <w:vMerge w:val="continue"/>
            <w:shd w:val="clear" w:color="auto" w:fill="auto"/>
            <w:vAlign w:val="center"/>
          </w:tcPr>
          <w:p w14:paraId="41043777">
            <w:pPr>
              <w:widowControl/>
              <w:adjustRightInd w:val="0"/>
              <w:snapToGrid w:val="0"/>
              <w:spacing w:line="240" w:lineRule="auto"/>
              <w:ind w:firstLine="0" w:firstLineChars="0"/>
              <w:jc w:val="center"/>
              <w:textAlignment w:val="center"/>
              <w:rPr>
                <w:rFonts w:hint="eastAsia"/>
                <w:sz w:val="22"/>
                <w:szCs w:val="22"/>
              </w:rPr>
            </w:pPr>
          </w:p>
        </w:tc>
        <w:tc>
          <w:tcPr>
            <w:tcW w:w="605" w:type="dxa"/>
            <w:vMerge w:val="continue"/>
            <w:shd w:val="clear" w:color="auto" w:fill="auto"/>
            <w:vAlign w:val="center"/>
          </w:tcPr>
          <w:p w14:paraId="59D0A2BA">
            <w:pPr>
              <w:widowControl/>
              <w:adjustRightInd w:val="0"/>
              <w:snapToGrid w:val="0"/>
              <w:spacing w:line="240" w:lineRule="auto"/>
              <w:ind w:firstLine="0" w:firstLineChars="0"/>
              <w:jc w:val="center"/>
              <w:textAlignment w:val="center"/>
              <w:rPr>
                <w:rFonts w:hint="eastAsia"/>
                <w:sz w:val="22"/>
                <w:szCs w:val="22"/>
              </w:rPr>
            </w:pPr>
          </w:p>
        </w:tc>
        <w:tc>
          <w:tcPr>
            <w:tcW w:w="1497" w:type="dxa"/>
            <w:vMerge w:val="continue"/>
            <w:shd w:val="clear" w:color="auto" w:fill="auto"/>
            <w:vAlign w:val="center"/>
          </w:tcPr>
          <w:p w14:paraId="33FF92E3">
            <w:pPr>
              <w:widowControl/>
              <w:adjustRightInd w:val="0"/>
              <w:snapToGrid w:val="0"/>
              <w:spacing w:line="240" w:lineRule="auto"/>
              <w:ind w:firstLine="0" w:firstLineChars="0"/>
              <w:jc w:val="center"/>
              <w:textAlignment w:val="center"/>
              <w:rPr>
                <w:rFonts w:hint="eastAsia"/>
                <w:sz w:val="22"/>
                <w:szCs w:val="22"/>
              </w:rPr>
            </w:pPr>
          </w:p>
        </w:tc>
        <w:tc>
          <w:tcPr>
            <w:tcW w:w="1017" w:type="dxa"/>
            <w:vMerge w:val="continue"/>
            <w:shd w:val="clear" w:color="auto" w:fill="auto"/>
            <w:vAlign w:val="center"/>
          </w:tcPr>
          <w:p w14:paraId="6EB2D5B8">
            <w:pPr>
              <w:widowControl/>
              <w:adjustRightInd w:val="0"/>
              <w:snapToGrid w:val="0"/>
              <w:spacing w:line="240" w:lineRule="auto"/>
              <w:ind w:firstLine="0" w:firstLineChars="0"/>
              <w:jc w:val="center"/>
              <w:textAlignment w:val="center"/>
              <w:rPr>
                <w:rFonts w:hint="eastAsia"/>
                <w:sz w:val="22"/>
                <w:szCs w:val="22"/>
              </w:rPr>
            </w:pPr>
          </w:p>
        </w:tc>
        <w:tc>
          <w:tcPr>
            <w:tcW w:w="3052" w:type="dxa"/>
            <w:shd w:val="clear" w:color="auto" w:fill="auto"/>
            <w:vAlign w:val="center"/>
          </w:tcPr>
          <w:p w14:paraId="5DBDEA14">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30.2重点查找老旧街区的闲置资源利用情况、服务设施配置、基础设施配置及功能活力提升等方面的问题和短板。老旧街区可参考各省（区、市）老旧小区、完整社区改造管理办法等确定。</w:t>
            </w:r>
          </w:p>
        </w:tc>
        <w:tc>
          <w:tcPr>
            <w:tcW w:w="896" w:type="dxa"/>
            <w:shd w:val="clear" w:color="auto" w:fill="auto"/>
            <w:vAlign w:val="center"/>
          </w:tcPr>
          <w:p w14:paraId="59C9F361">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338AC29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6D5788A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4EBE7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01B8A04D">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22EA4EB1">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11D98FEF">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62736DB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0144A734">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41CF1F54">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30.3综合评估以确定本街区需要更新改造的老旧街区数量。</w:t>
            </w:r>
          </w:p>
        </w:tc>
        <w:tc>
          <w:tcPr>
            <w:tcW w:w="896" w:type="dxa"/>
            <w:shd w:val="clear" w:color="auto" w:fill="auto"/>
            <w:vAlign w:val="center"/>
          </w:tcPr>
          <w:p w14:paraId="41F19E27">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2</w:t>
            </w:r>
          </w:p>
        </w:tc>
        <w:tc>
          <w:tcPr>
            <w:tcW w:w="3386" w:type="dxa"/>
            <w:vMerge w:val="continue"/>
            <w:shd w:val="clear" w:color="auto" w:fill="auto"/>
            <w:vAlign w:val="center"/>
          </w:tcPr>
          <w:p w14:paraId="6D4D0BC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3FCA4B7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r w14:paraId="5CB3B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610" w:type="dxa"/>
            <w:vMerge w:val="continue"/>
            <w:shd w:val="clear" w:color="auto" w:fill="auto"/>
            <w:vAlign w:val="center"/>
          </w:tcPr>
          <w:p w14:paraId="7B821275">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436" w:type="dxa"/>
            <w:vMerge w:val="continue"/>
            <w:shd w:val="clear" w:color="auto" w:fill="auto"/>
            <w:vAlign w:val="center"/>
          </w:tcPr>
          <w:p w14:paraId="480AFF13">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605" w:type="dxa"/>
            <w:vMerge w:val="continue"/>
            <w:shd w:val="clear" w:color="auto" w:fill="auto"/>
            <w:vAlign w:val="center"/>
          </w:tcPr>
          <w:p w14:paraId="68E85D62">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497" w:type="dxa"/>
            <w:vMerge w:val="continue"/>
            <w:shd w:val="clear" w:color="auto" w:fill="auto"/>
            <w:vAlign w:val="center"/>
          </w:tcPr>
          <w:p w14:paraId="35535E81">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1017" w:type="dxa"/>
            <w:vMerge w:val="continue"/>
            <w:shd w:val="clear" w:color="auto" w:fill="auto"/>
            <w:vAlign w:val="center"/>
          </w:tcPr>
          <w:p w14:paraId="5A5D55E6">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3052" w:type="dxa"/>
            <w:shd w:val="clear" w:color="auto" w:fill="auto"/>
            <w:vAlign w:val="center"/>
          </w:tcPr>
          <w:p w14:paraId="49B54CFE">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30.4结合本地实际情况并根据老旧小区、完整社区、历史街区等需求进一步细化确定具体体检细则。</w:t>
            </w:r>
          </w:p>
        </w:tc>
        <w:tc>
          <w:tcPr>
            <w:tcW w:w="896" w:type="dxa"/>
            <w:shd w:val="clear" w:color="auto" w:fill="auto"/>
            <w:vAlign w:val="center"/>
          </w:tcPr>
          <w:p w14:paraId="4B579074">
            <w:pPr>
              <w:widowControl/>
              <w:adjustRightInd w:val="0"/>
              <w:snapToGrid w:val="0"/>
              <w:spacing w:line="240" w:lineRule="auto"/>
              <w:ind w:firstLine="0" w:firstLineChars="0"/>
              <w:jc w:val="center"/>
              <w:textAlignment w:val="center"/>
              <w:rPr>
                <w:rFonts w:hint="eastAsia"/>
                <w:snapToGrid w:val="0"/>
                <w:kern w:val="0"/>
                <w:sz w:val="22"/>
                <w:szCs w:val="22"/>
                <w:lang w:bidi="ar"/>
              </w:rPr>
            </w:pPr>
            <w:r>
              <w:rPr>
                <w:rFonts w:hint="eastAsia"/>
                <w:snapToGrid w:val="0"/>
                <w:kern w:val="0"/>
                <w:sz w:val="22"/>
                <w:szCs w:val="22"/>
                <w:lang w:bidi="ar"/>
              </w:rPr>
              <w:t>0</w:t>
            </w:r>
          </w:p>
        </w:tc>
        <w:tc>
          <w:tcPr>
            <w:tcW w:w="3386" w:type="dxa"/>
            <w:vMerge w:val="continue"/>
            <w:shd w:val="clear" w:color="auto" w:fill="auto"/>
            <w:vAlign w:val="center"/>
          </w:tcPr>
          <w:p w14:paraId="794D865B">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c>
          <w:tcPr>
            <w:tcW w:w="2664" w:type="dxa"/>
            <w:vMerge w:val="continue"/>
            <w:shd w:val="clear" w:color="auto" w:fill="auto"/>
            <w:vAlign w:val="center"/>
          </w:tcPr>
          <w:p w14:paraId="2E28578E">
            <w:pPr>
              <w:widowControl/>
              <w:adjustRightInd w:val="0"/>
              <w:snapToGrid w:val="0"/>
              <w:spacing w:line="240" w:lineRule="auto"/>
              <w:ind w:firstLine="0" w:firstLineChars="0"/>
              <w:jc w:val="center"/>
              <w:textAlignment w:val="center"/>
              <w:rPr>
                <w:rFonts w:hint="eastAsia"/>
                <w:snapToGrid w:val="0"/>
                <w:kern w:val="0"/>
                <w:sz w:val="22"/>
                <w:szCs w:val="22"/>
                <w:lang w:bidi="ar"/>
              </w:rPr>
            </w:pPr>
          </w:p>
        </w:tc>
      </w:tr>
    </w:tbl>
    <w:p w14:paraId="7695702A">
      <w:pPr>
        <w:pStyle w:val="28"/>
        <w:ind w:left="640" w:firstLine="640"/>
        <w:sectPr>
          <w:pgSz w:w="16838" w:h="11906" w:orient="landscape"/>
          <w:pgMar w:top="1800" w:right="1440" w:bottom="1800" w:left="1440" w:header="851" w:footer="992" w:gutter="0"/>
          <w:pgNumType w:fmt="decimal"/>
          <w:cols w:space="425" w:num="1"/>
          <w:docGrid w:type="lines" w:linePitch="312" w:charSpace="0"/>
        </w:sectPr>
      </w:pPr>
    </w:p>
    <w:p w14:paraId="5DFCE4D5">
      <w:pPr>
        <w:pStyle w:val="48"/>
        <w:outlineLvl w:val="2"/>
        <w:rPr>
          <w:rFonts w:hint="eastAsia"/>
        </w:rPr>
      </w:pPr>
      <w:r>
        <w:rPr>
          <w:rFonts w:hint="eastAsia"/>
        </w:rPr>
        <w:t>城区维度数据统计表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8"/>
        <w:gridCol w:w="684"/>
        <w:gridCol w:w="506"/>
        <w:gridCol w:w="1880"/>
        <w:gridCol w:w="4656"/>
        <w:gridCol w:w="1412"/>
        <w:gridCol w:w="1703"/>
        <w:gridCol w:w="2535"/>
      </w:tblGrid>
      <w:tr w14:paraId="3F96D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0" w:type="auto"/>
            <w:shd w:val="clear" w:color="auto" w:fill="auto"/>
            <w:vAlign w:val="center"/>
          </w:tcPr>
          <w:p w14:paraId="49E396AC">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维度</w:t>
            </w:r>
          </w:p>
        </w:tc>
        <w:tc>
          <w:tcPr>
            <w:tcW w:w="0" w:type="auto"/>
            <w:shd w:val="clear" w:color="auto" w:fill="auto"/>
            <w:vAlign w:val="center"/>
          </w:tcPr>
          <w:p w14:paraId="3B180F6A">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二级维度</w:t>
            </w:r>
          </w:p>
        </w:tc>
        <w:tc>
          <w:tcPr>
            <w:tcW w:w="0" w:type="auto"/>
            <w:shd w:val="clear" w:color="auto" w:fill="auto"/>
            <w:vAlign w:val="center"/>
          </w:tcPr>
          <w:p w14:paraId="25142190">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序号</w:t>
            </w:r>
          </w:p>
        </w:tc>
        <w:tc>
          <w:tcPr>
            <w:tcW w:w="0" w:type="auto"/>
            <w:shd w:val="clear" w:color="auto" w:fill="auto"/>
            <w:vAlign w:val="center"/>
          </w:tcPr>
          <w:p w14:paraId="105852CE">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指标</w:t>
            </w:r>
          </w:p>
        </w:tc>
        <w:tc>
          <w:tcPr>
            <w:tcW w:w="4657" w:type="dxa"/>
            <w:shd w:val="clear" w:color="auto" w:fill="auto"/>
            <w:vAlign w:val="center"/>
          </w:tcPr>
          <w:p w14:paraId="276D52DF">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体检内容</w:t>
            </w:r>
          </w:p>
        </w:tc>
        <w:tc>
          <w:tcPr>
            <w:tcW w:w="1412" w:type="dxa"/>
            <w:shd w:val="clear" w:color="auto" w:fill="auto"/>
            <w:vAlign w:val="center"/>
          </w:tcPr>
          <w:p w14:paraId="28110B08">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指标数值</w:t>
            </w:r>
          </w:p>
        </w:tc>
        <w:tc>
          <w:tcPr>
            <w:tcW w:w="1703" w:type="dxa"/>
            <w:shd w:val="clear" w:color="auto" w:fill="auto"/>
            <w:vAlign w:val="center"/>
          </w:tcPr>
          <w:p w14:paraId="30E0F977">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评价标准</w:t>
            </w:r>
          </w:p>
        </w:tc>
        <w:tc>
          <w:tcPr>
            <w:tcW w:w="0" w:type="auto"/>
            <w:shd w:val="clear" w:color="auto" w:fill="auto"/>
            <w:vAlign w:val="center"/>
          </w:tcPr>
          <w:p w14:paraId="41CF0F9D">
            <w:pPr>
              <w:pStyle w:val="41"/>
              <w:kinsoku w:val="0"/>
              <w:autoSpaceDE w:val="0"/>
              <w:autoSpaceDN w:val="0"/>
              <w:textAlignment w:val="center"/>
              <w:rPr>
                <w:rFonts w:hint="eastAsia" w:ascii="方正黑体_GBK" w:hAnsi="方正黑体_GBK" w:eastAsia="方正黑体_GBK" w:cs="方正黑体_GBK"/>
                <w:sz w:val="22"/>
                <w:szCs w:val="22"/>
                <w:lang w:bidi="ar"/>
              </w:rPr>
            </w:pPr>
            <w:r>
              <w:rPr>
                <w:rFonts w:hint="eastAsia" w:ascii="方正黑体_GBK" w:hAnsi="方正黑体_GBK" w:eastAsia="方正黑体_GBK" w:cs="方正黑体_GBK"/>
                <w:sz w:val="22"/>
                <w:szCs w:val="22"/>
                <w:lang w:bidi="ar"/>
              </w:rPr>
              <w:t>数据获取</w:t>
            </w:r>
          </w:p>
        </w:tc>
      </w:tr>
      <w:tr w14:paraId="67A6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restart"/>
            <w:shd w:val="clear" w:color="auto" w:fill="auto"/>
            <w:vAlign w:val="center"/>
          </w:tcPr>
          <w:p w14:paraId="19703CD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城区（城市）</w:t>
            </w:r>
          </w:p>
        </w:tc>
        <w:tc>
          <w:tcPr>
            <w:tcW w:w="0" w:type="auto"/>
            <w:vMerge w:val="restart"/>
            <w:shd w:val="clear" w:color="auto" w:fill="auto"/>
            <w:vAlign w:val="center"/>
          </w:tcPr>
          <w:p w14:paraId="01DB789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生态宜居</w:t>
            </w:r>
          </w:p>
        </w:tc>
        <w:tc>
          <w:tcPr>
            <w:tcW w:w="0" w:type="auto"/>
            <w:shd w:val="clear" w:color="auto" w:fill="auto"/>
            <w:vAlign w:val="center"/>
          </w:tcPr>
          <w:p w14:paraId="5BAE53A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31</w:t>
            </w:r>
          </w:p>
        </w:tc>
        <w:tc>
          <w:tcPr>
            <w:tcW w:w="0" w:type="auto"/>
            <w:shd w:val="clear" w:color="auto" w:fill="auto"/>
            <w:vAlign w:val="center"/>
          </w:tcPr>
          <w:p w14:paraId="49CC383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城市生活污水集中收集率（%）</w:t>
            </w:r>
          </w:p>
        </w:tc>
        <w:tc>
          <w:tcPr>
            <w:tcW w:w="4657" w:type="dxa"/>
            <w:shd w:val="clear" w:color="auto" w:fill="auto"/>
            <w:vAlign w:val="center"/>
          </w:tcPr>
          <w:p w14:paraId="3A955AD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按照城市生活污水集中收集率达到70%的目标，调查分析影响生活污水集中收集效能的各种因素，查找城市污水收集管网建设改造、运维等方面的差距和问题。</w:t>
            </w:r>
          </w:p>
        </w:tc>
        <w:tc>
          <w:tcPr>
            <w:tcW w:w="1412" w:type="dxa"/>
            <w:shd w:val="clear" w:color="auto" w:fill="auto"/>
            <w:vAlign w:val="center"/>
          </w:tcPr>
          <w:p w14:paraId="0ECAC12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86.32</w:t>
            </w:r>
          </w:p>
        </w:tc>
        <w:tc>
          <w:tcPr>
            <w:tcW w:w="1703" w:type="dxa"/>
            <w:shd w:val="clear" w:color="auto" w:fill="auto"/>
            <w:vAlign w:val="center"/>
          </w:tcPr>
          <w:p w14:paraId="1361916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≥70%</w:t>
            </w:r>
          </w:p>
        </w:tc>
        <w:tc>
          <w:tcPr>
            <w:tcW w:w="0" w:type="auto"/>
            <w:shd w:val="clear" w:color="auto" w:fill="auto"/>
            <w:vAlign w:val="center"/>
          </w:tcPr>
          <w:p w14:paraId="2112C1E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市城管局、行业部门调查统计数据</w:t>
            </w:r>
          </w:p>
        </w:tc>
      </w:tr>
      <w:tr w14:paraId="2278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0" w:type="auto"/>
            <w:vMerge w:val="continue"/>
            <w:shd w:val="clear" w:color="auto" w:fill="auto"/>
            <w:vAlign w:val="center"/>
          </w:tcPr>
          <w:p w14:paraId="7AB5849D">
            <w:pPr>
              <w:pStyle w:val="41"/>
              <w:rPr>
                <w:rFonts w:hint="eastAsia" w:cs="方正仿宋_GBK"/>
                <w:sz w:val="20"/>
                <w:szCs w:val="20"/>
                <w:lang w:bidi="ar"/>
              </w:rPr>
            </w:pPr>
          </w:p>
        </w:tc>
        <w:tc>
          <w:tcPr>
            <w:tcW w:w="0" w:type="auto"/>
            <w:vMerge w:val="continue"/>
            <w:shd w:val="clear" w:color="auto" w:fill="auto"/>
            <w:vAlign w:val="center"/>
          </w:tcPr>
          <w:p w14:paraId="20AD6882">
            <w:pPr>
              <w:pStyle w:val="41"/>
              <w:rPr>
                <w:rFonts w:hint="eastAsia" w:cs="方正仿宋_GBK"/>
                <w:sz w:val="20"/>
                <w:szCs w:val="20"/>
                <w:lang w:bidi="ar"/>
              </w:rPr>
            </w:pPr>
          </w:p>
        </w:tc>
        <w:tc>
          <w:tcPr>
            <w:tcW w:w="0" w:type="auto"/>
            <w:shd w:val="clear" w:color="auto" w:fill="auto"/>
            <w:vAlign w:val="center"/>
          </w:tcPr>
          <w:p w14:paraId="378F053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32</w:t>
            </w:r>
          </w:p>
        </w:tc>
        <w:tc>
          <w:tcPr>
            <w:tcW w:w="0" w:type="auto"/>
            <w:shd w:val="clear" w:color="auto" w:fill="auto"/>
            <w:vAlign w:val="center"/>
          </w:tcPr>
          <w:p w14:paraId="04C8CFFA">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城市黑臭水体数量（个）</w:t>
            </w:r>
          </w:p>
        </w:tc>
        <w:tc>
          <w:tcPr>
            <w:tcW w:w="4657" w:type="dxa"/>
            <w:shd w:val="clear" w:color="auto" w:fill="auto"/>
            <w:vAlign w:val="center"/>
          </w:tcPr>
          <w:p w14:paraId="26DF62F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按照深入打好城市黑臭水体治理攻坚战的要求，调查市辖区建成区内现存黑臭水体（包括返黑黑臭水体）数量。</w:t>
            </w:r>
          </w:p>
        </w:tc>
        <w:tc>
          <w:tcPr>
            <w:tcW w:w="1412" w:type="dxa"/>
            <w:shd w:val="clear" w:color="auto" w:fill="auto"/>
            <w:vAlign w:val="center"/>
          </w:tcPr>
          <w:p w14:paraId="62E5747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17B1593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0个</w:t>
            </w:r>
          </w:p>
        </w:tc>
        <w:tc>
          <w:tcPr>
            <w:tcW w:w="0" w:type="auto"/>
            <w:shd w:val="clear" w:color="auto" w:fill="auto"/>
            <w:vAlign w:val="center"/>
          </w:tcPr>
          <w:p w14:paraId="09B93D8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市城管局、市生态环境局、行业部门调查统计数据</w:t>
            </w:r>
          </w:p>
        </w:tc>
      </w:tr>
      <w:tr w14:paraId="18DE8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16AD0142">
            <w:pPr>
              <w:pStyle w:val="41"/>
              <w:rPr>
                <w:rFonts w:hint="eastAsia" w:cs="方正仿宋_GBK"/>
                <w:sz w:val="20"/>
                <w:szCs w:val="20"/>
                <w:lang w:bidi="ar"/>
              </w:rPr>
            </w:pPr>
          </w:p>
        </w:tc>
        <w:tc>
          <w:tcPr>
            <w:tcW w:w="0" w:type="auto"/>
            <w:vMerge w:val="continue"/>
            <w:shd w:val="clear" w:color="auto" w:fill="auto"/>
            <w:vAlign w:val="center"/>
          </w:tcPr>
          <w:p w14:paraId="0615F069">
            <w:pPr>
              <w:pStyle w:val="41"/>
              <w:rPr>
                <w:rFonts w:hint="eastAsia" w:cs="方正仿宋_GBK"/>
                <w:sz w:val="20"/>
                <w:szCs w:val="20"/>
                <w:lang w:bidi="ar"/>
              </w:rPr>
            </w:pPr>
          </w:p>
        </w:tc>
        <w:tc>
          <w:tcPr>
            <w:tcW w:w="0" w:type="auto"/>
            <w:shd w:val="clear" w:color="auto" w:fill="auto"/>
            <w:vAlign w:val="center"/>
          </w:tcPr>
          <w:p w14:paraId="12B49EC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33</w:t>
            </w:r>
          </w:p>
        </w:tc>
        <w:tc>
          <w:tcPr>
            <w:tcW w:w="0" w:type="auto"/>
            <w:shd w:val="clear" w:color="auto" w:fill="auto"/>
            <w:vAlign w:val="center"/>
          </w:tcPr>
          <w:p w14:paraId="363CC9D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城市绿道服务半径覆盖率（%）</w:t>
            </w:r>
          </w:p>
        </w:tc>
        <w:tc>
          <w:tcPr>
            <w:tcW w:w="4657" w:type="dxa"/>
            <w:shd w:val="clear" w:color="auto" w:fill="auto"/>
            <w:vAlign w:val="center"/>
          </w:tcPr>
          <w:p w14:paraId="5518B6E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绿道服务半径覆盖率不低于70%的目标，调查分析市辖区建成区内绿道两侧1公里服务半径覆盖的居住用地面积，占总居住用地面积的百分比，查找城市绿道长度、布局、贯通性、建设品质等方面的差距和问题。</w:t>
            </w:r>
          </w:p>
        </w:tc>
        <w:tc>
          <w:tcPr>
            <w:tcW w:w="1412" w:type="dxa"/>
            <w:shd w:val="clear" w:color="auto" w:fill="auto"/>
            <w:vAlign w:val="center"/>
          </w:tcPr>
          <w:p w14:paraId="302E1F7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70.3</w:t>
            </w:r>
          </w:p>
        </w:tc>
        <w:tc>
          <w:tcPr>
            <w:tcW w:w="1703" w:type="dxa"/>
            <w:shd w:val="clear" w:color="auto" w:fill="auto"/>
            <w:vAlign w:val="center"/>
          </w:tcPr>
          <w:p w14:paraId="747A577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≥70%</w:t>
            </w:r>
          </w:p>
        </w:tc>
        <w:tc>
          <w:tcPr>
            <w:tcW w:w="0" w:type="auto"/>
            <w:shd w:val="clear" w:color="auto" w:fill="auto"/>
            <w:vAlign w:val="center"/>
          </w:tcPr>
          <w:p w14:paraId="14799F3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26DA0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2CD9C82B">
            <w:pPr>
              <w:pStyle w:val="41"/>
              <w:rPr>
                <w:rFonts w:hint="eastAsia" w:cs="方正仿宋_GBK"/>
                <w:sz w:val="20"/>
                <w:szCs w:val="20"/>
                <w:lang w:bidi="ar"/>
              </w:rPr>
            </w:pPr>
          </w:p>
        </w:tc>
        <w:tc>
          <w:tcPr>
            <w:tcW w:w="0" w:type="auto"/>
            <w:vMerge w:val="continue"/>
            <w:shd w:val="clear" w:color="auto" w:fill="auto"/>
            <w:vAlign w:val="center"/>
          </w:tcPr>
          <w:p w14:paraId="39E0D989">
            <w:pPr>
              <w:pStyle w:val="41"/>
              <w:rPr>
                <w:rFonts w:hint="eastAsia" w:cs="方正仿宋_GBK"/>
                <w:sz w:val="20"/>
                <w:szCs w:val="20"/>
                <w:lang w:bidi="ar"/>
              </w:rPr>
            </w:pPr>
          </w:p>
        </w:tc>
        <w:tc>
          <w:tcPr>
            <w:tcW w:w="0" w:type="auto"/>
            <w:shd w:val="clear" w:color="auto" w:fill="auto"/>
            <w:vAlign w:val="center"/>
          </w:tcPr>
          <w:p w14:paraId="0206344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34</w:t>
            </w:r>
          </w:p>
        </w:tc>
        <w:tc>
          <w:tcPr>
            <w:tcW w:w="0" w:type="auto"/>
            <w:shd w:val="clear" w:color="auto" w:fill="auto"/>
            <w:vAlign w:val="center"/>
          </w:tcPr>
          <w:p w14:paraId="4310B45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人均体育场地面积（平方米/人）</w:t>
            </w:r>
          </w:p>
        </w:tc>
        <w:tc>
          <w:tcPr>
            <w:tcW w:w="4657" w:type="dxa"/>
            <w:shd w:val="clear" w:color="auto" w:fill="auto"/>
            <w:vAlign w:val="center"/>
          </w:tcPr>
          <w:p w14:paraId="72E3C6B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按照人均体育场地面积不低于2.6平方米的目标，调查市辖区建成区内常住人口人均拥有的体育场地面积情况，查找城市体育场地、健身设施等方面的差距和问题。</w:t>
            </w:r>
          </w:p>
        </w:tc>
        <w:tc>
          <w:tcPr>
            <w:tcW w:w="1412" w:type="dxa"/>
            <w:shd w:val="clear" w:color="auto" w:fill="auto"/>
            <w:vAlign w:val="center"/>
          </w:tcPr>
          <w:p w14:paraId="274C8D5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8.09</w:t>
            </w:r>
          </w:p>
        </w:tc>
        <w:tc>
          <w:tcPr>
            <w:tcW w:w="1703" w:type="dxa"/>
            <w:shd w:val="clear" w:color="auto" w:fill="auto"/>
            <w:vAlign w:val="center"/>
          </w:tcPr>
          <w:p w14:paraId="3ED80BE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≥2.6平方米/人</w:t>
            </w:r>
          </w:p>
        </w:tc>
        <w:tc>
          <w:tcPr>
            <w:tcW w:w="0" w:type="auto"/>
            <w:shd w:val="clear" w:color="auto" w:fill="auto"/>
            <w:vAlign w:val="center"/>
          </w:tcPr>
          <w:p w14:paraId="014DF5C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市体育局、官方统计数据、行业部门调查统计数据</w:t>
            </w:r>
          </w:p>
        </w:tc>
      </w:tr>
      <w:tr w14:paraId="2ED9C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0" w:type="auto"/>
            <w:vMerge w:val="continue"/>
            <w:shd w:val="clear" w:color="auto" w:fill="auto"/>
            <w:vAlign w:val="center"/>
          </w:tcPr>
          <w:p w14:paraId="154921DF">
            <w:pPr>
              <w:pStyle w:val="41"/>
              <w:rPr>
                <w:rFonts w:hint="eastAsia" w:cs="方正仿宋_GBK"/>
                <w:sz w:val="20"/>
                <w:szCs w:val="20"/>
                <w:lang w:bidi="ar"/>
              </w:rPr>
            </w:pPr>
          </w:p>
        </w:tc>
        <w:tc>
          <w:tcPr>
            <w:tcW w:w="0" w:type="auto"/>
            <w:vMerge w:val="continue"/>
            <w:shd w:val="clear" w:color="auto" w:fill="auto"/>
            <w:vAlign w:val="center"/>
          </w:tcPr>
          <w:p w14:paraId="31A53095">
            <w:pPr>
              <w:pStyle w:val="41"/>
              <w:rPr>
                <w:rFonts w:hint="eastAsia" w:cs="方正仿宋_GBK"/>
                <w:sz w:val="20"/>
                <w:szCs w:val="20"/>
                <w:lang w:bidi="ar"/>
              </w:rPr>
            </w:pPr>
          </w:p>
        </w:tc>
        <w:tc>
          <w:tcPr>
            <w:tcW w:w="0" w:type="auto"/>
            <w:shd w:val="clear" w:color="auto" w:fill="auto"/>
            <w:vAlign w:val="center"/>
          </w:tcPr>
          <w:p w14:paraId="294587A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35</w:t>
            </w:r>
          </w:p>
        </w:tc>
        <w:tc>
          <w:tcPr>
            <w:tcW w:w="0" w:type="auto"/>
            <w:shd w:val="clear" w:color="auto" w:fill="auto"/>
            <w:vAlign w:val="center"/>
          </w:tcPr>
          <w:p w14:paraId="6B72DB3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人均公共文化设施面积（平方米/人）</w:t>
            </w:r>
          </w:p>
        </w:tc>
        <w:tc>
          <w:tcPr>
            <w:tcW w:w="4657" w:type="dxa"/>
            <w:shd w:val="clear" w:color="auto" w:fill="auto"/>
            <w:vAlign w:val="center"/>
          </w:tcPr>
          <w:p w14:paraId="30519E1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按照人均公共文化设施面积不低于0.2平方米的目标，调查市辖区建成区内常住人口人均拥有的公共文化设施面积情况，查找城市公共文化设施、服务体系等方面的差距和问题。</w:t>
            </w:r>
          </w:p>
        </w:tc>
        <w:tc>
          <w:tcPr>
            <w:tcW w:w="1412" w:type="dxa"/>
            <w:shd w:val="clear" w:color="auto" w:fill="auto"/>
            <w:vAlign w:val="center"/>
          </w:tcPr>
          <w:p w14:paraId="462BDD2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0.63</w:t>
            </w:r>
          </w:p>
        </w:tc>
        <w:tc>
          <w:tcPr>
            <w:tcW w:w="1703" w:type="dxa"/>
            <w:shd w:val="clear" w:color="auto" w:fill="auto"/>
            <w:vAlign w:val="center"/>
          </w:tcPr>
          <w:p w14:paraId="1BD035D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≥0.2平方米/人</w:t>
            </w:r>
          </w:p>
        </w:tc>
        <w:tc>
          <w:tcPr>
            <w:tcW w:w="0" w:type="auto"/>
            <w:shd w:val="clear" w:color="auto" w:fill="auto"/>
            <w:vAlign w:val="center"/>
          </w:tcPr>
          <w:p w14:paraId="1DADC7E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市文化广电和旅游局、市公安局、官方统计数据、行业部门调查统计数据，大数据辅助分析</w:t>
            </w:r>
          </w:p>
        </w:tc>
      </w:tr>
      <w:tr w14:paraId="188B6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2" w:hRule="atLeast"/>
        </w:trPr>
        <w:tc>
          <w:tcPr>
            <w:tcW w:w="0" w:type="auto"/>
            <w:vMerge w:val="continue"/>
            <w:shd w:val="clear" w:color="auto" w:fill="auto"/>
            <w:vAlign w:val="center"/>
          </w:tcPr>
          <w:p w14:paraId="74FEA1CF">
            <w:pPr>
              <w:pStyle w:val="41"/>
              <w:rPr>
                <w:rFonts w:hint="eastAsia" w:cs="方正仿宋_GBK"/>
                <w:sz w:val="20"/>
                <w:szCs w:val="20"/>
                <w:lang w:bidi="ar"/>
              </w:rPr>
            </w:pPr>
          </w:p>
        </w:tc>
        <w:tc>
          <w:tcPr>
            <w:tcW w:w="0" w:type="auto"/>
            <w:vMerge w:val="continue"/>
            <w:shd w:val="clear" w:color="auto" w:fill="auto"/>
            <w:vAlign w:val="center"/>
          </w:tcPr>
          <w:p w14:paraId="679271FD">
            <w:pPr>
              <w:pStyle w:val="41"/>
              <w:rPr>
                <w:rFonts w:hint="eastAsia" w:cs="方正仿宋_GBK"/>
                <w:sz w:val="20"/>
                <w:szCs w:val="20"/>
                <w:lang w:bidi="ar"/>
              </w:rPr>
            </w:pPr>
          </w:p>
        </w:tc>
        <w:tc>
          <w:tcPr>
            <w:tcW w:w="0" w:type="auto"/>
            <w:shd w:val="clear" w:color="auto" w:fill="auto"/>
            <w:vAlign w:val="center"/>
          </w:tcPr>
          <w:p w14:paraId="782BF76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36</w:t>
            </w:r>
          </w:p>
        </w:tc>
        <w:tc>
          <w:tcPr>
            <w:tcW w:w="0" w:type="auto"/>
            <w:shd w:val="clear" w:color="auto" w:fill="auto"/>
            <w:vAlign w:val="center"/>
          </w:tcPr>
          <w:p w14:paraId="49BF64B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未达标配建的妇幼保健机构数量（个）</w:t>
            </w:r>
          </w:p>
        </w:tc>
        <w:tc>
          <w:tcPr>
            <w:tcW w:w="4657" w:type="dxa"/>
            <w:shd w:val="clear" w:color="auto" w:fill="auto"/>
            <w:vAlign w:val="center"/>
          </w:tcPr>
          <w:p w14:paraId="4E86A35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按照《2021—2030年中国妇女儿童发展纲要》要求，调查市辖区内没有配建妇幼保健机构或建设规模不达标的妇幼保健机构数量，查找城市妇幼保健机构建设规模不充足、服务体系不健全等方面的问题。</w:t>
            </w:r>
          </w:p>
        </w:tc>
        <w:tc>
          <w:tcPr>
            <w:tcW w:w="1412" w:type="dxa"/>
            <w:shd w:val="clear" w:color="auto" w:fill="auto"/>
            <w:vAlign w:val="center"/>
          </w:tcPr>
          <w:p w14:paraId="1E35B7B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w:t>
            </w:r>
          </w:p>
        </w:tc>
        <w:tc>
          <w:tcPr>
            <w:tcW w:w="1703" w:type="dxa"/>
            <w:shd w:val="clear" w:color="auto" w:fill="auto"/>
            <w:vAlign w:val="center"/>
          </w:tcPr>
          <w:p w14:paraId="0DD5E9A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以0个为目标值且至少有一个达标配建的妇幼保健建构。</w:t>
            </w:r>
          </w:p>
        </w:tc>
        <w:tc>
          <w:tcPr>
            <w:tcW w:w="0" w:type="auto"/>
            <w:shd w:val="clear" w:color="auto" w:fill="auto"/>
            <w:vAlign w:val="center"/>
          </w:tcPr>
          <w:p w14:paraId="6270B2E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市卫健委、行业部门调查统计数据</w:t>
            </w:r>
          </w:p>
        </w:tc>
      </w:tr>
      <w:tr w14:paraId="2F918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0" w:type="auto"/>
            <w:vMerge w:val="continue"/>
            <w:shd w:val="clear" w:color="auto" w:fill="auto"/>
            <w:vAlign w:val="center"/>
          </w:tcPr>
          <w:p w14:paraId="37589F4A">
            <w:pPr>
              <w:pStyle w:val="41"/>
              <w:rPr>
                <w:rFonts w:hint="eastAsia" w:cs="方正仿宋_GBK"/>
                <w:sz w:val="20"/>
                <w:szCs w:val="20"/>
                <w:lang w:bidi="ar"/>
              </w:rPr>
            </w:pPr>
          </w:p>
        </w:tc>
        <w:tc>
          <w:tcPr>
            <w:tcW w:w="0" w:type="auto"/>
            <w:vMerge w:val="continue"/>
            <w:shd w:val="clear" w:color="auto" w:fill="auto"/>
            <w:vAlign w:val="center"/>
          </w:tcPr>
          <w:p w14:paraId="5DE3BD29">
            <w:pPr>
              <w:pStyle w:val="41"/>
              <w:rPr>
                <w:rFonts w:hint="eastAsia" w:cs="方正仿宋_GBK"/>
                <w:sz w:val="20"/>
                <w:szCs w:val="20"/>
                <w:lang w:bidi="ar"/>
              </w:rPr>
            </w:pPr>
          </w:p>
        </w:tc>
        <w:tc>
          <w:tcPr>
            <w:tcW w:w="0" w:type="auto"/>
            <w:shd w:val="clear" w:color="auto" w:fill="auto"/>
            <w:vAlign w:val="center"/>
          </w:tcPr>
          <w:p w14:paraId="04DCC19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37</w:t>
            </w:r>
          </w:p>
        </w:tc>
        <w:tc>
          <w:tcPr>
            <w:tcW w:w="0" w:type="auto"/>
            <w:shd w:val="clear" w:color="auto" w:fill="auto"/>
            <w:vAlign w:val="center"/>
          </w:tcPr>
          <w:p w14:paraId="23FB5C5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城市道路网密度（千米/平方千米）</w:t>
            </w:r>
          </w:p>
        </w:tc>
        <w:tc>
          <w:tcPr>
            <w:tcW w:w="4657" w:type="dxa"/>
            <w:shd w:val="clear" w:color="auto" w:fill="auto"/>
            <w:vAlign w:val="center"/>
          </w:tcPr>
          <w:p w14:paraId="7D12BFC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按照道路网密度达到8公里/平方公里的目标，调查分析市辖区建成区内城市道路长度（包括快速路、主干路、次干路及支路）与建成区面积的比值，查找城市综合交通体系建设方面存在的差距和问题。</w:t>
            </w:r>
          </w:p>
        </w:tc>
        <w:tc>
          <w:tcPr>
            <w:tcW w:w="1412" w:type="dxa"/>
            <w:shd w:val="clear" w:color="auto" w:fill="auto"/>
            <w:vAlign w:val="center"/>
          </w:tcPr>
          <w:p w14:paraId="5353783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8.02</w:t>
            </w:r>
          </w:p>
        </w:tc>
        <w:tc>
          <w:tcPr>
            <w:tcW w:w="1703" w:type="dxa"/>
            <w:shd w:val="clear" w:color="auto" w:fill="auto"/>
            <w:vAlign w:val="center"/>
          </w:tcPr>
          <w:p w14:paraId="4438219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新建城区≥8千米/平方千米；主城区≥7千米/平方千米</w:t>
            </w:r>
          </w:p>
        </w:tc>
        <w:tc>
          <w:tcPr>
            <w:tcW w:w="0" w:type="auto"/>
            <w:shd w:val="clear" w:color="auto" w:fill="auto"/>
            <w:vAlign w:val="center"/>
          </w:tcPr>
          <w:p w14:paraId="386C58A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市住建局、官方统计数据、行业部门调查统计数据，大数据辅助分析</w:t>
            </w:r>
          </w:p>
        </w:tc>
      </w:tr>
      <w:tr w14:paraId="13832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7D394E7F">
            <w:pPr>
              <w:pStyle w:val="41"/>
              <w:rPr>
                <w:rFonts w:hint="eastAsia" w:cs="方正仿宋_GBK"/>
                <w:sz w:val="20"/>
                <w:szCs w:val="20"/>
                <w:lang w:bidi="ar"/>
              </w:rPr>
            </w:pPr>
          </w:p>
        </w:tc>
        <w:tc>
          <w:tcPr>
            <w:tcW w:w="0" w:type="auto"/>
            <w:vMerge w:val="continue"/>
            <w:shd w:val="clear" w:color="auto" w:fill="auto"/>
            <w:vAlign w:val="center"/>
          </w:tcPr>
          <w:p w14:paraId="1A856948">
            <w:pPr>
              <w:pStyle w:val="41"/>
              <w:rPr>
                <w:rFonts w:hint="eastAsia" w:cs="方正仿宋_GBK"/>
                <w:sz w:val="20"/>
                <w:szCs w:val="20"/>
                <w:lang w:bidi="ar"/>
              </w:rPr>
            </w:pPr>
          </w:p>
        </w:tc>
        <w:tc>
          <w:tcPr>
            <w:tcW w:w="0" w:type="auto"/>
            <w:shd w:val="clear" w:color="auto" w:fill="auto"/>
            <w:vAlign w:val="center"/>
          </w:tcPr>
          <w:p w14:paraId="0B24AE7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38</w:t>
            </w:r>
          </w:p>
        </w:tc>
        <w:tc>
          <w:tcPr>
            <w:tcW w:w="0" w:type="auto"/>
            <w:shd w:val="clear" w:color="auto" w:fill="auto"/>
            <w:vAlign w:val="center"/>
          </w:tcPr>
          <w:p w14:paraId="19461E18">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新建绿色建筑中星级绿色建筑占比（%）</w:t>
            </w:r>
          </w:p>
        </w:tc>
        <w:tc>
          <w:tcPr>
            <w:tcW w:w="4657" w:type="dxa"/>
            <w:shd w:val="clear" w:color="auto" w:fill="auto"/>
            <w:vAlign w:val="center"/>
          </w:tcPr>
          <w:p w14:paraId="31FD32C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当年市辖区内竣工星级绿色建筑面积，占竣工绿色建筑总面积的百分比。绿色建筑指在全寿命期内，节约资源、保护环境、减少污染，为人们提供健康、适用、高效的使用空间，最大限度地实现人与自然和谐共生的高质量建筑。</w:t>
            </w:r>
          </w:p>
        </w:tc>
        <w:tc>
          <w:tcPr>
            <w:tcW w:w="1412" w:type="dxa"/>
            <w:shd w:val="clear" w:color="auto" w:fill="auto"/>
            <w:vAlign w:val="center"/>
          </w:tcPr>
          <w:p w14:paraId="599278C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93.1</w:t>
            </w:r>
          </w:p>
        </w:tc>
        <w:tc>
          <w:tcPr>
            <w:tcW w:w="1703" w:type="dxa"/>
            <w:shd w:val="clear" w:color="auto" w:fill="auto"/>
            <w:vAlign w:val="center"/>
          </w:tcPr>
          <w:p w14:paraId="63312F4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每年提高5个百分点；2025年达到50%</w:t>
            </w:r>
          </w:p>
        </w:tc>
        <w:tc>
          <w:tcPr>
            <w:tcW w:w="0" w:type="auto"/>
            <w:shd w:val="clear" w:color="auto" w:fill="auto"/>
            <w:vAlign w:val="center"/>
          </w:tcPr>
          <w:p w14:paraId="70EEC83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41A3B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28CE3C9F">
            <w:pPr>
              <w:pStyle w:val="41"/>
              <w:rPr>
                <w:rFonts w:hint="eastAsia" w:cs="方正仿宋_GBK"/>
                <w:sz w:val="20"/>
                <w:szCs w:val="20"/>
                <w:lang w:bidi="ar"/>
              </w:rPr>
            </w:pPr>
          </w:p>
        </w:tc>
        <w:tc>
          <w:tcPr>
            <w:tcW w:w="0" w:type="auto"/>
            <w:vMerge w:val="continue"/>
            <w:shd w:val="clear" w:color="auto" w:fill="auto"/>
            <w:vAlign w:val="center"/>
          </w:tcPr>
          <w:p w14:paraId="0AF8703D">
            <w:pPr>
              <w:pStyle w:val="41"/>
              <w:rPr>
                <w:rFonts w:hint="eastAsia" w:cs="方正仿宋_GBK"/>
                <w:sz w:val="20"/>
                <w:szCs w:val="20"/>
                <w:lang w:bidi="ar"/>
              </w:rPr>
            </w:pPr>
          </w:p>
        </w:tc>
        <w:tc>
          <w:tcPr>
            <w:tcW w:w="0" w:type="auto"/>
            <w:shd w:val="clear" w:color="auto" w:fill="auto"/>
            <w:vAlign w:val="center"/>
          </w:tcPr>
          <w:p w14:paraId="77F68AC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39</w:t>
            </w:r>
          </w:p>
        </w:tc>
        <w:tc>
          <w:tcPr>
            <w:tcW w:w="0" w:type="auto"/>
            <w:shd w:val="clear" w:color="auto" w:fill="auto"/>
            <w:vAlign w:val="center"/>
          </w:tcPr>
          <w:p w14:paraId="4837047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建筑垃圾资源化利用率（%）</w:t>
            </w:r>
          </w:p>
        </w:tc>
        <w:tc>
          <w:tcPr>
            <w:tcW w:w="4657" w:type="dxa"/>
            <w:shd w:val="clear" w:color="auto" w:fill="auto"/>
            <w:vAlign w:val="center"/>
          </w:tcPr>
          <w:p w14:paraId="01B2C24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当年市辖区内建筑垃圾中工程垃圾、装修垃圾和拆除垃圾的资源化利用量，占这三类建筑垃圾产生总量的百分比。</w:t>
            </w:r>
          </w:p>
        </w:tc>
        <w:tc>
          <w:tcPr>
            <w:tcW w:w="1412" w:type="dxa"/>
            <w:shd w:val="clear" w:color="auto" w:fill="auto"/>
            <w:vAlign w:val="center"/>
          </w:tcPr>
          <w:p w14:paraId="41D3624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未提供数据</w:t>
            </w:r>
          </w:p>
        </w:tc>
        <w:tc>
          <w:tcPr>
            <w:tcW w:w="1703" w:type="dxa"/>
            <w:shd w:val="clear" w:color="auto" w:fill="auto"/>
            <w:vAlign w:val="center"/>
          </w:tcPr>
          <w:p w14:paraId="656EF54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每年提高2.5个百分点；2025年≥50%</w:t>
            </w:r>
          </w:p>
        </w:tc>
        <w:tc>
          <w:tcPr>
            <w:tcW w:w="0" w:type="auto"/>
            <w:shd w:val="clear" w:color="auto" w:fill="auto"/>
            <w:vAlign w:val="center"/>
          </w:tcPr>
          <w:p w14:paraId="6CC44BF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28C1C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087F622">
            <w:pPr>
              <w:pStyle w:val="41"/>
              <w:rPr>
                <w:rFonts w:hint="eastAsia" w:cs="方正仿宋_GBK"/>
                <w:sz w:val="20"/>
                <w:szCs w:val="20"/>
                <w:lang w:bidi="ar"/>
              </w:rPr>
            </w:pPr>
          </w:p>
        </w:tc>
        <w:tc>
          <w:tcPr>
            <w:tcW w:w="0" w:type="auto"/>
            <w:vMerge w:val="continue"/>
            <w:shd w:val="clear" w:color="auto" w:fill="auto"/>
            <w:vAlign w:val="center"/>
          </w:tcPr>
          <w:p w14:paraId="3AFA3B70">
            <w:pPr>
              <w:pStyle w:val="41"/>
              <w:rPr>
                <w:rFonts w:hint="eastAsia" w:cs="方正仿宋_GBK"/>
                <w:sz w:val="20"/>
                <w:szCs w:val="20"/>
                <w:lang w:bidi="ar"/>
              </w:rPr>
            </w:pPr>
          </w:p>
        </w:tc>
        <w:tc>
          <w:tcPr>
            <w:tcW w:w="0" w:type="auto"/>
            <w:shd w:val="clear" w:color="auto" w:fill="auto"/>
            <w:vAlign w:val="center"/>
          </w:tcPr>
          <w:p w14:paraId="2CC6FD4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40</w:t>
            </w:r>
          </w:p>
        </w:tc>
        <w:tc>
          <w:tcPr>
            <w:tcW w:w="0" w:type="auto"/>
            <w:shd w:val="clear" w:color="auto" w:fill="auto"/>
            <w:vAlign w:val="center"/>
          </w:tcPr>
          <w:p w14:paraId="68F01CA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新建口袋公园数量（个）</w:t>
            </w:r>
          </w:p>
        </w:tc>
        <w:tc>
          <w:tcPr>
            <w:tcW w:w="4657" w:type="dxa"/>
            <w:shd w:val="clear" w:color="auto" w:fill="auto"/>
            <w:vAlign w:val="center"/>
          </w:tcPr>
          <w:p w14:paraId="5E874C6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当年市辖区建成区内新建口袋公园的数量，各地要持续加大口袋公园建设力度。</w:t>
            </w:r>
          </w:p>
        </w:tc>
        <w:tc>
          <w:tcPr>
            <w:tcW w:w="1412" w:type="dxa"/>
            <w:shd w:val="clear" w:color="auto" w:fill="auto"/>
            <w:vAlign w:val="center"/>
          </w:tcPr>
          <w:p w14:paraId="078A747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w:t>
            </w:r>
          </w:p>
        </w:tc>
        <w:tc>
          <w:tcPr>
            <w:tcW w:w="1703" w:type="dxa"/>
            <w:shd w:val="clear" w:color="auto" w:fill="auto"/>
            <w:vAlign w:val="center"/>
          </w:tcPr>
          <w:p w14:paraId="65A3C94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结合实际工作要求确定</w:t>
            </w:r>
          </w:p>
        </w:tc>
        <w:tc>
          <w:tcPr>
            <w:tcW w:w="0" w:type="auto"/>
            <w:shd w:val="clear" w:color="auto" w:fill="auto"/>
            <w:vAlign w:val="center"/>
          </w:tcPr>
          <w:p w14:paraId="576DC23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市城管局、遥感解译数据、行业部门调查统计数据，街道管理员或专业人员现场调研复核</w:t>
            </w:r>
          </w:p>
        </w:tc>
      </w:tr>
      <w:tr w14:paraId="0B07E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2CA4E53E">
            <w:pPr>
              <w:pStyle w:val="41"/>
              <w:rPr>
                <w:rFonts w:hint="eastAsia" w:cs="方正仿宋_GBK"/>
                <w:sz w:val="20"/>
                <w:szCs w:val="20"/>
                <w:lang w:bidi="ar"/>
              </w:rPr>
            </w:pPr>
          </w:p>
        </w:tc>
        <w:tc>
          <w:tcPr>
            <w:tcW w:w="0" w:type="auto"/>
            <w:vMerge w:val="continue"/>
            <w:shd w:val="clear" w:color="auto" w:fill="auto"/>
            <w:vAlign w:val="center"/>
          </w:tcPr>
          <w:p w14:paraId="4CFB54EA">
            <w:pPr>
              <w:pStyle w:val="41"/>
              <w:rPr>
                <w:rFonts w:hint="eastAsia" w:cs="方正仿宋_GBK"/>
                <w:sz w:val="20"/>
                <w:szCs w:val="20"/>
                <w:lang w:bidi="ar"/>
              </w:rPr>
            </w:pPr>
          </w:p>
        </w:tc>
        <w:tc>
          <w:tcPr>
            <w:tcW w:w="0" w:type="auto"/>
            <w:shd w:val="clear" w:color="auto" w:fill="auto"/>
            <w:vAlign w:val="center"/>
          </w:tcPr>
          <w:p w14:paraId="60F5633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41</w:t>
            </w:r>
          </w:p>
        </w:tc>
        <w:tc>
          <w:tcPr>
            <w:tcW w:w="0" w:type="auto"/>
            <w:shd w:val="clear" w:color="auto" w:fill="auto"/>
            <w:vAlign w:val="center"/>
          </w:tcPr>
          <w:p w14:paraId="40ECC08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城市更新片区（单元）实施率</w:t>
            </w:r>
          </w:p>
        </w:tc>
        <w:tc>
          <w:tcPr>
            <w:tcW w:w="4657" w:type="dxa"/>
            <w:shd w:val="clear" w:color="auto" w:fill="auto"/>
            <w:vAlign w:val="center"/>
          </w:tcPr>
          <w:p w14:paraId="55A3AD3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河北省城市更新工作指南》要求，已开展编制城市更新单元（片区）策划方案（更新项目建设方案）或开展城市更新单元（片区、项目）建设的更新单元数量占建成区（拟）划定的城市更新片区（单元）总数的比重。如一个城市更新单元内有多个更新项目，按一个更新单元计。</w:t>
            </w:r>
          </w:p>
        </w:tc>
        <w:tc>
          <w:tcPr>
            <w:tcW w:w="1412" w:type="dxa"/>
            <w:shd w:val="clear" w:color="auto" w:fill="auto"/>
            <w:vAlign w:val="center"/>
          </w:tcPr>
          <w:p w14:paraId="03385E6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52.4</w:t>
            </w:r>
          </w:p>
        </w:tc>
        <w:tc>
          <w:tcPr>
            <w:tcW w:w="1703" w:type="dxa"/>
            <w:shd w:val="clear" w:color="auto" w:fill="auto"/>
            <w:vAlign w:val="center"/>
          </w:tcPr>
          <w:p w14:paraId="248AB6A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结合实际工作确定</w:t>
            </w:r>
          </w:p>
        </w:tc>
        <w:tc>
          <w:tcPr>
            <w:tcW w:w="0" w:type="auto"/>
            <w:shd w:val="clear" w:color="auto" w:fill="auto"/>
            <w:vAlign w:val="center"/>
          </w:tcPr>
          <w:p w14:paraId="788E6D6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5C76A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9BC017F">
            <w:pPr>
              <w:pStyle w:val="41"/>
              <w:rPr>
                <w:rFonts w:hint="eastAsia" w:cs="方正仿宋_GBK"/>
                <w:sz w:val="20"/>
                <w:szCs w:val="20"/>
                <w:lang w:bidi="ar"/>
              </w:rPr>
            </w:pPr>
          </w:p>
        </w:tc>
        <w:tc>
          <w:tcPr>
            <w:tcW w:w="0" w:type="auto"/>
            <w:vMerge w:val="continue"/>
            <w:shd w:val="clear" w:color="auto" w:fill="auto"/>
            <w:vAlign w:val="center"/>
          </w:tcPr>
          <w:p w14:paraId="4C924C8A">
            <w:pPr>
              <w:pStyle w:val="41"/>
              <w:rPr>
                <w:rFonts w:hint="eastAsia" w:cs="方正仿宋_GBK"/>
                <w:sz w:val="20"/>
                <w:szCs w:val="20"/>
                <w:lang w:bidi="ar"/>
              </w:rPr>
            </w:pPr>
          </w:p>
        </w:tc>
        <w:tc>
          <w:tcPr>
            <w:tcW w:w="0" w:type="auto"/>
            <w:shd w:val="clear" w:color="auto" w:fill="auto"/>
            <w:vAlign w:val="center"/>
          </w:tcPr>
          <w:p w14:paraId="238F171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42</w:t>
            </w:r>
          </w:p>
        </w:tc>
        <w:tc>
          <w:tcPr>
            <w:tcW w:w="0" w:type="auto"/>
            <w:shd w:val="clear" w:color="auto" w:fill="auto"/>
            <w:vAlign w:val="center"/>
          </w:tcPr>
          <w:p w14:paraId="43756F5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完整居住社区覆盖率（%）</w:t>
            </w:r>
          </w:p>
        </w:tc>
        <w:tc>
          <w:tcPr>
            <w:tcW w:w="4657" w:type="dxa"/>
            <w:shd w:val="clear" w:color="auto" w:fill="auto"/>
            <w:vAlign w:val="center"/>
          </w:tcPr>
          <w:p w14:paraId="0B3E7B3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市辖区建成区内达到《完整居住社区建设标准（试行）》的居住社区数量，占居住社区总数的百分比。</w:t>
            </w:r>
          </w:p>
        </w:tc>
        <w:tc>
          <w:tcPr>
            <w:tcW w:w="1412" w:type="dxa"/>
            <w:shd w:val="clear" w:color="auto" w:fill="auto"/>
            <w:vAlign w:val="center"/>
          </w:tcPr>
          <w:p w14:paraId="7708949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39.7</w:t>
            </w:r>
          </w:p>
        </w:tc>
        <w:tc>
          <w:tcPr>
            <w:tcW w:w="1703" w:type="dxa"/>
            <w:shd w:val="clear" w:color="auto" w:fill="auto"/>
            <w:vAlign w:val="center"/>
          </w:tcPr>
          <w:p w14:paraId="1F39288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≥45%</w:t>
            </w:r>
          </w:p>
        </w:tc>
        <w:tc>
          <w:tcPr>
            <w:tcW w:w="0" w:type="auto"/>
            <w:shd w:val="clear" w:color="auto" w:fill="auto"/>
            <w:vAlign w:val="center"/>
          </w:tcPr>
          <w:p w14:paraId="6ED42AB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市住建局、各街道办、市卫健委、社区管理员或专业人员现场调研填报</w:t>
            </w:r>
          </w:p>
        </w:tc>
      </w:tr>
      <w:tr w14:paraId="29FE1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E063319">
            <w:pPr>
              <w:pStyle w:val="41"/>
              <w:rPr>
                <w:rFonts w:hint="eastAsia" w:cs="方正仿宋_GBK"/>
                <w:sz w:val="20"/>
                <w:szCs w:val="20"/>
                <w:lang w:bidi="ar"/>
              </w:rPr>
            </w:pPr>
          </w:p>
        </w:tc>
        <w:tc>
          <w:tcPr>
            <w:tcW w:w="0" w:type="auto"/>
            <w:vMerge w:val="continue"/>
            <w:shd w:val="clear" w:color="auto" w:fill="auto"/>
            <w:vAlign w:val="center"/>
          </w:tcPr>
          <w:p w14:paraId="5EE326BD">
            <w:pPr>
              <w:pStyle w:val="41"/>
              <w:rPr>
                <w:rFonts w:hint="eastAsia" w:cs="方正仿宋_GBK"/>
                <w:sz w:val="20"/>
                <w:szCs w:val="20"/>
                <w:lang w:bidi="ar"/>
              </w:rPr>
            </w:pPr>
          </w:p>
        </w:tc>
        <w:tc>
          <w:tcPr>
            <w:tcW w:w="0" w:type="auto"/>
            <w:shd w:val="clear" w:color="auto" w:fill="auto"/>
            <w:vAlign w:val="center"/>
          </w:tcPr>
          <w:p w14:paraId="4B5206A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43</w:t>
            </w:r>
          </w:p>
        </w:tc>
        <w:tc>
          <w:tcPr>
            <w:tcW w:w="0" w:type="auto"/>
            <w:shd w:val="clear" w:color="auto" w:fill="auto"/>
            <w:vAlign w:val="center"/>
          </w:tcPr>
          <w:p w14:paraId="24D57D3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社区便民服务设施覆盖率（%）</w:t>
            </w:r>
          </w:p>
        </w:tc>
        <w:tc>
          <w:tcPr>
            <w:tcW w:w="4657" w:type="dxa"/>
            <w:shd w:val="clear" w:color="auto" w:fill="auto"/>
            <w:vAlign w:val="center"/>
          </w:tcPr>
          <w:p w14:paraId="2D31BDA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市辖区建成区建有便民超市、快递点、再生资源回收网点、综合服务等公共服务的社区数占社区总量的比例。</w:t>
            </w:r>
          </w:p>
        </w:tc>
        <w:tc>
          <w:tcPr>
            <w:tcW w:w="1412" w:type="dxa"/>
            <w:shd w:val="clear" w:color="auto" w:fill="auto"/>
            <w:vAlign w:val="center"/>
          </w:tcPr>
          <w:p w14:paraId="6845E0F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5BD39AF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≥90%</w:t>
            </w:r>
          </w:p>
        </w:tc>
        <w:tc>
          <w:tcPr>
            <w:tcW w:w="0" w:type="auto"/>
            <w:shd w:val="clear" w:color="auto" w:fill="auto"/>
            <w:vAlign w:val="center"/>
          </w:tcPr>
          <w:p w14:paraId="5FED345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大数据、各街道办区、社区管理员或专业人员现场调研填报</w:t>
            </w:r>
          </w:p>
        </w:tc>
      </w:tr>
      <w:tr w14:paraId="15E37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0" w:type="auto"/>
            <w:vMerge w:val="continue"/>
            <w:shd w:val="clear" w:color="auto" w:fill="auto"/>
            <w:vAlign w:val="center"/>
          </w:tcPr>
          <w:p w14:paraId="13E2A774">
            <w:pPr>
              <w:pStyle w:val="41"/>
              <w:rPr>
                <w:rFonts w:hint="eastAsia" w:cs="方正仿宋_GBK"/>
                <w:sz w:val="20"/>
                <w:szCs w:val="20"/>
                <w:lang w:bidi="ar"/>
              </w:rPr>
            </w:pPr>
          </w:p>
        </w:tc>
        <w:tc>
          <w:tcPr>
            <w:tcW w:w="0" w:type="auto"/>
            <w:vMerge w:val="continue"/>
            <w:shd w:val="clear" w:color="auto" w:fill="auto"/>
            <w:vAlign w:val="center"/>
          </w:tcPr>
          <w:p w14:paraId="793EBA2B">
            <w:pPr>
              <w:pStyle w:val="41"/>
              <w:rPr>
                <w:rFonts w:hint="eastAsia" w:cs="方正仿宋_GBK"/>
                <w:sz w:val="20"/>
                <w:szCs w:val="20"/>
                <w:lang w:bidi="ar"/>
              </w:rPr>
            </w:pPr>
          </w:p>
        </w:tc>
        <w:tc>
          <w:tcPr>
            <w:tcW w:w="0" w:type="auto"/>
            <w:shd w:val="clear" w:color="auto" w:fill="auto"/>
            <w:vAlign w:val="center"/>
          </w:tcPr>
          <w:p w14:paraId="76790A3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44</w:t>
            </w:r>
          </w:p>
        </w:tc>
        <w:tc>
          <w:tcPr>
            <w:tcW w:w="0" w:type="auto"/>
            <w:shd w:val="clear" w:color="auto" w:fill="auto"/>
            <w:vAlign w:val="center"/>
          </w:tcPr>
          <w:p w14:paraId="1C88DC5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人均预期寿命（岁）</w:t>
            </w:r>
          </w:p>
        </w:tc>
        <w:tc>
          <w:tcPr>
            <w:tcW w:w="4657" w:type="dxa"/>
            <w:shd w:val="clear" w:color="auto" w:fill="auto"/>
            <w:vAlign w:val="center"/>
          </w:tcPr>
          <w:p w14:paraId="49797D5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对市辖区内人均寿命进行预测</w:t>
            </w:r>
          </w:p>
        </w:tc>
        <w:tc>
          <w:tcPr>
            <w:tcW w:w="1412" w:type="dxa"/>
            <w:shd w:val="clear" w:color="auto" w:fill="auto"/>
            <w:vAlign w:val="center"/>
          </w:tcPr>
          <w:p w14:paraId="54C9A7D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80.69</w:t>
            </w:r>
          </w:p>
        </w:tc>
        <w:tc>
          <w:tcPr>
            <w:tcW w:w="1703" w:type="dxa"/>
            <w:shd w:val="clear" w:color="auto" w:fill="auto"/>
            <w:vAlign w:val="center"/>
          </w:tcPr>
          <w:p w14:paraId="57383F3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市辖区≥78.3岁的人群</w:t>
            </w:r>
          </w:p>
        </w:tc>
        <w:tc>
          <w:tcPr>
            <w:tcW w:w="0" w:type="auto"/>
            <w:shd w:val="clear" w:color="auto" w:fill="auto"/>
            <w:vAlign w:val="center"/>
          </w:tcPr>
          <w:p w14:paraId="23DDFA9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市卫健委、官方预测数据、行业部门调查预测数据</w:t>
            </w:r>
          </w:p>
        </w:tc>
      </w:tr>
      <w:tr w14:paraId="5CDA7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trPr>
        <w:tc>
          <w:tcPr>
            <w:tcW w:w="0" w:type="auto"/>
            <w:vMerge w:val="continue"/>
            <w:shd w:val="clear" w:color="auto" w:fill="auto"/>
            <w:vAlign w:val="center"/>
          </w:tcPr>
          <w:p w14:paraId="53264815">
            <w:pPr>
              <w:pStyle w:val="41"/>
              <w:rPr>
                <w:rFonts w:hint="eastAsia" w:cs="方正仿宋_GBK"/>
                <w:sz w:val="20"/>
                <w:szCs w:val="20"/>
                <w:lang w:bidi="ar"/>
              </w:rPr>
            </w:pPr>
          </w:p>
        </w:tc>
        <w:tc>
          <w:tcPr>
            <w:tcW w:w="0" w:type="auto"/>
            <w:vMerge w:val="restart"/>
            <w:shd w:val="clear" w:color="auto" w:fill="auto"/>
            <w:vAlign w:val="center"/>
          </w:tcPr>
          <w:p w14:paraId="7EA8411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历史文化保护利用</w:t>
            </w:r>
          </w:p>
        </w:tc>
        <w:tc>
          <w:tcPr>
            <w:tcW w:w="0" w:type="auto"/>
            <w:shd w:val="clear" w:color="auto" w:fill="auto"/>
            <w:vAlign w:val="center"/>
          </w:tcPr>
          <w:p w14:paraId="17D60C0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45</w:t>
            </w:r>
          </w:p>
        </w:tc>
        <w:tc>
          <w:tcPr>
            <w:tcW w:w="0" w:type="auto"/>
            <w:shd w:val="clear" w:color="auto" w:fill="auto"/>
            <w:vAlign w:val="center"/>
          </w:tcPr>
          <w:p w14:paraId="099898B4">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历史文化街区、历史建筑挂牌建档率（%）</w:t>
            </w:r>
          </w:p>
        </w:tc>
        <w:tc>
          <w:tcPr>
            <w:tcW w:w="4657" w:type="dxa"/>
            <w:shd w:val="clear" w:color="auto" w:fill="auto"/>
            <w:vAlign w:val="center"/>
          </w:tcPr>
          <w:p w14:paraId="3E26E64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历史文化街区、历史建筑挂牌建档率达到100%的目标，调查分析市辖区内完成挂牌建档的历史文化街区、历史建筑数量，占已认定并公布的历史文化街区、历史建筑总数量的百分比，查找历史文化名城、名镇、名村（传统村落）、街区、历史建筑和历史地段等各类保护对象测绘、建档、挂牌等方面存在的问题。</w:t>
            </w:r>
          </w:p>
        </w:tc>
        <w:tc>
          <w:tcPr>
            <w:tcW w:w="1412" w:type="dxa"/>
            <w:shd w:val="clear" w:color="auto" w:fill="auto"/>
            <w:vAlign w:val="center"/>
          </w:tcPr>
          <w:p w14:paraId="755D87D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2032011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396117C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52248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 w:hRule="atLeast"/>
        </w:trPr>
        <w:tc>
          <w:tcPr>
            <w:tcW w:w="0" w:type="auto"/>
            <w:vMerge w:val="continue"/>
            <w:shd w:val="clear" w:color="auto" w:fill="auto"/>
            <w:vAlign w:val="center"/>
          </w:tcPr>
          <w:p w14:paraId="43EBD5C0">
            <w:pPr>
              <w:pStyle w:val="41"/>
              <w:rPr>
                <w:rFonts w:hint="eastAsia" w:cs="方正仿宋_GBK"/>
                <w:sz w:val="20"/>
                <w:szCs w:val="20"/>
                <w:lang w:bidi="ar"/>
              </w:rPr>
            </w:pPr>
          </w:p>
        </w:tc>
        <w:tc>
          <w:tcPr>
            <w:tcW w:w="0" w:type="auto"/>
            <w:vMerge w:val="continue"/>
            <w:shd w:val="clear" w:color="auto" w:fill="auto"/>
            <w:vAlign w:val="center"/>
          </w:tcPr>
          <w:p w14:paraId="497404DC">
            <w:pPr>
              <w:pStyle w:val="41"/>
              <w:rPr>
                <w:rFonts w:hint="eastAsia" w:cs="方正仿宋_GBK"/>
                <w:sz w:val="20"/>
                <w:szCs w:val="20"/>
                <w:lang w:bidi="ar"/>
              </w:rPr>
            </w:pPr>
          </w:p>
        </w:tc>
        <w:tc>
          <w:tcPr>
            <w:tcW w:w="0" w:type="auto"/>
            <w:shd w:val="clear" w:color="auto" w:fill="auto"/>
            <w:vAlign w:val="center"/>
          </w:tcPr>
          <w:p w14:paraId="02EB4B2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46</w:t>
            </w:r>
          </w:p>
        </w:tc>
        <w:tc>
          <w:tcPr>
            <w:tcW w:w="0" w:type="auto"/>
            <w:shd w:val="clear" w:color="auto" w:fill="auto"/>
            <w:vAlign w:val="center"/>
          </w:tcPr>
          <w:p w14:paraId="17AF123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历史建筑空置率（%）</w:t>
            </w:r>
          </w:p>
        </w:tc>
        <w:tc>
          <w:tcPr>
            <w:tcW w:w="4657" w:type="dxa"/>
            <w:shd w:val="clear" w:color="auto" w:fill="auto"/>
            <w:vAlign w:val="center"/>
          </w:tcPr>
          <w:p w14:paraId="325A121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市辖区内闲置半年以上的历史建筑数量，占公布的历史建筑总数的百分比，查找城市历史建筑活化利用、以用促保等方面存在的问题。对于通过修缮完善的历史建筑，查找产权主体单位是否对建筑的活化利用开展相关投入、经营。对于尚未开展修缮完善的历史建筑，符合历史建筑的安全质量评定的，应鼓励民间力量开展活化利用。</w:t>
            </w:r>
          </w:p>
        </w:tc>
        <w:tc>
          <w:tcPr>
            <w:tcW w:w="1412" w:type="dxa"/>
            <w:shd w:val="clear" w:color="auto" w:fill="auto"/>
            <w:vAlign w:val="center"/>
          </w:tcPr>
          <w:p w14:paraId="4475960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6E08C2C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w:t>
            </w:r>
          </w:p>
        </w:tc>
        <w:tc>
          <w:tcPr>
            <w:tcW w:w="0" w:type="auto"/>
            <w:shd w:val="clear" w:color="auto" w:fill="auto"/>
            <w:vAlign w:val="center"/>
          </w:tcPr>
          <w:p w14:paraId="61248C3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76684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9" w:hRule="atLeast"/>
        </w:trPr>
        <w:tc>
          <w:tcPr>
            <w:tcW w:w="0" w:type="auto"/>
            <w:vMerge w:val="continue"/>
            <w:shd w:val="clear" w:color="auto" w:fill="auto"/>
            <w:vAlign w:val="center"/>
          </w:tcPr>
          <w:p w14:paraId="5D91DC04">
            <w:pPr>
              <w:pStyle w:val="41"/>
              <w:rPr>
                <w:rFonts w:hint="eastAsia" w:cs="方正仿宋_GBK"/>
                <w:sz w:val="20"/>
                <w:szCs w:val="20"/>
                <w:lang w:bidi="ar"/>
              </w:rPr>
            </w:pPr>
          </w:p>
        </w:tc>
        <w:tc>
          <w:tcPr>
            <w:tcW w:w="0" w:type="auto"/>
            <w:vMerge w:val="continue"/>
            <w:shd w:val="clear" w:color="auto" w:fill="auto"/>
            <w:vAlign w:val="center"/>
          </w:tcPr>
          <w:p w14:paraId="3FB273AC">
            <w:pPr>
              <w:pStyle w:val="41"/>
              <w:rPr>
                <w:rFonts w:hint="eastAsia" w:cs="方正仿宋_GBK"/>
                <w:sz w:val="20"/>
                <w:szCs w:val="20"/>
                <w:lang w:bidi="ar"/>
              </w:rPr>
            </w:pPr>
          </w:p>
        </w:tc>
        <w:tc>
          <w:tcPr>
            <w:tcW w:w="0" w:type="auto"/>
            <w:shd w:val="clear" w:color="auto" w:fill="auto"/>
            <w:vAlign w:val="center"/>
          </w:tcPr>
          <w:p w14:paraId="3C0C6EB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47</w:t>
            </w:r>
          </w:p>
        </w:tc>
        <w:tc>
          <w:tcPr>
            <w:tcW w:w="0" w:type="auto"/>
            <w:shd w:val="clear" w:color="auto" w:fill="auto"/>
            <w:vAlign w:val="center"/>
          </w:tcPr>
          <w:p w14:paraId="4401400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历史文化资源遭受破坏的负面事件数量（起）</w:t>
            </w:r>
          </w:p>
        </w:tc>
        <w:tc>
          <w:tcPr>
            <w:tcW w:w="4657" w:type="dxa"/>
            <w:shd w:val="clear" w:color="auto" w:fill="auto"/>
            <w:vAlign w:val="center"/>
          </w:tcPr>
          <w:p w14:paraId="7F01E73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调查市辖区内文物建筑、历史建筑和各类具有保护价值的建筑，以及古树名木等历史环境要素遭受破坏的负面事件数量，查找城乡建设中历史文化遗产遭破坏、拆除，大规模搬迁原住居民等方面的问题。</w:t>
            </w:r>
          </w:p>
        </w:tc>
        <w:tc>
          <w:tcPr>
            <w:tcW w:w="1412" w:type="dxa"/>
            <w:shd w:val="clear" w:color="auto" w:fill="auto"/>
            <w:vAlign w:val="center"/>
          </w:tcPr>
          <w:p w14:paraId="07101C4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101A581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0起</w:t>
            </w:r>
          </w:p>
        </w:tc>
        <w:tc>
          <w:tcPr>
            <w:tcW w:w="0" w:type="auto"/>
            <w:shd w:val="clear" w:color="auto" w:fill="auto"/>
            <w:vAlign w:val="center"/>
          </w:tcPr>
          <w:p w14:paraId="5DB1507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2453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0" w:type="auto"/>
            <w:vMerge w:val="continue"/>
            <w:shd w:val="clear" w:color="auto" w:fill="auto"/>
            <w:vAlign w:val="center"/>
          </w:tcPr>
          <w:p w14:paraId="19B373CF">
            <w:pPr>
              <w:pStyle w:val="41"/>
              <w:rPr>
                <w:rFonts w:hint="eastAsia" w:cs="方正仿宋_GBK"/>
                <w:sz w:val="20"/>
                <w:szCs w:val="20"/>
                <w:lang w:bidi="ar"/>
              </w:rPr>
            </w:pPr>
          </w:p>
        </w:tc>
        <w:tc>
          <w:tcPr>
            <w:tcW w:w="0" w:type="auto"/>
            <w:vMerge w:val="continue"/>
            <w:shd w:val="clear" w:color="auto" w:fill="auto"/>
            <w:vAlign w:val="center"/>
          </w:tcPr>
          <w:p w14:paraId="146E7CFB">
            <w:pPr>
              <w:pStyle w:val="41"/>
              <w:rPr>
                <w:rFonts w:hint="eastAsia" w:cs="方正仿宋_GBK"/>
                <w:sz w:val="20"/>
                <w:szCs w:val="20"/>
                <w:lang w:bidi="ar"/>
              </w:rPr>
            </w:pPr>
          </w:p>
        </w:tc>
        <w:tc>
          <w:tcPr>
            <w:tcW w:w="0" w:type="auto"/>
            <w:shd w:val="clear" w:color="auto" w:fill="auto"/>
            <w:vAlign w:val="center"/>
          </w:tcPr>
          <w:p w14:paraId="6DBD662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48</w:t>
            </w:r>
          </w:p>
        </w:tc>
        <w:tc>
          <w:tcPr>
            <w:tcW w:w="0" w:type="auto"/>
            <w:shd w:val="clear" w:color="auto" w:fill="auto"/>
            <w:vAlign w:val="center"/>
          </w:tcPr>
          <w:p w14:paraId="1605A0A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擅自拆除历史文化街区内建筑物、构筑物的数量（栋）</w:t>
            </w:r>
          </w:p>
        </w:tc>
        <w:tc>
          <w:tcPr>
            <w:tcW w:w="4657" w:type="dxa"/>
            <w:shd w:val="clear" w:color="auto" w:fill="auto"/>
            <w:vAlign w:val="center"/>
          </w:tcPr>
          <w:p w14:paraId="70F09AC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调查市辖区历史文化街区核心保护范围内，未经有关部门批准，拆除历史建筑以外的建筑物、构筑物或者其他设施的数量，查找违规拆除或审批管理机制不健全等方面的问题。</w:t>
            </w:r>
          </w:p>
        </w:tc>
        <w:tc>
          <w:tcPr>
            <w:tcW w:w="1412" w:type="dxa"/>
            <w:shd w:val="clear" w:color="auto" w:fill="auto"/>
            <w:vAlign w:val="center"/>
          </w:tcPr>
          <w:p w14:paraId="596DBC8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61E6356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0栋</w:t>
            </w:r>
          </w:p>
        </w:tc>
        <w:tc>
          <w:tcPr>
            <w:tcW w:w="0" w:type="auto"/>
            <w:shd w:val="clear" w:color="auto" w:fill="auto"/>
            <w:vAlign w:val="center"/>
          </w:tcPr>
          <w:p w14:paraId="579C5AC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73756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34BDFA69">
            <w:pPr>
              <w:pStyle w:val="41"/>
              <w:rPr>
                <w:rFonts w:hint="eastAsia" w:cs="方正仿宋_GBK"/>
                <w:sz w:val="20"/>
                <w:szCs w:val="20"/>
                <w:lang w:bidi="ar"/>
              </w:rPr>
            </w:pPr>
          </w:p>
        </w:tc>
        <w:tc>
          <w:tcPr>
            <w:tcW w:w="0" w:type="auto"/>
            <w:vMerge w:val="continue"/>
            <w:shd w:val="clear" w:color="auto" w:fill="auto"/>
            <w:vAlign w:val="center"/>
          </w:tcPr>
          <w:p w14:paraId="773C632F">
            <w:pPr>
              <w:pStyle w:val="41"/>
              <w:rPr>
                <w:rFonts w:hint="eastAsia" w:cs="方正仿宋_GBK"/>
                <w:sz w:val="20"/>
                <w:szCs w:val="20"/>
                <w:lang w:bidi="ar"/>
              </w:rPr>
            </w:pPr>
          </w:p>
        </w:tc>
        <w:tc>
          <w:tcPr>
            <w:tcW w:w="0" w:type="auto"/>
            <w:shd w:val="clear" w:color="auto" w:fill="auto"/>
            <w:vAlign w:val="center"/>
          </w:tcPr>
          <w:p w14:paraId="62B6087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49</w:t>
            </w:r>
          </w:p>
        </w:tc>
        <w:tc>
          <w:tcPr>
            <w:tcW w:w="0" w:type="auto"/>
            <w:shd w:val="clear" w:color="auto" w:fill="auto"/>
            <w:vAlign w:val="center"/>
          </w:tcPr>
          <w:p w14:paraId="7C70C4E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当年各类保护对象增加数量（个）</w:t>
            </w:r>
          </w:p>
        </w:tc>
        <w:tc>
          <w:tcPr>
            <w:tcW w:w="4657" w:type="dxa"/>
            <w:shd w:val="clear" w:color="auto" w:fill="auto"/>
            <w:vAlign w:val="center"/>
          </w:tcPr>
          <w:p w14:paraId="0D3DD64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调查市辖区内已认定公布的历史文化街区、不可移动文物、历史建筑、历史地段、工业遗产等保护对象数量比上年度增加数量，查找历史文化资源调查评估机制不健全，未做到应保尽保的问题。</w:t>
            </w:r>
          </w:p>
        </w:tc>
        <w:tc>
          <w:tcPr>
            <w:tcW w:w="1412" w:type="dxa"/>
            <w:shd w:val="clear" w:color="auto" w:fill="auto"/>
            <w:vAlign w:val="center"/>
          </w:tcPr>
          <w:p w14:paraId="185293C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32FAEF7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≥0个</w:t>
            </w:r>
          </w:p>
        </w:tc>
        <w:tc>
          <w:tcPr>
            <w:tcW w:w="0" w:type="auto"/>
            <w:shd w:val="clear" w:color="auto" w:fill="auto"/>
            <w:vAlign w:val="center"/>
          </w:tcPr>
          <w:p w14:paraId="5FC0687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3C889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799285E4">
            <w:pPr>
              <w:pStyle w:val="41"/>
              <w:rPr>
                <w:rFonts w:hint="eastAsia" w:cs="方正仿宋_GBK"/>
                <w:sz w:val="20"/>
                <w:szCs w:val="20"/>
                <w:lang w:bidi="ar"/>
              </w:rPr>
            </w:pPr>
          </w:p>
        </w:tc>
        <w:tc>
          <w:tcPr>
            <w:tcW w:w="0" w:type="auto"/>
            <w:vMerge w:val="restart"/>
            <w:shd w:val="clear" w:color="auto" w:fill="auto"/>
            <w:vAlign w:val="center"/>
          </w:tcPr>
          <w:p w14:paraId="05277C0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产城融合职住平衡</w:t>
            </w:r>
          </w:p>
        </w:tc>
        <w:tc>
          <w:tcPr>
            <w:tcW w:w="0" w:type="auto"/>
            <w:shd w:val="clear" w:color="auto" w:fill="auto"/>
            <w:vAlign w:val="center"/>
          </w:tcPr>
          <w:p w14:paraId="56CE10A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50</w:t>
            </w:r>
          </w:p>
        </w:tc>
        <w:tc>
          <w:tcPr>
            <w:tcW w:w="0" w:type="auto"/>
            <w:shd w:val="clear" w:color="auto" w:fill="auto"/>
            <w:vAlign w:val="center"/>
          </w:tcPr>
          <w:p w14:paraId="3A61B70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城市高峰期机动车平均速度（千米/小时）</w:t>
            </w:r>
          </w:p>
        </w:tc>
        <w:tc>
          <w:tcPr>
            <w:tcW w:w="4657" w:type="dxa"/>
            <w:shd w:val="clear" w:color="auto" w:fill="auto"/>
            <w:vAlign w:val="center"/>
          </w:tcPr>
          <w:p w14:paraId="51B751A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按照城市快速路、主干路早晚高峰期平均车速分别不低于30km/h、20km/h的标准要求，调查工作日早晚高峰时段城市主干路及以上等级道路上各类机动车的平均行驶速度，查找城市交通拥堵情况。</w:t>
            </w:r>
          </w:p>
        </w:tc>
        <w:tc>
          <w:tcPr>
            <w:tcW w:w="1412" w:type="dxa"/>
            <w:shd w:val="clear" w:color="auto" w:fill="auto"/>
            <w:vAlign w:val="center"/>
          </w:tcPr>
          <w:p w14:paraId="00C4197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30.21</w:t>
            </w:r>
          </w:p>
        </w:tc>
        <w:tc>
          <w:tcPr>
            <w:tcW w:w="1703" w:type="dxa"/>
            <w:shd w:val="clear" w:color="auto" w:fill="auto"/>
            <w:vAlign w:val="center"/>
          </w:tcPr>
          <w:p w14:paraId="7E107FC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快速路≥30千米/小时；主干路≥20千米/小时；次干路≥15千米/小时</w:t>
            </w:r>
          </w:p>
        </w:tc>
        <w:tc>
          <w:tcPr>
            <w:tcW w:w="0" w:type="auto"/>
            <w:shd w:val="clear" w:color="auto" w:fill="auto"/>
            <w:vAlign w:val="center"/>
          </w:tcPr>
          <w:p w14:paraId="5A02E7E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市公安局、官方统计数据、行业部门调查统计数据</w:t>
            </w:r>
          </w:p>
        </w:tc>
      </w:tr>
      <w:tr w14:paraId="04D57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6018DE76">
            <w:pPr>
              <w:pStyle w:val="41"/>
              <w:rPr>
                <w:rFonts w:hint="eastAsia" w:cs="方正仿宋_GBK"/>
                <w:sz w:val="20"/>
                <w:szCs w:val="20"/>
                <w:lang w:bidi="ar"/>
              </w:rPr>
            </w:pPr>
          </w:p>
        </w:tc>
        <w:tc>
          <w:tcPr>
            <w:tcW w:w="0" w:type="auto"/>
            <w:vMerge w:val="continue"/>
            <w:shd w:val="clear" w:color="auto" w:fill="auto"/>
            <w:vAlign w:val="center"/>
          </w:tcPr>
          <w:p w14:paraId="351B3D8B">
            <w:pPr>
              <w:pStyle w:val="41"/>
              <w:rPr>
                <w:rFonts w:hint="eastAsia" w:cs="方正仿宋_GBK"/>
                <w:sz w:val="20"/>
                <w:szCs w:val="20"/>
                <w:lang w:bidi="ar"/>
              </w:rPr>
            </w:pPr>
          </w:p>
        </w:tc>
        <w:tc>
          <w:tcPr>
            <w:tcW w:w="0" w:type="auto"/>
            <w:shd w:val="clear" w:color="auto" w:fill="auto"/>
            <w:vAlign w:val="center"/>
          </w:tcPr>
          <w:p w14:paraId="7114CDD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51</w:t>
            </w:r>
          </w:p>
        </w:tc>
        <w:tc>
          <w:tcPr>
            <w:tcW w:w="0" w:type="auto"/>
            <w:shd w:val="clear" w:color="auto" w:fill="auto"/>
            <w:vAlign w:val="center"/>
          </w:tcPr>
          <w:p w14:paraId="4628C057">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年度保障性住房占比（%）</w:t>
            </w:r>
          </w:p>
        </w:tc>
        <w:tc>
          <w:tcPr>
            <w:tcW w:w="4657" w:type="dxa"/>
            <w:shd w:val="clear" w:color="auto" w:fill="auto"/>
            <w:vAlign w:val="center"/>
          </w:tcPr>
          <w:p w14:paraId="2467955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调查分析当年市辖区新郑保障性住房占当年新增住房供应的比例，摸清保障性住房需求与供应情况。</w:t>
            </w:r>
          </w:p>
        </w:tc>
        <w:tc>
          <w:tcPr>
            <w:tcW w:w="1412" w:type="dxa"/>
            <w:shd w:val="clear" w:color="auto" w:fill="auto"/>
            <w:vAlign w:val="center"/>
          </w:tcPr>
          <w:p w14:paraId="34D9B66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24</w:t>
            </w:r>
          </w:p>
        </w:tc>
        <w:tc>
          <w:tcPr>
            <w:tcW w:w="1703" w:type="dxa"/>
            <w:shd w:val="clear" w:color="auto" w:fill="auto"/>
            <w:vAlign w:val="center"/>
          </w:tcPr>
          <w:p w14:paraId="1F3747F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结合实际工作确定</w:t>
            </w:r>
          </w:p>
        </w:tc>
        <w:tc>
          <w:tcPr>
            <w:tcW w:w="0" w:type="auto"/>
            <w:shd w:val="clear" w:color="auto" w:fill="auto"/>
            <w:vAlign w:val="center"/>
          </w:tcPr>
          <w:p w14:paraId="26CF96B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3E092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BB8DB23">
            <w:pPr>
              <w:pStyle w:val="41"/>
              <w:rPr>
                <w:rFonts w:hint="eastAsia" w:cs="方正仿宋_GBK"/>
                <w:sz w:val="20"/>
                <w:szCs w:val="20"/>
                <w:lang w:bidi="ar"/>
              </w:rPr>
            </w:pPr>
          </w:p>
        </w:tc>
        <w:tc>
          <w:tcPr>
            <w:tcW w:w="0" w:type="auto"/>
            <w:vMerge w:val="continue"/>
            <w:shd w:val="clear" w:color="auto" w:fill="auto"/>
            <w:vAlign w:val="center"/>
          </w:tcPr>
          <w:p w14:paraId="4DBB8157">
            <w:pPr>
              <w:pStyle w:val="41"/>
              <w:rPr>
                <w:rFonts w:hint="eastAsia" w:cs="方正仿宋_GBK"/>
                <w:sz w:val="20"/>
                <w:szCs w:val="20"/>
                <w:lang w:bidi="ar"/>
              </w:rPr>
            </w:pPr>
          </w:p>
        </w:tc>
        <w:tc>
          <w:tcPr>
            <w:tcW w:w="0" w:type="auto"/>
            <w:shd w:val="clear" w:color="auto" w:fill="auto"/>
            <w:vAlign w:val="center"/>
          </w:tcPr>
          <w:p w14:paraId="2D5DC63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52</w:t>
            </w:r>
          </w:p>
        </w:tc>
        <w:tc>
          <w:tcPr>
            <w:tcW w:w="0" w:type="auto"/>
            <w:shd w:val="clear" w:color="auto" w:fill="auto"/>
            <w:vAlign w:val="center"/>
          </w:tcPr>
          <w:p w14:paraId="0189FD2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城中村改造完成率（%）</w:t>
            </w:r>
          </w:p>
        </w:tc>
        <w:tc>
          <w:tcPr>
            <w:tcW w:w="4657" w:type="dxa"/>
            <w:shd w:val="clear" w:color="auto" w:fill="auto"/>
            <w:vAlign w:val="center"/>
          </w:tcPr>
          <w:p w14:paraId="25C0A9F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调查当年完成改造的城中村数量，占城镇开发边界内各类需要改造城中村总数量的比例，摸清本区域内城中村总量、分布、规模以及改造情况。</w:t>
            </w:r>
          </w:p>
        </w:tc>
        <w:tc>
          <w:tcPr>
            <w:tcW w:w="1412" w:type="dxa"/>
            <w:shd w:val="clear" w:color="auto" w:fill="auto"/>
            <w:vAlign w:val="center"/>
          </w:tcPr>
          <w:p w14:paraId="6B452D7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57ED1CA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结合实际工作确定</w:t>
            </w:r>
          </w:p>
        </w:tc>
        <w:tc>
          <w:tcPr>
            <w:tcW w:w="0" w:type="auto"/>
            <w:shd w:val="clear" w:color="auto" w:fill="auto"/>
            <w:vAlign w:val="center"/>
          </w:tcPr>
          <w:p w14:paraId="3E72328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4DD7B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12073E9">
            <w:pPr>
              <w:pStyle w:val="41"/>
              <w:rPr>
                <w:rFonts w:hint="eastAsia" w:cs="方正仿宋_GBK"/>
                <w:sz w:val="20"/>
                <w:szCs w:val="20"/>
                <w:lang w:bidi="ar"/>
              </w:rPr>
            </w:pPr>
          </w:p>
        </w:tc>
        <w:tc>
          <w:tcPr>
            <w:tcW w:w="0" w:type="auto"/>
            <w:vMerge w:val="restart"/>
            <w:shd w:val="clear" w:color="auto" w:fill="auto"/>
            <w:vAlign w:val="center"/>
          </w:tcPr>
          <w:p w14:paraId="550B65C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安全韧性</w:t>
            </w:r>
          </w:p>
        </w:tc>
        <w:tc>
          <w:tcPr>
            <w:tcW w:w="0" w:type="auto"/>
            <w:shd w:val="clear" w:color="auto" w:fill="auto"/>
            <w:vAlign w:val="center"/>
          </w:tcPr>
          <w:p w14:paraId="314D06C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53</w:t>
            </w:r>
          </w:p>
        </w:tc>
        <w:tc>
          <w:tcPr>
            <w:tcW w:w="0" w:type="auto"/>
            <w:shd w:val="clear" w:color="auto" w:fill="auto"/>
            <w:vAlign w:val="center"/>
          </w:tcPr>
          <w:p w14:paraId="730999B1">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房屋市政工程安全生产事故数（起）</w:t>
            </w:r>
          </w:p>
        </w:tc>
        <w:tc>
          <w:tcPr>
            <w:tcW w:w="4657" w:type="dxa"/>
            <w:shd w:val="clear" w:color="auto" w:fill="auto"/>
            <w:vAlign w:val="center"/>
          </w:tcPr>
          <w:p w14:paraId="525A0B3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当年市辖区内房屋市政工程生产安全较大及以上事故起数。</w:t>
            </w:r>
          </w:p>
        </w:tc>
        <w:tc>
          <w:tcPr>
            <w:tcW w:w="1412" w:type="dxa"/>
            <w:shd w:val="clear" w:color="auto" w:fill="auto"/>
            <w:vAlign w:val="center"/>
          </w:tcPr>
          <w:p w14:paraId="636E31B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15775FA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0起</w:t>
            </w:r>
          </w:p>
        </w:tc>
        <w:tc>
          <w:tcPr>
            <w:tcW w:w="0" w:type="auto"/>
            <w:shd w:val="clear" w:color="auto" w:fill="auto"/>
            <w:vAlign w:val="center"/>
          </w:tcPr>
          <w:p w14:paraId="1F9C64E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69461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683B1F78">
            <w:pPr>
              <w:pStyle w:val="41"/>
              <w:rPr>
                <w:rFonts w:hint="eastAsia" w:cs="方正仿宋_GBK"/>
                <w:sz w:val="20"/>
                <w:szCs w:val="20"/>
                <w:lang w:bidi="ar"/>
              </w:rPr>
            </w:pPr>
          </w:p>
        </w:tc>
        <w:tc>
          <w:tcPr>
            <w:tcW w:w="0" w:type="auto"/>
            <w:vMerge w:val="continue"/>
            <w:shd w:val="clear" w:color="auto" w:fill="auto"/>
            <w:vAlign w:val="center"/>
          </w:tcPr>
          <w:p w14:paraId="3F332C24">
            <w:pPr>
              <w:pStyle w:val="41"/>
              <w:rPr>
                <w:rFonts w:hint="eastAsia" w:cs="方正仿宋_GBK"/>
                <w:sz w:val="20"/>
                <w:szCs w:val="20"/>
                <w:lang w:bidi="ar"/>
              </w:rPr>
            </w:pPr>
          </w:p>
        </w:tc>
        <w:tc>
          <w:tcPr>
            <w:tcW w:w="0" w:type="auto"/>
            <w:shd w:val="clear" w:color="auto" w:fill="auto"/>
            <w:vAlign w:val="center"/>
          </w:tcPr>
          <w:p w14:paraId="293129F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54</w:t>
            </w:r>
          </w:p>
        </w:tc>
        <w:tc>
          <w:tcPr>
            <w:tcW w:w="0" w:type="auto"/>
            <w:shd w:val="clear" w:color="auto" w:fill="auto"/>
            <w:vAlign w:val="center"/>
          </w:tcPr>
          <w:p w14:paraId="5E247845">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严重易涝积水点数量（个）</w:t>
            </w:r>
          </w:p>
        </w:tc>
        <w:tc>
          <w:tcPr>
            <w:tcW w:w="4657" w:type="dxa"/>
            <w:shd w:val="clear" w:color="auto" w:fill="auto"/>
            <w:vAlign w:val="center"/>
          </w:tcPr>
          <w:p w14:paraId="3826D31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调查市辖区建成区内现存严重影响生产生活秩序的易涝积水点数量，查找城市排水防涝工程体系建设方面的差距和问题。</w:t>
            </w:r>
          </w:p>
        </w:tc>
        <w:tc>
          <w:tcPr>
            <w:tcW w:w="1412" w:type="dxa"/>
            <w:shd w:val="clear" w:color="auto" w:fill="auto"/>
            <w:vAlign w:val="center"/>
          </w:tcPr>
          <w:p w14:paraId="447D2C5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111BD42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结合实际工作要求确定</w:t>
            </w:r>
          </w:p>
        </w:tc>
        <w:tc>
          <w:tcPr>
            <w:tcW w:w="0" w:type="auto"/>
            <w:shd w:val="clear" w:color="auto" w:fill="auto"/>
            <w:vAlign w:val="center"/>
          </w:tcPr>
          <w:p w14:paraId="73A703B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6D572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0D1DF23">
            <w:pPr>
              <w:pStyle w:val="41"/>
              <w:rPr>
                <w:rFonts w:hint="eastAsia" w:cs="方正仿宋_GBK"/>
                <w:sz w:val="20"/>
                <w:szCs w:val="20"/>
                <w:lang w:bidi="ar"/>
              </w:rPr>
            </w:pPr>
          </w:p>
        </w:tc>
        <w:tc>
          <w:tcPr>
            <w:tcW w:w="0" w:type="auto"/>
            <w:vMerge w:val="continue"/>
            <w:shd w:val="clear" w:color="auto" w:fill="auto"/>
            <w:vAlign w:val="center"/>
          </w:tcPr>
          <w:p w14:paraId="4E6A1BC7">
            <w:pPr>
              <w:pStyle w:val="41"/>
              <w:rPr>
                <w:rFonts w:hint="eastAsia" w:cs="方正仿宋_GBK"/>
                <w:sz w:val="20"/>
                <w:szCs w:val="20"/>
                <w:lang w:bidi="ar"/>
              </w:rPr>
            </w:pPr>
          </w:p>
        </w:tc>
        <w:tc>
          <w:tcPr>
            <w:tcW w:w="0" w:type="auto"/>
            <w:shd w:val="clear" w:color="auto" w:fill="auto"/>
            <w:vAlign w:val="center"/>
          </w:tcPr>
          <w:p w14:paraId="57B887D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55</w:t>
            </w:r>
          </w:p>
        </w:tc>
        <w:tc>
          <w:tcPr>
            <w:tcW w:w="0" w:type="auto"/>
            <w:shd w:val="clear" w:color="auto" w:fill="auto"/>
            <w:vAlign w:val="center"/>
          </w:tcPr>
          <w:p w14:paraId="5D41430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城市排水防涝应急抢险能力（立方米/小时）</w:t>
            </w:r>
          </w:p>
        </w:tc>
        <w:tc>
          <w:tcPr>
            <w:tcW w:w="4657" w:type="dxa"/>
            <w:shd w:val="clear" w:color="auto" w:fill="auto"/>
            <w:vAlign w:val="center"/>
          </w:tcPr>
          <w:p w14:paraId="2BB5A5F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关于加强城市内涝治理的实施意见》的要求，调查分析市辖区建成区内配备的排水防涝抽水泵、移动泵车及相应配套的自主发电等排水防涝设施每小时抽排的水量，查找城市排水防涝隐患排查和整治、专用防汛设备和抢险物资配备、应急响应和处置等方面存在的问题。</w:t>
            </w:r>
          </w:p>
        </w:tc>
        <w:tc>
          <w:tcPr>
            <w:tcW w:w="1412" w:type="dxa"/>
            <w:shd w:val="clear" w:color="auto" w:fill="auto"/>
            <w:vAlign w:val="center"/>
          </w:tcPr>
          <w:p w14:paraId="72AD75B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155.87</w:t>
            </w:r>
          </w:p>
        </w:tc>
        <w:tc>
          <w:tcPr>
            <w:tcW w:w="1703" w:type="dxa"/>
            <w:shd w:val="clear" w:color="auto" w:fill="auto"/>
            <w:vAlign w:val="center"/>
          </w:tcPr>
          <w:p w14:paraId="038A883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结合实际工作要求确定</w:t>
            </w:r>
          </w:p>
        </w:tc>
        <w:tc>
          <w:tcPr>
            <w:tcW w:w="0" w:type="auto"/>
            <w:shd w:val="clear" w:color="auto" w:fill="auto"/>
            <w:vAlign w:val="center"/>
          </w:tcPr>
          <w:p w14:paraId="749759A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10CCB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3C10403">
            <w:pPr>
              <w:pStyle w:val="41"/>
              <w:rPr>
                <w:rFonts w:hint="eastAsia" w:cs="方正仿宋_GBK"/>
                <w:sz w:val="20"/>
                <w:szCs w:val="20"/>
                <w:lang w:bidi="ar"/>
              </w:rPr>
            </w:pPr>
          </w:p>
        </w:tc>
        <w:tc>
          <w:tcPr>
            <w:tcW w:w="0" w:type="auto"/>
            <w:vMerge w:val="continue"/>
            <w:shd w:val="clear" w:color="auto" w:fill="auto"/>
            <w:vAlign w:val="center"/>
          </w:tcPr>
          <w:p w14:paraId="5EC3CEB7">
            <w:pPr>
              <w:pStyle w:val="41"/>
              <w:rPr>
                <w:rFonts w:hint="eastAsia" w:cs="方正仿宋_GBK"/>
                <w:sz w:val="20"/>
                <w:szCs w:val="20"/>
                <w:lang w:bidi="ar"/>
              </w:rPr>
            </w:pPr>
          </w:p>
        </w:tc>
        <w:tc>
          <w:tcPr>
            <w:tcW w:w="0" w:type="auto"/>
            <w:shd w:val="clear" w:color="auto" w:fill="auto"/>
            <w:vAlign w:val="center"/>
          </w:tcPr>
          <w:p w14:paraId="18DE245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56</w:t>
            </w:r>
          </w:p>
        </w:tc>
        <w:tc>
          <w:tcPr>
            <w:tcW w:w="0" w:type="auto"/>
            <w:shd w:val="clear" w:color="auto" w:fill="auto"/>
            <w:vAlign w:val="center"/>
          </w:tcPr>
          <w:p w14:paraId="1D24D9A0">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应急供水保障率（%）</w:t>
            </w:r>
          </w:p>
        </w:tc>
        <w:tc>
          <w:tcPr>
            <w:tcW w:w="4657" w:type="dxa"/>
            <w:shd w:val="clear" w:color="auto" w:fill="auto"/>
            <w:vAlign w:val="center"/>
          </w:tcPr>
          <w:p w14:paraId="29BD958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关于加强城市供水安全保障工作的通知》要求，调查市辖区应急供水能力占日常供水能力的比例，分析应急水源或备用水源建设达到《城市供水应急和备用水源工程技术标准》（CJJ/T282-2019）情况、供水应急响应机制建立情况，查找在水源突发污染、旱涝急转等不同风险状况下应急供水能力方面存在的问题。</w:t>
            </w:r>
          </w:p>
        </w:tc>
        <w:tc>
          <w:tcPr>
            <w:tcW w:w="1412" w:type="dxa"/>
            <w:shd w:val="clear" w:color="auto" w:fill="auto"/>
            <w:vAlign w:val="center"/>
          </w:tcPr>
          <w:p w14:paraId="691F5EE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106.25</w:t>
            </w:r>
          </w:p>
        </w:tc>
        <w:tc>
          <w:tcPr>
            <w:tcW w:w="1703" w:type="dxa"/>
            <w:shd w:val="clear" w:color="auto" w:fill="auto"/>
            <w:vAlign w:val="center"/>
          </w:tcPr>
          <w:p w14:paraId="7388701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≥60%</w:t>
            </w:r>
          </w:p>
        </w:tc>
        <w:tc>
          <w:tcPr>
            <w:tcW w:w="0" w:type="auto"/>
            <w:shd w:val="clear" w:color="auto" w:fill="auto"/>
            <w:vAlign w:val="center"/>
          </w:tcPr>
          <w:p w14:paraId="54425BE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01BC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0" w:type="auto"/>
            <w:vMerge w:val="continue"/>
            <w:shd w:val="clear" w:color="auto" w:fill="auto"/>
            <w:vAlign w:val="center"/>
          </w:tcPr>
          <w:p w14:paraId="1975F4C7">
            <w:pPr>
              <w:pStyle w:val="41"/>
              <w:rPr>
                <w:rFonts w:hint="eastAsia" w:cs="方正仿宋_GBK"/>
                <w:sz w:val="20"/>
                <w:szCs w:val="20"/>
                <w:lang w:bidi="ar"/>
              </w:rPr>
            </w:pPr>
          </w:p>
        </w:tc>
        <w:tc>
          <w:tcPr>
            <w:tcW w:w="0" w:type="auto"/>
            <w:vMerge w:val="continue"/>
            <w:shd w:val="clear" w:color="auto" w:fill="auto"/>
            <w:vAlign w:val="center"/>
          </w:tcPr>
          <w:p w14:paraId="5D3C3A40">
            <w:pPr>
              <w:pStyle w:val="41"/>
              <w:rPr>
                <w:rFonts w:hint="eastAsia" w:cs="方正仿宋_GBK"/>
                <w:sz w:val="20"/>
                <w:szCs w:val="20"/>
                <w:lang w:bidi="ar"/>
              </w:rPr>
            </w:pPr>
          </w:p>
        </w:tc>
        <w:tc>
          <w:tcPr>
            <w:tcW w:w="0" w:type="auto"/>
            <w:shd w:val="clear" w:color="auto" w:fill="auto"/>
            <w:vAlign w:val="center"/>
          </w:tcPr>
          <w:p w14:paraId="6A939FC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57</w:t>
            </w:r>
          </w:p>
        </w:tc>
        <w:tc>
          <w:tcPr>
            <w:tcW w:w="0" w:type="auto"/>
            <w:shd w:val="clear" w:color="auto" w:fill="auto"/>
            <w:vAlign w:val="center"/>
          </w:tcPr>
          <w:p w14:paraId="3C65C97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“平急两用”公共基础设施数量</w:t>
            </w:r>
          </w:p>
        </w:tc>
        <w:tc>
          <w:tcPr>
            <w:tcW w:w="4657" w:type="dxa"/>
            <w:shd w:val="clear" w:color="auto" w:fill="auto"/>
            <w:vAlign w:val="center"/>
          </w:tcPr>
          <w:p w14:paraId="27EFE10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参照《国务院办公厅关于积极稳步推进超大特大城市“平急两用”公共基础设施建设的指导意见》要求，调查设区市具备“平急两用”转换条件的会展、体育建筑等大型场馆及酒店、组团式民宿、文旅综合体、物流储配基地、医疗服务点、人防工程等设施数量。“平急两用”主要指“平疫两用”“平假两用”“平灾两用”。查找城市在应对新发重大疫情和突发公共事件能力方面存在的问题。</w:t>
            </w:r>
          </w:p>
        </w:tc>
        <w:tc>
          <w:tcPr>
            <w:tcW w:w="1412" w:type="dxa"/>
            <w:shd w:val="clear" w:color="auto" w:fill="auto"/>
            <w:vAlign w:val="center"/>
          </w:tcPr>
          <w:p w14:paraId="3899C0B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7D82CBC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结合实际工作要求确定</w:t>
            </w:r>
          </w:p>
        </w:tc>
        <w:tc>
          <w:tcPr>
            <w:tcW w:w="0" w:type="auto"/>
            <w:shd w:val="clear" w:color="auto" w:fill="auto"/>
            <w:vAlign w:val="center"/>
          </w:tcPr>
          <w:p w14:paraId="1DD14E7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市国动办、市发改委、市住建局、市卫健委、市应急管理局、市文广旅局、市交通局、官方统计数据、行业部门调查统计数据</w:t>
            </w:r>
          </w:p>
        </w:tc>
      </w:tr>
      <w:tr w14:paraId="2B4B9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24749CB7">
            <w:pPr>
              <w:pStyle w:val="41"/>
              <w:rPr>
                <w:rFonts w:hint="eastAsia" w:cs="方正仿宋_GBK"/>
                <w:sz w:val="20"/>
                <w:szCs w:val="20"/>
                <w:lang w:bidi="ar"/>
              </w:rPr>
            </w:pPr>
          </w:p>
        </w:tc>
        <w:tc>
          <w:tcPr>
            <w:tcW w:w="0" w:type="auto"/>
            <w:vMerge w:val="continue"/>
            <w:shd w:val="clear" w:color="auto" w:fill="auto"/>
            <w:vAlign w:val="center"/>
          </w:tcPr>
          <w:p w14:paraId="28ACD45A">
            <w:pPr>
              <w:pStyle w:val="41"/>
              <w:rPr>
                <w:rFonts w:hint="eastAsia" w:cs="方正仿宋_GBK"/>
                <w:sz w:val="20"/>
                <w:szCs w:val="20"/>
                <w:lang w:bidi="ar"/>
              </w:rPr>
            </w:pPr>
          </w:p>
        </w:tc>
        <w:tc>
          <w:tcPr>
            <w:tcW w:w="0" w:type="auto"/>
            <w:shd w:val="clear" w:color="auto" w:fill="auto"/>
            <w:vAlign w:val="center"/>
          </w:tcPr>
          <w:p w14:paraId="095B503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58</w:t>
            </w:r>
          </w:p>
        </w:tc>
        <w:tc>
          <w:tcPr>
            <w:tcW w:w="0" w:type="auto"/>
            <w:shd w:val="clear" w:color="auto" w:fill="auto"/>
            <w:vAlign w:val="center"/>
          </w:tcPr>
          <w:p w14:paraId="0F205D4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老旧燃气管网改造完成率（%）</w:t>
            </w:r>
          </w:p>
        </w:tc>
        <w:tc>
          <w:tcPr>
            <w:tcW w:w="4657" w:type="dxa"/>
            <w:shd w:val="clear" w:color="auto" w:fill="auto"/>
            <w:vAlign w:val="center"/>
          </w:tcPr>
          <w:p w14:paraId="67A7B28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市辖区建成区内老旧燃气管网更新改造长度，占老旧燃气管网总长度的百分比。</w:t>
            </w:r>
          </w:p>
        </w:tc>
        <w:tc>
          <w:tcPr>
            <w:tcW w:w="1412" w:type="dxa"/>
            <w:shd w:val="clear" w:color="auto" w:fill="auto"/>
            <w:vAlign w:val="center"/>
          </w:tcPr>
          <w:p w14:paraId="2778CC4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60423E9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到2025年老旧燃气管网改造完成率达到100%为目标值</w:t>
            </w:r>
          </w:p>
        </w:tc>
        <w:tc>
          <w:tcPr>
            <w:tcW w:w="0" w:type="auto"/>
            <w:shd w:val="clear" w:color="auto" w:fill="auto"/>
            <w:vAlign w:val="center"/>
          </w:tcPr>
          <w:p w14:paraId="686950B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60280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E6BAA42">
            <w:pPr>
              <w:pStyle w:val="41"/>
              <w:rPr>
                <w:rFonts w:hint="eastAsia" w:cs="方正仿宋_GBK"/>
                <w:sz w:val="20"/>
                <w:szCs w:val="20"/>
                <w:lang w:bidi="ar"/>
              </w:rPr>
            </w:pPr>
          </w:p>
        </w:tc>
        <w:tc>
          <w:tcPr>
            <w:tcW w:w="0" w:type="auto"/>
            <w:vMerge w:val="continue"/>
            <w:shd w:val="clear" w:color="auto" w:fill="auto"/>
            <w:vAlign w:val="center"/>
          </w:tcPr>
          <w:p w14:paraId="536F6C7C">
            <w:pPr>
              <w:pStyle w:val="41"/>
              <w:rPr>
                <w:rFonts w:hint="eastAsia" w:cs="方正仿宋_GBK"/>
                <w:sz w:val="20"/>
                <w:szCs w:val="20"/>
                <w:lang w:bidi="ar"/>
              </w:rPr>
            </w:pPr>
          </w:p>
        </w:tc>
        <w:tc>
          <w:tcPr>
            <w:tcW w:w="0" w:type="auto"/>
            <w:shd w:val="clear" w:color="auto" w:fill="auto"/>
            <w:vAlign w:val="center"/>
          </w:tcPr>
          <w:p w14:paraId="74A1A7F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59</w:t>
            </w:r>
          </w:p>
        </w:tc>
        <w:tc>
          <w:tcPr>
            <w:tcW w:w="0" w:type="auto"/>
            <w:shd w:val="clear" w:color="auto" w:fill="auto"/>
            <w:vAlign w:val="center"/>
          </w:tcPr>
          <w:p w14:paraId="78B57D2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城市消防站服务半径覆盖率（%）</w:t>
            </w:r>
          </w:p>
        </w:tc>
        <w:tc>
          <w:tcPr>
            <w:tcW w:w="4657" w:type="dxa"/>
            <w:shd w:val="clear" w:color="auto" w:fill="auto"/>
            <w:vAlign w:val="center"/>
          </w:tcPr>
          <w:p w14:paraId="65902E7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消防站建设标准》要求，调查分析市辖区建成区内各类消防站服务半径覆盖的建设用地面积，占建设用地总面积的百分比，查找城市消防站建设规模不足、布局不均衡、人员配备及消防装备配置不完备等方面的问题。</w:t>
            </w:r>
          </w:p>
        </w:tc>
        <w:tc>
          <w:tcPr>
            <w:tcW w:w="1412" w:type="dxa"/>
            <w:shd w:val="clear" w:color="auto" w:fill="auto"/>
            <w:vAlign w:val="center"/>
          </w:tcPr>
          <w:p w14:paraId="6752921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74</w:t>
            </w:r>
          </w:p>
        </w:tc>
        <w:tc>
          <w:tcPr>
            <w:tcW w:w="1703" w:type="dxa"/>
            <w:shd w:val="clear" w:color="auto" w:fill="auto"/>
            <w:vAlign w:val="center"/>
          </w:tcPr>
          <w:p w14:paraId="65BAA16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每年提高5个百分点；2025年≥75%</w:t>
            </w:r>
          </w:p>
        </w:tc>
        <w:tc>
          <w:tcPr>
            <w:tcW w:w="0" w:type="auto"/>
            <w:shd w:val="clear" w:color="auto" w:fill="auto"/>
            <w:vAlign w:val="center"/>
          </w:tcPr>
          <w:p w14:paraId="43CE65E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市消防救援支队、官方统计数据、行业部门调查统计数据，大数据辅助分析</w:t>
            </w:r>
          </w:p>
        </w:tc>
      </w:tr>
      <w:tr w14:paraId="4BDA2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7B13014C">
            <w:pPr>
              <w:pStyle w:val="41"/>
              <w:rPr>
                <w:rFonts w:hint="eastAsia" w:cs="方正仿宋_GBK"/>
                <w:sz w:val="20"/>
                <w:szCs w:val="20"/>
                <w:lang w:bidi="ar"/>
              </w:rPr>
            </w:pPr>
          </w:p>
        </w:tc>
        <w:tc>
          <w:tcPr>
            <w:tcW w:w="0" w:type="auto"/>
            <w:vMerge w:val="continue"/>
            <w:shd w:val="clear" w:color="auto" w:fill="auto"/>
            <w:vAlign w:val="center"/>
          </w:tcPr>
          <w:p w14:paraId="2325C622">
            <w:pPr>
              <w:pStyle w:val="41"/>
              <w:rPr>
                <w:rFonts w:hint="eastAsia" w:cs="方正仿宋_GBK"/>
                <w:sz w:val="20"/>
                <w:szCs w:val="20"/>
                <w:lang w:bidi="ar"/>
              </w:rPr>
            </w:pPr>
          </w:p>
        </w:tc>
        <w:tc>
          <w:tcPr>
            <w:tcW w:w="0" w:type="auto"/>
            <w:shd w:val="clear" w:color="auto" w:fill="auto"/>
            <w:vAlign w:val="center"/>
          </w:tcPr>
          <w:p w14:paraId="7B2ED43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60</w:t>
            </w:r>
          </w:p>
        </w:tc>
        <w:tc>
          <w:tcPr>
            <w:tcW w:w="0" w:type="auto"/>
            <w:shd w:val="clear" w:color="auto" w:fill="auto"/>
            <w:vAlign w:val="center"/>
          </w:tcPr>
          <w:p w14:paraId="4E8F9E2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安全距离不达标的加油加气加氢站数量（个）</w:t>
            </w:r>
          </w:p>
        </w:tc>
        <w:tc>
          <w:tcPr>
            <w:tcW w:w="4657" w:type="dxa"/>
            <w:shd w:val="clear" w:color="auto" w:fill="auto"/>
            <w:vAlign w:val="center"/>
          </w:tcPr>
          <w:p w14:paraId="76B391F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按照《汽车加油加气加氢站技术标准》要求，查找安全距离不符合要求的汽车加油加气加氢站数量，以及布局不合理、安全监管不到位等方面的问题。</w:t>
            </w:r>
          </w:p>
        </w:tc>
        <w:tc>
          <w:tcPr>
            <w:tcW w:w="1412" w:type="dxa"/>
            <w:shd w:val="clear" w:color="auto" w:fill="auto"/>
            <w:vAlign w:val="center"/>
          </w:tcPr>
          <w:p w14:paraId="61F483D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7C73469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以0个为目标值</w:t>
            </w:r>
          </w:p>
        </w:tc>
        <w:tc>
          <w:tcPr>
            <w:tcW w:w="0" w:type="auto"/>
            <w:shd w:val="clear" w:color="auto" w:fill="auto"/>
            <w:vAlign w:val="center"/>
          </w:tcPr>
          <w:p w14:paraId="6D680D7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市住建局、官方统计数据、行业部门调查统计数据，大数据辅助分析</w:t>
            </w:r>
          </w:p>
        </w:tc>
      </w:tr>
      <w:tr w14:paraId="1DC92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B1682C4">
            <w:pPr>
              <w:pStyle w:val="41"/>
              <w:rPr>
                <w:rFonts w:hint="eastAsia" w:cs="方正仿宋_GBK"/>
                <w:sz w:val="20"/>
                <w:szCs w:val="20"/>
                <w:lang w:bidi="ar"/>
              </w:rPr>
            </w:pPr>
          </w:p>
        </w:tc>
        <w:tc>
          <w:tcPr>
            <w:tcW w:w="0" w:type="auto"/>
            <w:vMerge w:val="continue"/>
            <w:shd w:val="clear" w:color="auto" w:fill="auto"/>
            <w:vAlign w:val="center"/>
          </w:tcPr>
          <w:p w14:paraId="79A35E49">
            <w:pPr>
              <w:pStyle w:val="41"/>
              <w:rPr>
                <w:rFonts w:hint="eastAsia" w:cs="方正仿宋_GBK"/>
                <w:sz w:val="20"/>
                <w:szCs w:val="20"/>
                <w:lang w:bidi="ar"/>
              </w:rPr>
            </w:pPr>
          </w:p>
        </w:tc>
        <w:tc>
          <w:tcPr>
            <w:tcW w:w="0" w:type="auto"/>
            <w:shd w:val="clear" w:color="auto" w:fill="auto"/>
            <w:vAlign w:val="center"/>
          </w:tcPr>
          <w:p w14:paraId="0B65027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61</w:t>
            </w:r>
          </w:p>
        </w:tc>
        <w:tc>
          <w:tcPr>
            <w:tcW w:w="0" w:type="auto"/>
            <w:shd w:val="clear" w:color="auto" w:fill="auto"/>
            <w:vAlign w:val="center"/>
          </w:tcPr>
          <w:p w14:paraId="3D1D6BD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人均避难场所有效避难面积（平方米/人）</w:t>
            </w:r>
          </w:p>
        </w:tc>
        <w:tc>
          <w:tcPr>
            <w:tcW w:w="4657" w:type="dxa"/>
            <w:shd w:val="clear" w:color="auto" w:fill="auto"/>
            <w:vAlign w:val="center"/>
          </w:tcPr>
          <w:p w14:paraId="2CC02A8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按照人均避难场所的有效避难面积达到2平方米/人的要求，调查分析市辖区建成区内避难场所有效避难面积，占常住人口总数的百分比，查找城市应急避难场所规模、布局及配套设施等方面存在的差距和问题。</w:t>
            </w:r>
          </w:p>
        </w:tc>
        <w:tc>
          <w:tcPr>
            <w:tcW w:w="1412" w:type="dxa"/>
            <w:shd w:val="clear" w:color="auto" w:fill="auto"/>
            <w:vAlign w:val="center"/>
          </w:tcPr>
          <w:p w14:paraId="632C085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2.24</w:t>
            </w:r>
          </w:p>
        </w:tc>
        <w:tc>
          <w:tcPr>
            <w:tcW w:w="1703" w:type="dxa"/>
            <w:shd w:val="clear" w:color="auto" w:fill="auto"/>
            <w:vAlign w:val="center"/>
          </w:tcPr>
          <w:p w14:paraId="2B49754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≥2平方米/人</w:t>
            </w:r>
          </w:p>
        </w:tc>
        <w:tc>
          <w:tcPr>
            <w:tcW w:w="0" w:type="auto"/>
            <w:shd w:val="clear" w:color="auto" w:fill="auto"/>
            <w:vAlign w:val="center"/>
          </w:tcPr>
          <w:p w14:paraId="3C2620E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市应急管理局</w:t>
            </w:r>
          </w:p>
        </w:tc>
      </w:tr>
      <w:tr w14:paraId="5ABC6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494A807F">
            <w:pPr>
              <w:pStyle w:val="41"/>
              <w:rPr>
                <w:rFonts w:hint="eastAsia" w:cs="方正仿宋_GBK"/>
                <w:sz w:val="20"/>
                <w:szCs w:val="20"/>
                <w:lang w:bidi="ar"/>
              </w:rPr>
            </w:pPr>
          </w:p>
        </w:tc>
        <w:tc>
          <w:tcPr>
            <w:tcW w:w="0" w:type="auto"/>
            <w:vMerge w:val="continue"/>
            <w:shd w:val="clear" w:color="auto" w:fill="auto"/>
            <w:vAlign w:val="center"/>
          </w:tcPr>
          <w:p w14:paraId="4A307648">
            <w:pPr>
              <w:pStyle w:val="41"/>
              <w:rPr>
                <w:rFonts w:hint="eastAsia" w:cs="方正仿宋_GBK"/>
                <w:sz w:val="20"/>
                <w:szCs w:val="20"/>
                <w:lang w:bidi="ar"/>
              </w:rPr>
            </w:pPr>
          </w:p>
        </w:tc>
        <w:tc>
          <w:tcPr>
            <w:tcW w:w="0" w:type="auto"/>
            <w:shd w:val="clear" w:color="auto" w:fill="auto"/>
            <w:vAlign w:val="center"/>
          </w:tcPr>
          <w:p w14:paraId="4036827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62</w:t>
            </w:r>
          </w:p>
        </w:tc>
        <w:tc>
          <w:tcPr>
            <w:tcW w:w="0" w:type="auto"/>
            <w:shd w:val="clear" w:color="auto" w:fill="auto"/>
            <w:vAlign w:val="center"/>
          </w:tcPr>
          <w:p w14:paraId="06372489">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城镇既有管道燃气用户安全装置加装率（%）</w:t>
            </w:r>
          </w:p>
        </w:tc>
        <w:tc>
          <w:tcPr>
            <w:tcW w:w="4657" w:type="dxa"/>
            <w:shd w:val="clear" w:color="auto" w:fill="auto"/>
            <w:vAlign w:val="center"/>
          </w:tcPr>
          <w:p w14:paraId="0C815C7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市辖区建成区内已加装安全装置的城镇既有管道燃气用户数（包括城镇既有住宅、单位燃气用户）占城镇既有管道燃气用户总数（包括城镇既有住宅、单位燃气用户）的百分比。</w:t>
            </w:r>
          </w:p>
        </w:tc>
        <w:tc>
          <w:tcPr>
            <w:tcW w:w="1412" w:type="dxa"/>
            <w:shd w:val="clear" w:color="auto" w:fill="auto"/>
            <w:vAlign w:val="center"/>
          </w:tcPr>
          <w:p w14:paraId="59C3DEC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4A47151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2401238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74128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96495DE">
            <w:pPr>
              <w:pStyle w:val="41"/>
              <w:rPr>
                <w:rFonts w:hint="eastAsia" w:cs="方正仿宋_GBK"/>
                <w:sz w:val="20"/>
                <w:szCs w:val="20"/>
                <w:lang w:bidi="ar"/>
              </w:rPr>
            </w:pPr>
          </w:p>
        </w:tc>
        <w:tc>
          <w:tcPr>
            <w:tcW w:w="0" w:type="auto"/>
            <w:vMerge w:val="restart"/>
            <w:shd w:val="clear" w:color="auto" w:fill="auto"/>
            <w:vAlign w:val="center"/>
          </w:tcPr>
          <w:p w14:paraId="72D6109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智慧高效</w:t>
            </w:r>
          </w:p>
        </w:tc>
        <w:tc>
          <w:tcPr>
            <w:tcW w:w="0" w:type="auto"/>
            <w:shd w:val="clear" w:color="auto" w:fill="auto"/>
            <w:vAlign w:val="center"/>
          </w:tcPr>
          <w:p w14:paraId="1947010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63</w:t>
            </w:r>
          </w:p>
        </w:tc>
        <w:tc>
          <w:tcPr>
            <w:tcW w:w="0" w:type="auto"/>
            <w:shd w:val="clear" w:color="auto" w:fill="auto"/>
            <w:vAlign w:val="center"/>
          </w:tcPr>
          <w:p w14:paraId="53FFBF76">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市政管网管线智能化监测管理率（%）</w:t>
            </w:r>
          </w:p>
        </w:tc>
        <w:tc>
          <w:tcPr>
            <w:tcW w:w="4657" w:type="dxa"/>
            <w:shd w:val="clear" w:color="auto" w:fill="auto"/>
            <w:vAlign w:val="center"/>
          </w:tcPr>
          <w:p w14:paraId="1561021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市政管网管线智能化监测管理率直辖市、省会城市和计划单列市≥30%、地级市≥15%的目标要求，调查分析市辖区内城市供水、排水、燃气、供热等管线中，可由物联网等技术进行智能化监测管理的管线长度，占市政管网管线总长度的百分比，查找城市在管网漏损、运行安全等在线监测、及时预警和应急处置能力等方面存在的差距和问题。</w:t>
            </w:r>
          </w:p>
        </w:tc>
        <w:tc>
          <w:tcPr>
            <w:tcW w:w="1412" w:type="dxa"/>
            <w:shd w:val="clear" w:color="auto" w:fill="auto"/>
            <w:vAlign w:val="center"/>
          </w:tcPr>
          <w:p w14:paraId="459AC9C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供水100，</w:t>
            </w:r>
          </w:p>
          <w:p w14:paraId="5E3AEC4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供热100，</w:t>
            </w:r>
          </w:p>
          <w:p w14:paraId="1587EAC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燃气84.1，排水：0</w:t>
            </w:r>
          </w:p>
        </w:tc>
        <w:tc>
          <w:tcPr>
            <w:tcW w:w="1703" w:type="dxa"/>
            <w:shd w:val="clear" w:color="auto" w:fill="auto"/>
            <w:vAlign w:val="center"/>
          </w:tcPr>
          <w:p w14:paraId="1A461BC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直辖市、省会城市和计划单列市≥30%；地级市≥15%</w:t>
            </w:r>
          </w:p>
        </w:tc>
        <w:tc>
          <w:tcPr>
            <w:tcW w:w="0" w:type="auto"/>
            <w:shd w:val="clear" w:color="auto" w:fill="auto"/>
            <w:vAlign w:val="center"/>
          </w:tcPr>
          <w:p w14:paraId="0EA53C9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市城管局、官方统计数据、行业部门调查统计数据</w:t>
            </w:r>
          </w:p>
        </w:tc>
      </w:tr>
      <w:tr w14:paraId="24EAF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0" w:type="auto"/>
            <w:vMerge w:val="continue"/>
            <w:shd w:val="clear" w:color="auto" w:fill="auto"/>
            <w:vAlign w:val="center"/>
          </w:tcPr>
          <w:p w14:paraId="066F5644">
            <w:pPr>
              <w:pStyle w:val="41"/>
              <w:rPr>
                <w:rFonts w:hint="eastAsia" w:cs="方正仿宋_GBK"/>
                <w:sz w:val="20"/>
                <w:szCs w:val="20"/>
                <w:lang w:bidi="ar"/>
              </w:rPr>
            </w:pPr>
          </w:p>
        </w:tc>
        <w:tc>
          <w:tcPr>
            <w:tcW w:w="0" w:type="auto"/>
            <w:vMerge w:val="continue"/>
            <w:shd w:val="clear" w:color="auto" w:fill="auto"/>
            <w:vAlign w:val="center"/>
          </w:tcPr>
          <w:p w14:paraId="784D1EE1">
            <w:pPr>
              <w:pStyle w:val="41"/>
              <w:rPr>
                <w:rFonts w:hint="eastAsia" w:cs="方正仿宋_GBK"/>
                <w:sz w:val="20"/>
                <w:szCs w:val="20"/>
                <w:lang w:bidi="ar"/>
              </w:rPr>
            </w:pPr>
          </w:p>
        </w:tc>
        <w:tc>
          <w:tcPr>
            <w:tcW w:w="0" w:type="auto"/>
            <w:shd w:val="clear" w:color="auto" w:fill="auto"/>
            <w:vAlign w:val="center"/>
          </w:tcPr>
          <w:p w14:paraId="41A6961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64</w:t>
            </w:r>
          </w:p>
        </w:tc>
        <w:tc>
          <w:tcPr>
            <w:tcW w:w="0" w:type="auto"/>
            <w:shd w:val="clear" w:color="auto" w:fill="auto"/>
            <w:vAlign w:val="center"/>
          </w:tcPr>
          <w:p w14:paraId="2ED825F4">
            <w:pPr>
              <w:pStyle w:val="41"/>
              <w:kinsoku w:val="0"/>
              <w:autoSpaceDE w:val="0"/>
              <w:autoSpaceDN w:val="0"/>
              <w:textAlignment w:val="center"/>
              <w:rPr>
                <w:rFonts w:hint="eastAsia" w:cs="方正仿宋_GBK"/>
                <w:sz w:val="22"/>
                <w:szCs w:val="22"/>
                <w:lang w:bidi="ar"/>
              </w:rPr>
            </w:pPr>
            <w:r>
              <w:rPr>
                <w:rFonts w:hint="eastAsia" w:cs="方正仿宋_GBK"/>
                <w:sz w:val="22"/>
                <w:szCs w:val="22"/>
                <w:u w:val="single"/>
                <w:lang w:bidi="ar"/>
              </w:rPr>
              <w:t>☆</w:t>
            </w:r>
            <w:r>
              <w:rPr>
                <w:rFonts w:hint="eastAsia" w:cs="方正仿宋_GBK"/>
                <w:lang w:bidi="ar"/>
              </w:rPr>
              <w:t>建筑施工危险性较大的分部分项工程安全监测覆盖率（%）</w:t>
            </w:r>
          </w:p>
        </w:tc>
        <w:tc>
          <w:tcPr>
            <w:tcW w:w="4657" w:type="dxa"/>
            <w:shd w:val="clear" w:color="auto" w:fill="auto"/>
            <w:vAlign w:val="center"/>
          </w:tcPr>
          <w:p w14:paraId="3534CD5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安全生产法关于“推行网上安全信息采集、安全监管和监测预警”的要求，调查分析市辖区房屋市政工程建筑起重机械、深基坑、高支模、城市轨道交通及市政隧道等安全风险监测数据接入城市房屋市政工程安全监管信息系统的项目数，占房屋市政工程在建工地数量的百分比，查找城市运用信息化手段，防范化解房屋市政工程领域重大安全风险方面存在的差距和问题。</w:t>
            </w:r>
          </w:p>
        </w:tc>
        <w:tc>
          <w:tcPr>
            <w:tcW w:w="1412" w:type="dxa"/>
            <w:shd w:val="clear" w:color="auto" w:fill="auto"/>
            <w:vAlign w:val="center"/>
          </w:tcPr>
          <w:p w14:paraId="45B587C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6027821C">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66B766A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262C1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6594148E">
            <w:pPr>
              <w:pStyle w:val="41"/>
              <w:rPr>
                <w:rFonts w:hint="eastAsia" w:cs="方正仿宋_GBK"/>
                <w:sz w:val="20"/>
                <w:szCs w:val="20"/>
                <w:lang w:bidi="ar"/>
              </w:rPr>
            </w:pPr>
          </w:p>
        </w:tc>
        <w:tc>
          <w:tcPr>
            <w:tcW w:w="0" w:type="auto"/>
            <w:vMerge w:val="continue"/>
            <w:shd w:val="clear" w:color="auto" w:fill="auto"/>
            <w:vAlign w:val="center"/>
          </w:tcPr>
          <w:p w14:paraId="7CE58A10">
            <w:pPr>
              <w:pStyle w:val="41"/>
              <w:rPr>
                <w:rFonts w:hint="eastAsia" w:cs="方正仿宋_GBK"/>
                <w:sz w:val="20"/>
                <w:szCs w:val="20"/>
                <w:lang w:bidi="ar"/>
              </w:rPr>
            </w:pPr>
          </w:p>
        </w:tc>
        <w:tc>
          <w:tcPr>
            <w:tcW w:w="0" w:type="auto"/>
            <w:shd w:val="clear" w:color="auto" w:fill="auto"/>
            <w:vAlign w:val="center"/>
          </w:tcPr>
          <w:p w14:paraId="0CEE790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65</w:t>
            </w:r>
          </w:p>
        </w:tc>
        <w:tc>
          <w:tcPr>
            <w:tcW w:w="0" w:type="auto"/>
            <w:shd w:val="clear" w:color="auto" w:fill="auto"/>
            <w:vAlign w:val="center"/>
          </w:tcPr>
          <w:p w14:paraId="33A5ED1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高层建筑智能化火灾监测预警覆盖率（%）</w:t>
            </w:r>
          </w:p>
        </w:tc>
        <w:tc>
          <w:tcPr>
            <w:tcW w:w="4657" w:type="dxa"/>
            <w:shd w:val="clear" w:color="auto" w:fill="auto"/>
            <w:vAlign w:val="center"/>
          </w:tcPr>
          <w:p w14:paraId="7F8471C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参照高层建筑智能化火灾监测预警覆盖率达到100%的目标要求，调查分析市辖区建成区内配置了智能化火灾监测预警系统的高层建筑楼栋数量，占建成区高层建筑楼栋总数的百分比，查找城市在运用消防远程监控、火灾报警等智能信息化管理方面存在的差距和问题。</w:t>
            </w:r>
          </w:p>
        </w:tc>
        <w:tc>
          <w:tcPr>
            <w:tcW w:w="1412" w:type="dxa"/>
            <w:shd w:val="clear" w:color="auto" w:fill="auto"/>
            <w:vAlign w:val="center"/>
          </w:tcPr>
          <w:p w14:paraId="170CC50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86.8</w:t>
            </w:r>
          </w:p>
        </w:tc>
        <w:tc>
          <w:tcPr>
            <w:tcW w:w="1703" w:type="dxa"/>
            <w:shd w:val="clear" w:color="auto" w:fill="auto"/>
            <w:vAlign w:val="center"/>
          </w:tcPr>
          <w:p w14:paraId="5FEF047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6F8A42A8">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市消防救援支队、官方统计数据、行业部门调查统计数据</w:t>
            </w:r>
          </w:p>
        </w:tc>
      </w:tr>
      <w:tr w14:paraId="5A543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059C898D">
            <w:pPr>
              <w:pStyle w:val="41"/>
              <w:rPr>
                <w:rFonts w:hint="eastAsia" w:cs="方正仿宋_GBK"/>
                <w:sz w:val="20"/>
                <w:szCs w:val="20"/>
                <w:lang w:bidi="ar"/>
              </w:rPr>
            </w:pPr>
          </w:p>
        </w:tc>
        <w:tc>
          <w:tcPr>
            <w:tcW w:w="0" w:type="auto"/>
            <w:vMerge w:val="continue"/>
            <w:shd w:val="clear" w:color="auto" w:fill="auto"/>
            <w:vAlign w:val="center"/>
          </w:tcPr>
          <w:p w14:paraId="61558B89">
            <w:pPr>
              <w:pStyle w:val="41"/>
              <w:rPr>
                <w:rFonts w:hint="eastAsia" w:cs="方正仿宋_GBK"/>
                <w:sz w:val="20"/>
                <w:szCs w:val="20"/>
                <w:lang w:bidi="ar"/>
              </w:rPr>
            </w:pPr>
          </w:p>
        </w:tc>
        <w:tc>
          <w:tcPr>
            <w:tcW w:w="0" w:type="auto"/>
            <w:shd w:val="clear" w:color="auto" w:fill="auto"/>
            <w:vAlign w:val="center"/>
          </w:tcPr>
          <w:p w14:paraId="29D6F22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66</w:t>
            </w:r>
          </w:p>
        </w:tc>
        <w:tc>
          <w:tcPr>
            <w:tcW w:w="0" w:type="auto"/>
            <w:shd w:val="clear" w:color="auto" w:fill="auto"/>
            <w:vAlign w:val="center"/>
          </w:tcPr>
          <w:p w14:paraId="3614341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城市信息模型（CIM）基础平台建设三维数据覆盖率（%）</w:t>
            </w:r>
          </w:p>
        </w:tc>
        <w:tc>
          <w:tcPr>
            <w:tcW w:w="4657" w:type="dxa"/>
            <w:shd w:val="clear" w:color="auto" w:fill="auto"/>
            <w:vAlign w:val="center"/>
          </w:tcPr>
          <w:p w14:paraId="401EDDC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市辖区建成区内CIM基础平台汇聚的三维数据投影面积，占建成区面积的百分比。</w:t>
            </w:r>
          </w:p>
        </w:tc>
        <w:tc>
          <w:tcPr>
            <w:tcW w:w="1412" w:type="dxa"/>
            <w:shd w:val="clear" w:color="auto" w:fill="auto"/>
            <w:vAlign w:val="center"/>
          </w:tcPr>
          <w:p w14:paraId="7B2ECE1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4DA54E6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直辖市、省会城市和计划单列市≥60%；地级市≥30%</w:t>
            </w:r>
          </w:p>
        </w:tc>
        <w:tc>
          <w:tcPr>
            <w:tcW w:w="0" w:type="auto"/>
            <w:shd w:val="clear" w:color="auto" w:fill="auto"/>
            <w:vAlign w:val="center"/>
          </w:tcPr>
          <w:p w14:paraId="59BD9D9B">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市自规局国土空间数字中心、官方统计数据、行业部门调查统计数据</w:t>
            </w:r>
          </w:p>
        </w:tc>
      </w:tr>
      <w:tr w14:paraId="01D1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6C7B3819">
            <w:pPr>
              <w:pStyle w:val="41"/>
              <w:rPr>
                <w:rFonts w:hint="eastAsia" w:cs="方正仿宋_GBK"/>
                <w:sz w:val="20"/>
                <w:szCs w:val="20"/>
                <w:lang w:bidi="ar"/>
              </w:rPr>
            </w:pPr>
          </w:p>
        </w:tc>
        <w:tc>
          <w:tcPr>
            <w:tcW w:w="0" w:type="auto"/>
            <w:vMerge w:val="continue"/>
            <w:shd w:val="clear" w:color="auto" w:fill="auto"/>
            <w:vAlign w:val="center"/>
          </w:tcPr>
          <w:p w14:paraId="4E24036E">
            <w:pPr>
              <w:pStyle w:val="41"/>
              <w:rPr>
                <w:rFonts w:hint="eastAsia" w:cs="方正仿宋_GBK"/>
                <w:sz w:val="20"/>
                <w:szCs w:val="20"/>
                <w:lang w:bidi="ar"/>
              </w:rPr>
            </w:pPr>
          </w:p>
        </w:tc>
        <w:tc>
          <w:tcPr>
            <w:tcW w:w="0" w:type="auto"/>
            <w:shd w:val="clear" w:color="auto" w:fill="auto"/>
            <w:vAlign w:val="center"/>
          </w:tcPr>
          <w:p w14:paraId="56A45F9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67</w:t>
            </w:r>
          </w:p>
        </w:tc>
        <w:tc>
          <w:tcPr>
            <w:tcW w:w="0" w:type="auto"/>
            <w:shd w:val="clear" w:color="auto" w:fill="auto"/>
            <w:vAlign w:val="center"/>
          </w:tcPr>
          <w:p w14:paraId="7AF4DCE7">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城市运行管理服务平台覆盖率（%）</w:t>
            </w:r>
          </w:p>
        </w:tc>
        <w:tc>
          <w:tcPr>
            <w:tcW w:w="4657" w:type="dxa"/>
            <w:shd w:val="clear" w:color="auto" w:fill="auto"/>
            <w:vAlign w:val="center"/>
          </w:tcPr>
          <w:p w14:paraId="1ECB861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按照城市运行管理“一网统管”体制机制健全目标要求，调查分析市辖区建成区内城市运行管理服务平台覆盖的区域面积，占建成区总面积的百分比，查找城市运行管理服务平台建设、城市生命线安全工程建设、城市精细化管理方面存在的差距和问题。</w:t>
            </w:r>
          </w:p>
        </w:tc>
        <w:tc>
          <w:tcPr>
            <w:tcW w:w="1412" w:type="dxa"/>
            <w:shd w:val="clear" w:color="auto" w:fill="auto"/>
            <w:vAlign w:val="center"/>
          </w:tcPr>
          <w:p w14:paraId="00E35FFF">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0</w:t>
            </w:r>
          </w:p>
        </w:tc>
        <w:tc>
          <w:tcPr>
            <w:tcW w:w="1703" w:type="dxa"/>
            <w:shd w:val="clear" w:color="auto" w:fill="auto"/>
            <w:vAlign w:val="center"/>
          </w:tcPr>
          <w:p w14:paraId="2DE66BF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80%</w:t>
            </w:r>
          </w:p>
        </w:tc>
        <w:tc>
          <w:tcPr>
            <w:tcW w:w="0" w:type="auto"/>
            <w:shd w:val="clear" w:color="auto" w:fill="auto"/>
            <w:vAlign w:val="center"/>
          </w:tcPr>
          <w:p w14:paraId="7BC9A52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市城管行政执法局、官方统计数据、行业部门调查统计数据</w:t>
            </w:r>
          </w:p>
        </w:tc>
      </w:tr>
      <w:tr w14:paraId="4766E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5C138E4F">
            <w:pPr>
              <w:pStyle w:val="41"/>
              <w:rPr>
                <w:rFonts w:hint="eastAsia" w:cs="方正仿宋_GBK"/>
                <w:sz w:val="20"/>
                <w:szCs w:val="20"/>
                <w:lang w:bidi="ar"/>
              </w:rPr>
            </w:pPr>
          </w:p>
        </w:tc>
        <w:tc>
          <w:tcPr>
            <w:tcW w:w="0" w:type="auto"/>
            <w:vMerge w:val="continue"/>
            <w:shd w:val="clear" w:color="auto" w:fill="auto"/>
            <w:vAlign w:val="center"/>
          </w:tcPr>
          <w:p w14:paraId="75475DFD">
            <w:pPr>
              <w:pStyle w:val="41"/>
              <w:rPr>
                <w:rFonts w:hint="eastAsia" w:cs="方正仿宋_GBK"/>
                <w:sz w:val="20"/>
                <w:szCs w:val="20"/>
                <w:lang w:bidi="ar"/>
              </w:rPr>
            </w:pPr>
          </w:p>
        </w:tc>
        <w:tc>
          <w:tcPr>
            <w:tcW w:w="0" w:type="auto"/>
            <w:shd w:val="clear" w:color="auto" w:fill="auto"/>
            <w:vAlign w:val="center"/>
          </w:tcPr>
          <w:p w14:paraId="4DEDBC5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68</w:t>
            </w:r>
          </w:p>
        </w:tc>
        <w:tc>
          <w:tcPr>
            <w:tcW w:w="0" w:type="auto"/>
            <w:shd w:val="clear" w:color="auto" w:fill="auto"/>
            <w:vAlign w:val="center"/>
          </w:tcPr>
          <w:p w14:paraId="345EC173">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城市重要管网监测监控覆盖率（%）</w:t>
            </w:r>
          </w:p>
        </w:tc>
        <w:tc>
          <w:tcPr>
            <w:tcW w:w="4657" w:type="dxa"/>
            <w:shd w:val="clear" w:color="auto" w:fill="auto"/>
            <w:vAlign w:val="center"/>
          </w:tcPr>
          <w:p w14:paraId="323037F0">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市辖区建成区内对城市重要管网进行动态监测的城市街道数量，占建成区主干道、次干道、支路总量的百分比。</w:t>
            </w:r>
          </w:p>
        </w:tc>
        <w:tc>
          <w:tcPr>
            <w:tcW w:w="1412" w:type="dxa"/>
            <w:shd w:val="clear" w:color="auto" w:fill="auto"/>
            <w:vAlign w:val="center"/>
          </w:tcPr>
          <w:p w14:paraId="7EDEBFE2">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42744F2A">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030DE71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市住建局、官方统计数据、行业部门调查统计数据</w:t>
            </w:r>
          </w:p>
        </w:tc>
      </w:tr>
      <w:tr w14:paraId="13329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shd w:val="clear" w:color="auto" w:fill="auto"/>
            <w:vAlign w:val="center"/>
          </w:tcPr>
          <w:p w14:paraId="52E767A3">
            <w:pPr>
              <w:pStyle w:val="41"/>
              <w:rPr>
                <w:rFonts w:hint="eastAsia" w:cs="方正仿宋_GBK"/>
                <w:sz w:val="20"/>
                <w:szCs w:val="20"/>
                <w:lang w:bidi="ar"/>
              </w:rPr>
            </w:pPr>
          </w:p>
        </w:tc>
        <w:tc>
          <w:tcPr>
            <w:tcW w:w="0" w:type="auto"/>
            <w:shd w:val="clear" w:color="auto" w:fill="auto"/>
            <w:vAlign w:val="center"/>
          </w:tcPr>
          <w:p w14:paraId="127FBBA6">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创新活力</w:t>
            </w:r>
          </w:p>
        </w:tc>
        <w:tc>
          <w:tcPr>
            <w:tcW w:w="0" w:type="auto"/>
            <w:shd w:val="clear" w:color="auto" w:fill="auto"/>
            <w:vAlign w:val="center"/>
          </w:tcPr>
          <w:p w14:paraId="494E8434">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69</w:t>
            </w:r>
          </w:p>
        </w:tc>
        <w:tc>
          <w:tcPr>
            <w:tcW w:w="0" w:type="auto"/>
            <w:shd w:val="clear" w:color="auto" w:fill="auto"/>
            <w:vAlign w:val="center"/>
          </w:tcPr>
          <w:p w14:paraId="6432A1D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重点地区城市设计覆盖率（%）</w:t>
            </w:r>
          </w:p>
        </w:tc>
        <w:tc>
          <w:tcPr>
            <w:tcW w:w="4657" w:type="dxa"/>
            <w:shd w:val="clear" w:color="auto" w:fill="auto"/>
            <w:vAlign w:val="center"/>
          </w:tcPr>
          <w:p w14:paraId="0578BFD5">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市辖区建成区内已编制完成并审批的重点地区城市设计的面积与市辖区建成区面积的比例。</w:t>
            </w:r>
          </w:p>
        </w:tc>
        <w:tc>
          <w:tcPr>
            <w:tcW w:w="1412" w:type="dxa"/>
            <w:shd w:val="clear" w:color="auto" w:fill="auto"/>
            <w:vAlign w:val="center"/>
          </w:tcPr>
          <w:p w14:paraId="0463FD5D">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1703" w:type="dxa"/>
            <w:shd w:val="clear" w:color="auto" w:fill="auto"/>
            <w:vAlign w:val="center"/>
          </w:tcPr>
          <w:p w14:paraId="0AFB87FE">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100%</w:t>
            </w:r>
          </w:p>
        </w:tc>
        <w:tc>
          <w:tcPr>
            <w:tcW w:w="0" w:type="auto"/>
            <w:shd w:val="clear" w:color="auto" w:fill="auto"/>
            <w:vAlign w:val="center"/>
          </w:tcPr>
          <w:p w14:paraId="6E9CDF61">
            <w:pPr>
              <w:pStyle w:val="41"/>
              <w:kinsoku w:val="0"/>
              <w:autoSpaceDE w:val="0"/>
              <w:autoSpaceDN w:val="0"/>
              <w:textAlignment w:val="center"/>
              <w:rPr>
                <w:rFonts w:hint="eastAsia" w:cs="方正仿宋_GBK"/>
                <w:sz w:val="22"/>
                <w:szCs w:val="22"/>
                <w:lang w:bidi="ar"/>
              </w:rPr>
            </w:pPr>
            <w:r>
              <w:rPr>
                <w:rFonts w:hint="eastAsia" w:cs="方正仿宋_GBK"/>
                <w:sz w:val="22"/>
                <w:szCs w:val="22"/>
                <w:lang w:bidi="ar"/>
              </w:rPr>
              <w:t>市自规局、官方统计数据、行业部门调查统计数据</w:t>
            </w:r>
          </w:p>
        </w:tc>
      </w:tr>
      <w:bookmarkEnd w:id="53"/>
    </w:tbl>
    <w:p w14:paraId="15E6755B">
      <w:pPr>
        <w:pStyle w:val="11"/>
        <w:spacing w:before="44" w:line="217" w:lineRule="auto"/>
        <w:ind w:firstLine="0" w:firstLineChars="0"/>
        <w:sectPr>
          <w:pgSz w:w="16838" w:h="11906" w:orient="landscape"/>
          <w:pgMar w:top="1803" w:right="1440" w:bottom="1803" w:left="1440" w:header="851" w:footer="992" w:gutter="0"/>
          <w:pgNumType w:fmt="decimal"/>
          <w:cols w:space="425" w:num="1"/>
          <w:docGrid w:type="lines" w:linePitch="312" w:charSpace="0"/>
        </w:sectPr>
      </w:pPr>
    </w:p>
    <w:p w14:paraId="4530D25D">
      <w:pPr>
        <w:ind w:firstLine="0" w:firstLineChars="0"/>
        <w:jc w:val="left"/>
        <w:outlineLvl w:val="0"/>
        <w:rPr>
          <w:rFonts w:hint="eastAsia" w:ascii="方正黑体_GBK" w:hAnsi="方正黑体_GBK" w:eastAsia="方正黑体_GBK" w:cs="方正黑体_GBK"/>
          <w:bCs/>
        </w:rPr>
      </w:pPr>
      <w:bookmarkStart w:id="67" w:name="_Toc6862"/>
      <w:r>
        <w:rPr>
          <w:rFonts w:hint="eastAsia" w:ascii="方正黑体_GBK" w:hAnsi="方正黑体_GBK" w:eastAsia="方正黑体_GBK" w:cs="方正黑体_GBK"/>
          <w:bCs/>
        </w:rPr>
        <w:t>附件3：城市体检问题清单</w:t>
      </w:r>
      <w:bookmarkEnd w:id="67"/>
    </w:p>
    <w:p w14:paraId="7D031D5D">
      <w:pPr>
        <w:pStyle w:val="48"/>
        <w:outlineLvl w:val="2"/>
        <w:rPr>
          <w:rFonts w:hint="eastAsia"/>
        </w:rPr>
      </w:pPr>
      <w:r>
        <w:t>住房维度</w:t>
      </w:r>
      <w:r>
        <w:rPr>
          <w:rFonts w:hint="eastAsia"/>
        </w:rPr>
        <w:t>体检问题</w:t>
      </w:r>
      <w:r>
        <w:t>清单</w:t>
      </w:r>
    </w:p>
    <w:tbl>
      <w:tblPr>
        <w:tblStyle w:val="2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1204"/>
        <w:gridCol w:w="1561"/>
        <w:gridCol w:w="10653"/>
      </w:tblGrid>
      <w:tr w14:paraId="04930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blHeader/>
        </w:trPr>
        <w:tc>
          <w:tcPr>
            <w:tcW w:w="263" w:type="pct"/>
            <w:shd w:val="clear" w:color="auto" w:fill="auto"/>
            <w:noWrap/>
            <w:vAlign w:val="center"/>
          </w:tcPr>
          <w:p w14:paraId="7B8A61FB">
            <w:pPr>
              <w:widowControl/>
              <w:kinsoku w:val="0"/>
              <w:wordWrap w:val="0"/>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序号</w:t>
            </w:r>
          </w:p>
        </w:tc>
        <w:tc>
          <w:tcPr>
            <w:tcW w:w="425" w:type="pct"/>
            <w:shd w:val="clear" w:color="auto" w:fill="auto"/>
            <w:noWrap/>
            <w:vAlign w:val="center"/>
          </w:tcPr>
          <w:p w14:paraId="06DDDB4A">
            <w:pPr>
              <w:widowControl/>
              <w:kinsoku w:val="0"/>
              <w:wordWrap w:val="0"/>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指标名称</w:t>
            </w:r>
          </w:p>
        </w:tc>
        <w:tc>
          <w:tcPr>
            <w:tcW w:w="551" w:type="pct"/>
            <w:shd w:val="clear" w:color="auto" w:fill="auto"/>
            <w:noWrap/>
            <w:vAlign w:val="center"/>
          </w:tcPr>
          <w:p w14:paraId="0832582A">
            <w:pPr>
              <w:widowControl/>
              <w:kinsoku w:val="0"/>
              <w:wordWrap w:val="0"/>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数量（栋）</w:t>
            </w:r>
          </w:p>
        </w:tc>
        <w:tc>
          <w:tcPr>
            <w:tcW w:w="3759" w:type="pct"/>
            <w:shd w:val="clear" w:color="auto" w:fill="auto"/>
            <w:noWrap/>
            <w:vAlign w:val="center"/>
          </w:tcPr>
          <w:p w14:paraId="0E6CF22B">
            <w:pPr>
              <w:widowControl/>
              <w:wordWrap w:val="0"/>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存在问题</w:t>
            </w:r>
          </w:p>
        </w:tc>
      </w:tr>
      <w:tr w14:paraId="48AA1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1707D728">
            <w:pPr>
              <w:widowControl/>
              <w:kinsoku w:val="0"/>
              <w:wordWrap w:val="0"/>
              <w:spacing w:line="320" w:lineRule="exact"/>
              <w:ind w:firstLine="0" w:firstLineChars="0"/>
              <w:jc w:val="center"/>
              <w:rPr>
                <w:rFonts w:hint="eastAsia"/>
                <w:kern w:val="0"/>
                <w:sz w:val="24"/>
                <w:szCs w:val="24"/>
              </w:rPr>
            </w:pPr>
            <w:r>
              <w:rPr>
                <w:rFonts w:hint="eastAsia"/>
                <w:kern w:val="0"/>
                <w:sz w:val="24"/>
                <w:szCs w:val="24"/>
              </w:rPr>
              <w:t>1</w:t>
            </w:r>
          </w:p>
        </w:tc>
        <w:tc>
          <w:tcPr>
            <w:tcW w:w="425" w:type="pct"/>
            <w:vMerge w:val="restart"/>
            <w:shd w:val="clear" w:color="auto" w:fill="auto"/>
            <w:noWrap/>
            <w:vAlign w:val="center"/>
          </w:tcPr>
          <w:p w14:paraId="22D5D0E8">
            <w:pPr>
              <w:widowControl/>
              <w:kinsoku w:val="0"/>
              <w:wordWrap w:val="0"/>
              <w:spacing w:line="320" w:lineRule="exact"/>
              <w:ind w:firstLine="0" w:firstLineChars="0"/>
              <w:jc w:val="center"/>
              <w:rPr>
                <w:rFonts w:hint="eastAsia"/>
                <w:kern w:val="0"/>
                <w:sz w:val="24"/>
                <w:szCs w:val="24"/>
              </w:rPr>
            </w:pPr>
            <w:r>
              <w:rPr>
                <w:rFonts w:hint="eastAsia"/>
                <w:kern w:val="0"/>
                <w:sz w:val="24"/>
                <w:szCs w:val="24"/>
              </w:rPr>
              <w:t>存在楼道安全隐患的住宅数量</w:t>
            </w:r>
          </w:p>
        </w:tc>
        <w:tc>
          <w:tcPr>
            <w:tcW w:w="551" w:type="pct"/>
            <w:vMerge w:val="restart"/>
            <w:shd w:val="clear" w:color="auto" w:fill="auto"/>
            <w:noWrap/>
            <w:vAlign w:val="center"/>
          </w:tcPr>
          <w:p w14:paraId="7FBC10AB">
            <w:pPr>
              <w:widowControl/>
              <w:kinsoku w:val="0"/>
              <w:wordWrap w:val="0"/>
              <w:spacing w:line="320" w:lineRule="exact"/>
              <w:ind w:firstLine="0" w:firstLineChars="0"/>
              <w:jc w:val="center"/>
              <w:rPr>
                <w:rFonts w:hint="eastAsia"/>
                <w:kern w:val="0"/>
                <w:sz w:val="24"/>
                <w:szCs w:val="24"/>
              </w:rPr>
            </w:pPr>
            <w:r>
              <w:rPr>
                <w:rFonts w:hint="eastAsia"/>
                <w:kern w:val="0"/>
                <w:sz w:val="24"/>
                <w:szCs w:val="24"/>
              </w:rPr>
              <w:t>1278</w:t>
            </w:r>
          </w:p>
        </w:tc>
        <w:tc>
          <w:tcPr>
            <w:tcW w:w="3759" w:type="pct"/>
            <w:shd w:val="clear" w:color="auto" w:fill="auto"/>
            <w:noWrap/>
            <w:vAlign w:val="center"/>
          </w:tcPr>
          <w:p w14:paraId="6CD87FC2">
            <w:pPr>
              <w:widowControl/>
              <w:wordWrap w:val="0"/>
              <w:spacing w:line="320" w:lineRule="exact"/>
              <w:ind w:firstLine="0" w:firstLineChars="0"/>
              <w:jc w:val="left"/>
              <w:rPr>
                <w:rFonts w:hint="eastAsia"/>
                <w:kern w:val="0"/>
                <w:sz w:val="24"/>
                <w:szCs w:val="24"/>
              </w:rPr>
            </w:pPr>
            <w:r>
              <w:rPr>
                <w:rFonts w:hint="eastAsia"/>
                <w:kern w:val="0"/>
                <w:sz w:val="24"/>
                <w:szCs w:val="24"/>
              </w:rPr>
              <w:t>楼梯间内楼梯踏步缺损、楼梯扶手松动损坏、照明损坏缺失、安全护栏松动损坏或缺失宏泰花园1号楼，百合园2号楼，永祥苑小区3，8号楼，四季花语1号地3号楼，盛德福苑3号楼，江南水郡小区16号楼，职教小区5号楼，常春里小区2号楼，平安小区4号楼，中海铂悦公馆13号楼，光明东里1，2号楼，华祥里2号楼，格林郡府（A、B、C、D区）5号楼，生产资料北院1号楼，新益小区3号楼，农行宿舍1号楼，宏程华苑2号楼，鸿坤理想澜湾21号楼，利民里5号楼，正隆嘉园5号楼，汇源锦城5号楼，乔治花园小区5号楼，御泉湾8号楼，金悦小区12，11号楼，薛家营新村1号楼，管道局老四区21号楼，管道局新四区43号楼，金泰花园11，25号楼，德荣帝景9#号楼，前锋小区乙1，乙2，乙3，乙4，甲1，甲2，甲3，甲4，号楼，奥富斯小区1号，2号楼，3号楼，安居花园小区1号楼、3号楼、5号楼、7号楼，2号楼，4号楼，6号楼，8号楼，远洋光华城一期一区1，8号楼，和平丽景小区10号楼，11号楼，12号楼，13号楼，15号楼，16号楼，17号楼，18号楼，19号楼，1号楼，20号楼，21号楼，22号楼，23号楼，25号楼，26号楼，27号楼，28号楼，29号楼，2号楼，30号楼，31号楼，32号楼，33号楼，35号楼，36号楼，37号楼，39号楼，40号楼，41号楼，45号楼，5号楼，6号楼，7号楼，8号楼，9号楼，裙楼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集宁里2，4，6号楼，建委宿舍38，2号楼，1号楼，丰盛楼1号楼，南安华里3号楼，曙光楼1号楼，紫光楼1号楼，万众里小区1，2，3号楼，卫校宿舍1，2，3，4，5，6号楼，群华里小区1号楼，贸源里小区1号楼，富苑小区1，2，3号楼，金光小区1，10，11，12，2，3，4，5，6，7，8，9号楼，管道局三区13号楼，党校宿舍1号楼，3号楼，2号楼，农林局宿舍楼2号楼，3号楼，5号楼，6号楼，4号楼，1号楼，园林小区1号楼，2号楼，骏丰小区1号楼，2号楼号楼，干休所1号楼，城建里1，2号楼，市政宿舍1，2号楼，春明里1，2，3，4，5号楼，华阳小区3，4，2号楼，一期教师公寓11，12，13，14，15，16，17，18，1，20，23，24，25，2，3，4，5，6，7，8，9号楼，德荣文璟6号楼，13号楼，14号楼，幸福城朗园12栋，4栋号楼，安装公司宿舍西改，东二，东四，西二，西四，东改，东一，东三，西一，西三，西五号楼，建工里2号楼，武警宿舍2号楼，1号楼，十小宿舍1号楼，海关宿舍1栋楼号楼，华春里税务楼1号楼，书店楼1号楼，物价楼1号楼，果品厂宿舍楼1号楼，干休所宿舍1号楼，土地局宿舍楼1号楼，新民里（北）13号楼，党校宿舍楼1号楼，3号楼，旧楼，2号楼，环卫局宿舍1号楼，平旺里1，2，3，4号楼，丫咪公寓号楼，规划局东西胡同（金海公寓）2，1号楼，燃料宿舍1号楼，恒源里甲、乙甲，乙号楼，供电楼1号楼1号楼，市医院2#3#楼1号楼，市粮食局宿舍1号楼，市药检所宿舍1号楼，新天地综合楼1号楼，区建设局宿舍56，58号楼，市畜牧局宿舍1，2，3号楼，农行宿舍楼南楼，北楼号楼，花语城小区2-8地块二地块14号楼，二地块15号楼，七地块5号楼，供销社宿舍15，13，14号楼</w:t>
            </w:r>
          </w:p>
        </w:tc>
      </w:tr>
      <w:tr w14:paraId="01122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404B1A77">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1C4318C1">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55196F91">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4BD9E425">
            <w:pPr>
              <w:widowControl/>
              <w:wordWrap w:val="0"/>
              <w:spacing w:line="320" w:lineRule="exact"/>
              <w:ind w:firstLine="0" w:firstLineChars="0"/>
              <w:jc w:val="left"/>
              <w:rPr>
                <w:rFonts w:hint="eastAsia"/>
                <w:kern w:val="0"/>
                <w:sz w:val="24"/>
                <w:szCs w:val="24"/>
              </w:rPr>
            </w:pPr>
            <w:r>
              <w:rPr>
                <w:rFonts w:hint="eastAsia"/>
                <w:kern w:val="0"/>
                <w:sz w:val="24"/>
                <w:szCs w:val="24"/>
              </w:rPr>
              <w:t>通风井道、排风烟道等堵塞，造成通风不畅、异味串味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万众里小区1，2，3号楼，卫校宿舍1，2，3，4，5，6号楼，群华里小区1号楼，贸源里小区1号楼，富苑小区1，2，3号楼，金光小区1，10，11，12，2，3，4，5，6，7，8，9号楼，一期教师公寓10号楼，新民里（北）13号楼，市医院2#3#楼1号楼，市粮食局宿舍1号楼，市药检所宿舍1号楼，区建设局宿舍56，58号楼，市畜牧局宿舍1，2，3号楼，供销社宿舍15，13，14号楼</w:t>
            </w:r>
          </w:p>
        </w:tc>
      </w:tr>
      <w:tr w14:paraId="145E0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30F32A7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7BAFC80D">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219A9D5D">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4393B39B">
            <w:pPr>
              <w:widowControl/>
              <w:wordWrap w:val="0"/>
              <w:spacing w:line="320" w:lineRule="exact"/>
              <w:ind w:firstLine="0" w:firstLineChars="0"/>
              <w:jc w:val="left"/>
              <w:rPr>
                <w:rFonts w:hint="eastAsia"/>
                <w:kern w:val="0"/>
                <w:sz w:val="24"/>
                <w:szCs w:val="24"/>
              </w:rPr>
            </w:pPr>
            <w:r>
              <w:rPr>
                <w:rFonts w:hint="eastAsia"/>
                <w:kern w:val="0"/>
                <w:sz w:val="24"/>
                <w:szCs w:val="24"/>
              </w:rPr>
              <w:t>防火门缺失、损坏、无法关闭长富吉第2号楼，四季花语7号地17号楼，阳光逸墅小区8号楼，奥富斯小区1号楼，江南水郡小区10号楼，馨视界小区8号楼，龙河枫景22号楼，万向城3号楼，御泉湾7，1号楼，蓝水湾25，30A，30B号楼，周各庄新区北区23号楼，宏程华府2号楼3号楼5号楼6号楼7号楼，前锋小区乙1，乙2，乙3，乙4，甲1，甲2，甲3，甲4，号楼，安居花园小区1号楼、3号楼、5号楼、7号楼，2号楼，4，6，8号楼，东日瑞景15号楼，颐和佳苑1号楼，5号楼，7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4210小区1，2，3，4，5号楼，七中教师公寓1号楼，新欣里小区1，2号楼，新财小区A，B，C，D，E，F号楼，金地小区1，2，3，4，5，6号楼，金泰花园25号楼，曙光小区5号楼，红星里4号楼，万众里小区1，2，3号楼，卫校宿舍1，2，3，4，5，6号楼，群华里小区1号楼，贸源里小区1号楼，富苑小区1，2，3号楼，金光小区1，10，11，12，2，3，4，5，6，7，8，9号楼，盛园小区7号楼，城建里1，2号楼，春明里2，3，4，5号楼，凤凰城105，111号楼，一期教师公寓10，11，12，13，14，15，16，17，18，19，1，20，21，22，23，24，25，26，27，28，2，3，4，5，6，7，8，9号楼，大学里四期15号楼，16号楼，17号楼，2号楼，3号楼，德荣文璟7号楼，12号楼，儒苑小区教师公寓8号楼，9号楼，2号楼，3号楼，5号楼，4号楼，6号楼，7号楼，常青家园小区4，5，3，7，8，6，13，10，9，14，17，15，18，16，19号楼，海关宿舍1栋楼号楼，新民里（北）13号楼，紫金华府一号楼，二号楼，三号楼，五号楼，六号楼，七号楼，八号楼，九号楼，十号楼，十一号楼，十二号楼，十三号楼，十五号楼，花语城小区2-8地块3地块7号楼，6地块10号楼，二地块8号楼，七地块12号楼，八地块2号楼，八地块6号楼，八地块7号楼，八地块5号楼，八地块14号楼，八地块17号楼，宏昇华庭2号楼3号楼5号楼，河工大宿舍楼1号楼，燃料宿舍1号楼，市医院2#3#楼1号楼，市粮食局宿舍1号楼，市药检所宿舍1号楼，新天地综合楼1号楼，区建设局宿舍56，58号楼，市畜牧局宿舍1，2，3号楼，阳光商住楼1号楼，供销社宿舍15，13，14号楼</w:t>
            </w:r>
          </w:p>
        </w:tc>
      </w:tr>
      <w:tr w14:paraId="1E82A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76E5CDC3">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913A4C7">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31A558B6">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2F48FF9B">
            <w:pPr>
              <w:widowControl/>
              <w:wordWrap w:val="0"/>
              <w:spacing w:line="320" w:lineRule="exact"/>
              <w:ind w:firstLine="0" w:firstLineChars="0"/>
              <w:jc w:val="left"/>
              <w:rPr>
                <w:rFonts w:hint="eastAsia"/>
                <w:kern w:val="0"/>
                <w:sz w:val="24"/>
                <w:szCs w:val="24"/>
              </w:rPr>
            </w:pPr>
            <w:r>
              <w:rPr>
                <w:rFonts w:hint="eastAsia"/>
                <w:kern w:val="0"/>
                <w:sz w:val="24"/>
                <w:szCs w:val="24"/>
              </w:rPr>
              <w:t>消火栓无日常维护、老化损坏百合园5号楼，阳光逸墅小区8号楼，龙河盛都小区20号楼，臻丽家园小区7，10号楼，花城小区3号楼，运通家园小区20号楼，宏程华府2号楼3号楼5号楼6号楼7号楼，前锋小区乙1，乙2，乙3，乙4，甲1，甲2，甲3，甲4，号楼，安居花园小区1号楼、3号楼、5号楼、7号楼，2号楼，4，6，8号楼，颐和佳苑4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翔宇家园10，8号楼，鑫汇里2，1号楼，金泰花园25号楼，万众里小区1，2，3号楼，卫校宿舍1，2，3，4，5，6号楼，群华里小区1号楼，贸源里小区1号楼，富苑小区1，2，3号楼，金光小区1，10，11，12，2，3，4，5，6，7，8，9号楼，城建里1，2号楼，春明里3号楼，一期教师公寓10，11，12，13，14，15，16，17，18，19，1，20，21，22，23，24，25，26，27，28，2，3，4，5，6，7，8，9号楼，儒苑小区教师公寓8号楼，9号楼，2号楼，3号楼，5号楼，4号楼，6号楼，7号楼，常青家园小区4，5，3，7，8，6，13，10，9，14，17，15，18，16，19号楼，海关宿舍1栋楼号楼，北新里1号楼，新民里（北）13号楼，新民里（南）1号楼，丫咪公寓号楼，花语城小区2-8地块6地块7号楼，6地块8号楼，四地块2号楼，四地块3号楼，四地块4号楼，四地块5号楼，四地块6号楼，四地块7号楼，四地块8号楼，四地块9号楼，四地块12号楼，四地块13号楼，四地块14号楼，四地块15号楼，四地块16号楼，二地块2号楼，二地块5号楼，二地块11号楼，二地块9号楼，二地块10号楼，二地块8号楼，二地块16号楼，二地块13号楼，二地块14号楼，二地块15号楼，七地块9号楼，七地块15号楼，五地块8号楼，燃料宿舍1号楼，市医院2#3#楼1号楼，市粮食局宿舍1号楼，市药检所宿舍1号楼，新天地综合楼1号楼，区建设局宿舍56，58号楼，市畜牧局宿舍1，2，3号楼，交警一大队宿舍1号楼，市委宿舍1号楼，建业里2，1号楼，房管周转楼3，2号楼，房管集资楼1号楼，机要局宿舍2，1号楼，科森宿舍5，7号楼，防疫站宿舍1号楼，高速公路宿舍1号楼，供销社宿舍15，13，14号楼</w:t>
            </w:r>
          </w:p>
        </w:tc>
      </w:tr>
      <w:tr w14:paraId="1A5E7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164ECEC6">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85F497C">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2A9305CC">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65521E3A">
            <w:pPr>
              <w:widowControl/>
              <w:wordWrap w:val="0"/>
              <w:spacing w:line="320" w:lineRule="exact"/>
              <w:ind w:firstLine="0" w:firstLineChars="0"/>
              <w:jc w:val="left"/>
              <w:rPr>
                <w:rFonts w:hint="eastAsia"/>
                <w:kern w:val="0"/>
                <w:sz w:val="24"/>
                <w:szCs w:val="24"/>
              </w:rPr>
            </w:pPr>
            <w:r>
              <w:rPr>
                <w:rFonts w:hint="eastAsia"/>
                <w:kern w:val="0"/>
                <w:sz w:val="24"/>
                <w:szCs w:val="24"/>
              </w:rPr>
              <w:t>灭火器缺失、未设置灭火器保护设施百合园5，6号楼，永祥苑小区3号楼，阳光逸墅小区8号楼，龙河盛都小区20号楼，侍郎房小区3号楼，花城小区3，5，2号楼，中房馨美域7，9，5号楼，龙河枫景19号楼，和平郡府4号楼，世锦名城15号楼，馨领地小区1号楼，万向城小区6号楼，宏程华府3，2号楼3号楼5号楼6号楼7号楼，恒基嘉园南区5号楼，锦绣御府9号楼，姮庆公寓小区9，1号楼，3号楼，7号楼，4号楼，2号楼，6号楼，5号楼，8号楼，9号楼，10号楼，金银湾小区1号楼，乔治花园小区5号楼，御泉湾7，2号楼，幸福佳苑10，11，2，9号楼，前锋小区乙1，乙2，乙3，乙4，甲1，甲2，甲3，甲4，号楼，安居花园小区1号楼、3号楼、5号楼、7号楼，2号楼，4，6，8号楼，血站小区1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翔宇家园10，8号楼，鑫汇里2，1号楼，金泰花园10，11，12，13，16，17，18，19，20，21，22，23，24，25，26，27，2，32，33，34，35，3，4，5，6，7，8，9号楼，万众里小区1，2，3号楼，卫校宿舍1，2，3，4，5，6号楼，群华里小区1号楼，贸源里小区1号楼，富苑小区1，2，3号楼，金光小区1，10，11，12，2，3，4，5，6，7，8，9号楼，专家公寓24，33，34号楼，一期教师公寓10，11，12，13，14，15，16，17，18，19，1，20，21，22，23，24，25，26，27，28，2，3，4，5，6，7，8，9号楼，十小宿舍1号楼，香榭里舍8号楼，5号楼，9号楼，1号楼，10号楼，7号楼，6号楼，3号楼，4号楼，2号楼，11号楼，常青家园小区4，5，3，7，8，6，13，10，9，14，17，15，18，16，19号楼，海关宿舍1栋楼号楼，北新里1号楼，新民里（北）13号楼，新民里（南）1号楼，丫咪公寓号楼，花语城小区2-8地块四地块2号楼，四地块3号楼，四地块4号楼，四地块5号楼，四地块6号楼，四地块7号楼，四地块8号楼，四地块9号楼，四地块10号楼，四地块11号楼，四地块12号楼，四地块13号楼，四地块14号楼，四地块16号楼，七地块3号楼，七地块16号楼，五地块9号楼，宏昇华庭2号楼3号楼5号楼，燃料宿舍1号楼，供电楼1号楼1号楼，市医院2#3#楼1号楼，市粮食局宿舍1号楼，市药检所宿舍1号楼，新天地综合楼1号楼，区建设局宿舍56，58号楼，市畜牧局宿舍1，2，3号楼，交警一大队宿舍1号楼，市委宿舍1号楼，建业里2，1号楼，房管周转楼3，2号楼，房管集资楼1号楼，机要局宿舍2，1号楼，科森宿舍5，7号楼，防疫站宿舍1号楼，高速公路宿舍1号楼，供销社宿舍15，13，14号楼</w:t>
            </w:r>
          </w:p>
        </w:tc>
      </w:tr>
      <w:tr w14:paraId="1163A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35ED377F">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876D136">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3144E8CC">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3BA3AE54">
            <w:pPr>
              <w:widowControl/>
              <w:wordWrap w:val="0"/>
              <w:spacing w:line="320" w:lineRule="exact"/>
              <w:ind w:firstLine="0" w:firstLineChars="0"/>
              <w:jc w:val="left"/>
              <w:rPr>
                <w:rFonts w:hint="eastAsia"/>
                <w:kern w:val="0"/>
                <w:sz w:val="24"/>
                <w:szCs w:val="24"/>
              </w:rPr>
            </w:pPr>
            <w:r>
              <w:rPr>
                <w:rFonts w:hint="eastAsia"/>
                <w:kern w:val="0"/>
                <w:sz w:val="24"/>
                <w:szCs w:val="24"/>
              </w:rPr>
              <w:t>消防安全出口指示灯损坏或者缺失尚华城小区16号楼，馨语星苑7，8号楼，盛德花园15，18，14，13号楼，植物油厂宿舍2号楼，1206宿舍3，5号楼，德仁新苑10，11，8号楼，市交通局宿舍1号楼，嘉慧意境5号楼，百合园5号楼，蓝波湾8，6，11号楼，畜牧局宿舍1号楼，德仁永兴苑4，5号楼，金属柜宿舍1号楼，海棠园9，8，10，7号楼，安泰小区12，14号楼，阳光馨苑11号楼，万和嘉苑小区2号楼，永祥苑小区3，8，2号楼，机械厂宿舍1号楼，四季花语1号地3号楼，电缆厂宿舍1，2号楼，紫荆假日4号楼，嘉多丽小区6，4号楼，水务宿舍1号楼，四季花语7号地8，17号楼，瑞景家园12，8A号楼，阳光逸墅小区1号楼，前锋小区2号楼，3，甲3，乙1，乙2，乙3，乙4，甲1，甲2，甲3，甲4，号楼，盛德福苑4，3号楼，奥富斯小区1，3，2号楼，安居花园小区6，3，1号楼、3号楼、5号楼、7号楼，2号楼，4，8号楼，水泥厂宿舍楼1号楼，龙河盛都小区16号楼，五中宿舍楼1号楼，汇源名居东区1号楼，文苑小区3，6，11号楼，江南水郡小区17，16，15，10号楼，侍郎房小区3号楼，海德公园小区7号楼，师范学院三区10，7号楼，仕宅官邸小区9号楼，电大宿舍3号楼，八中宿舍1，2号楼，电大外卖楼1号楼，新儒苑小区2，4号楼，君兰苑小区11，5号楼，四中宿舍1号楼，金源丽舍小区4，3号楼，附小宿舍楼1号楼，技校宿舍楼及平房区1号楼，职教小区5，9号楼，馨视界小区11，8，7，22-1号楼，书香苑8号楼，安次区医院宿舍1号楼，新月小区10，3号楼，师院一区1，2号楼，永兴小区12，23，28，31，8，7号楼，常春里小区2，4号楼，钨钼厂宿舍小区1号楼，兴华小区1号楼，师院二区1号楼，平安小区4，5，1，2，3号楼，德源小区3，2号楼，光明小区1号楼，臻丽家园小区7，5，4号楼，炮校家属院1，101，102，5，10，4，9，8，7，6，114，2，3，96号楼，党校宿舍1号楼，昶友新天地小区1号楼，书芳苑小区3号楼，龙河枫景22号楼，大拇指广场2号楼，工行宿舍楼1，2号楼，格林郡府（A、B、C、D区）12，24，17，1号楼，光明东里1，2，5号楼，华祥里6，2号楼，华森楼1号楼，同顺里2号楼，国际花园B区51号楼，平旺里2号楼，世纪花园18号楼，天河15号15号楼，圣泰花园1，2号楼，天河小区北区14号楼，荣华里2号楼，凤河公寓A号楼，芳泽园小区1号楼，东方家园小区4号楼，裕西里5，3号楼，运通家园小区2号楼，群乐里10号楼10号楼，土畜产1号楼，群乐里5、9号楼9，5号楼，圣泰新苑南区1，3，4号楼，华元和庭7，6号楼，向平里6号楼，集宁里10，12，6，35，34，30号楼，富兴里1号楼，和风里2号楼，韩一宿舍1号楼，颖丽花园5号楼，新开路33号楼33号楼，中铁物探家属楼1号楼，德安里11，9号楼，127号甲1、2号楼2，1号楼，益民花园小区7，3，6号楼，金源丽都1号楼，群乐里小区（1-4，6-7）4号楼，康顺里6号楼，圣泰新苑北区2号楼，管道局新六区4，5，14，7号楼，建新楼1号楼，冶炼厂家属院3，4号楼，众贤里1号楼，公安楼1号楼，管道局老六区15，13，12，1号楼，交警楼1号楼，建委宿舍1号楼，生产资料北院1号楼，外贸粮油楼1号楼，民政局宿舍1号楼，居阳里3号楼，日华里1号楼，物资楼1号楼，华苑小区7，8，14号楼，万向城3号楼，馨领地小区1，6号楼，银河逸景4号楼，政协宿舍1号楼，万向城小区6号楼，新华北小区1号楼，新星里小区2，4号楼，农科院专家博士楼1号楼，丰华里1，2号楼，开发楼宿舍1号楼，热力宿舍1号楼，新益小区3，4号楼，企业局宿舍1号楼，新华小区2号楼，中医院宿舍4，小二楼，2，1号楼，银河领域8号楼，供电局宿舍2号楼，廊北小区1，15号楼，烟草宿舍1号楼，警金里1号楼，聚星苑1，2号楼，农行宿舍1号楼，三五三四小区3，2号楼，华夏经典9，A2，A1号楼，法院宿舍1号楼，裕华小区南区12，11，10号楼，第七大街6，1，9，2号楼，春华里9号楼，尚德佳苑1，2号楼，玥尚小区1号楼，安美家园2号楼，宏程华苑2号楼，银丰家园1号楼，鸿坤理想澜湾18，5号楼，三五三一小区25，24，22，23，4，8，15号楼，汽配城小区5号楼，华夏名筑6号楼，尚北金里小区3，3B号楼，第八大街东区E号楼，农兴里2号楼，馨钻界小区1，6号楼，大官庄小区1，6号楼，利民里5号楼，银河大街（10、11号楼）10，11号楼，卫生局宿舍楼1号楼，园丁康居1，2号楼，华阳小区2，3号楼，政府1-3号楼1号楼，农行楼2号楼，北白楼（大官庄3号楼）1号楼，正隆嘉园5，2号楼，中央风景小区1号楼，新华宿舍楼1号楼，农机楼1号楼，房产楼1号楼，永泰2号楼，粮工楼1号楼，供电宿舍楼（大官庄3号楼）1号楼，丰宁里2号楼，盛通银河3号楼，大官庄2号楼2号楼，同乐小区1号楼，三小宿舍1号楼，金光小区9，1，10，11，12，2，3，4，5，6，7，8号楼，康庄小区29，22，33号楼，群华里小区1号楼，管道局三区12，11，1，10，13，2，3，4，5，6，7，8，9号楼，园林小区1号楼，办事处宿舍楼1号楼，万众里小区4，1，2，3号楼，武警宿舍1号楼，清河小区1号楼，富苑小区1，2，3号楼，管道局二区7号楼，骏丰小区2号楼，贸源里小区1号楼，管道局五区1号楼，市药检所宿舍1号楼，书店楼1号楼，市政小区1号楼，华春里税务楼1号楼，农行宿舍楼1，南楼，北楼，恒基嘉园南区5，2号楼，物价楼1号楼，居安里平房1号楼，光明东道11号甲2号楼，天泰人和2，5号楼，干休所宿舍1号楼，汇源锦城2，5号楼，兴盛公寓2号楼，地矿楼（地矿、向津里）1号楼，三中南楼1号楼，津元里、平房3，1号楼，长安小区6，5号楼，聚贤楼1号楼，永跃里小区1号楼，锦绣御府10号楼，政法小区7号楼，传输局小区1，2号楼，广阳公寓小区5，11，9号楼，东日瑞景3，14，10号楼，儒苑小区教师公寓2，8号楼，9号楼，2号楼，3号楼，5号楼，4号楼，6号楼，7号楼，乔治花园小区1，5号楼，儒苑小区二期10号楼，骆庄教师公寓2号楼，御泉湾7，8号楼，金悦小区12号楼，新世界家园3号楼，瑞成观邑4号楼，规划局东西胡同（金海公寓）1号楼，城市旺点7，19，17，18，20，21，旺点1，旺点2，旺点3，旺点4，旺点5，旺点6，旺点7，旺点8，旺点大厦，金安里1号楼，太平洋2号楼，金安里2号楼，金安里3号楼，1号楼，2号楼，3号楼，阿尔卡迪亚1，5，14号楼，供电楼1号楼1号楼，管道局老四区17，18，21，15，20号楼，富华小区南区6，9号楼，蓝水湾25，蓝水湾别墅区B-15，蓝水湾别墅区B-16，蓝水湾别墅区B-17，蓝水湾别墅区B-18，蓝水湾别墅区B-19，蓝水湾别墅区B-20，蓝水湾别墅区B-21号楼，太平洋小区3号楼，管道局新四区32，34，43，37号楼，城建里1，2号楼，金安里2，3，1号楼，2号楼，3号楼，和平丽景小区5，10号楼，11号楼，12号楼，13号楼，15号楼，16号楼，17号楼，18号楼，19号楼，1号楼，20号楼，21号楼，22号楼，23号楼，25号楼，26号楼，27号楼，28号楼，29号楼，2号楼，30号楼，31号楼，32号楼，33号楼，35号楼，36号楼，37号楼，39号楼，40号楼，41号楼，45号楼，5号楼，6号楼，7号楼，8号楼，9号楼，裙楼号楼，十小宿舍1号楼，春明里3，1，2，4号楼，金元小区3，1，10，11，12，13，14，15，2，4，5，6，7，8，9号楼，恒源里甲、乙1号楼，周各庄新区北区23号楼，燃料宿舍1号楼，佳瑞花园1号楼，宏程华府2号楼3号楼5号楼6号楼7号楼，血站小区1号楼，幸福佳苑11号楼，颐和佳苑1号楼，3号楼，4号楼，5号楼，新奥小区10号楼，一号别墅，1号楼，2号别墅，2号楼，3号楼，4号楼，5号楼，6号楼，7号楼，9号楼，金泰花园25号楼，卫校宿舍1，2，3，4，5，6号楼，一期教师公寓11，12，13，14，15，16，17，18，19，1，20，21，22，23，24，25，26，27，28，2，3，4，5，6，7，8，9号楼，大学里四期16号楼，17号楼，18号楼，22号楼，3号楼，大学里东区10号楼，12号楼，14号楼，15号楼，3号楼，4号楼，6号楼，7号，8号楼，德荣文璟6号楼，13号楼，常青家园小区4，5，3，7，8，6，13，10，9，14，17，15，18，16，19号楼，海关宿舍1栋楼号楼，花语城小区2-8地块3地块4号楼，3地块5号楼，6地块1号楼，6地块2号楼，6地块5号楼，6地块7号楼，6地块9号楼，四地块7号楼，二地块4号楼，二地块16号楼，七地块13号楼，八地块7号楼，八地块11号楼号楼，宏昇华庭2号楼3号楼5号楼号楼，春和北区3，1，2号楼，市医院2#3#楼1号楼，市粮食局宿舍1号楼，新天地综合楼1号楼，区建设局宿舍56，58号楼，市畜牧局宿舍1，2，3号楼，供销社宿舍15，13，14号楼</w:t>
            </w:r>
          </w:p>
        </w:tc>
      </w:tr>
      <w:tr w14:paraId="132FB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37E337DE">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22E31824">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7D21E468">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84466FD">
            <w:pPr>
              <w:widowControl/>
              <w:wordWrap w:val="0"/>
              <w:spacing w:line="320" w:lineRule="exact"/>
              <w:ind w:firstLine="0" w:firstLineChars="0"/>
              <w:jc w:val="left"/>
              <w:rPr>
                <w:rFonts w:hint="eastAsia"/>
                <w:kern w:val="0"/>
                <w:sz w:val="24"/>
                <w:szCs w:val="24"/>
              </w:rPr>
            </w:pPr>
            <w:r>
              <w:rPr>
                <w:rFonts w:hint="eastAsia"/>
                <w:kern w:val="0"/>
                <w:sz w:val="24"/>
                <w:szCs w:val="24"/>
              </w:rPr>
              <w:t>违规占用疏散楼梯、楼道、管道井等公共空间，用于堆放杂物尚华城小区16，18，20，9，17，13号楼，17号楼，20号楼，馨语星苑7，8号楼，中科紫峰8，9号楼，盛德花园14，13号楼，1206宿舍3号楼，德仁新苑10，8号楼，嘉慧意境8，5号楼，百合园1，2，4，5，3，6号楼，蓝波湾8，6，11，10号楼，1号楼，2号楼，3号楼，5号楼，6号楼，7号楼，8号楼，9号楼，德仁永兴苑4号楼，海棠园4，5，9，8，10，7号楼，安泰小区14，2#，3#，12#号楼，南屏小区1号楼，阳光馨苑10，11，6，1号楼，万和嘉苑小区2，3号楼，永祥苑小区3，8，2号楼，四季花语7号地15，13，8，9，4，10，17号楼，长富吉第2号楼，四季花语1号地3，5号楼，紫荆假日3，1号楼，嘉多丽小区4号楼，四季花语5号地8，1，9号楼，惠民小区一期6，2号楼，瑞景家园8，12，8A号楼，花语璟园1，3号楼，阳光逸墅小区1，8号楼，金域蓝山4号楼，惠民小区二期5，4，1，2号楼，前锋小区3，乙1，乙2，乙3，乙4，甲1，甲2，甲3，甲4，号楼，盛德福苑4，3号楼，奥富斯小区1，1号，2号楼，3号楼，龙河盛都小区9，16，20号楼，安居花园小区6，3，1号楼、3号楼、5号楼、7号楼，2号楼，4，8号楼，水泥厂宿舍楼1号楼，五中宿舍楼1号楼，海德公园小区4，5，6，2，3号楼，汇源名居东区1，3号楼，文苑小区3，6号楼，侍郎房小区3号楼，江南水郡小区16，10号楼，御澜华府2期3号楼，仕宅官邸小区6，9号楼，电大宿舍3号楼，御澜华府3期C3号楼，御澜华府1期2号楼，君兰苑小区11，9，5号楼，四中宿舍1号楼，金源丽舍小区4，3号楼，技校宿舍楼及平房区1号楼，职教小区5，9号楼，瑞河兰乔南区27号楼，馨视界小区11，8，7，22-1号楼，书香苑8号楼，呈祥紫园小区9，7，4，3号楼，新月小区10，3号楼，师院一区1号楼，钨钼厂宿舍小区1号楼，常春里小区4号楼，兴华小区1号楼，永兴小区31号楼，师院二区1号楼，平安小区4，2，3号楼，德源小区2号楼，光明小区1号楼，臻丽家园小区7，5，4，10号楼，炮校家属院1，101，102，75，5，10，9，6，3，96号楼，华夏第九园27，12，11，2号楼，康桥知园小区16，15，14，10，11号楼，昶友新天地小区1号楼，书芳苑小区4，3，6，5号楼，花城小区3，5，2号楼，恒大名都13，16，12，15，3，9，2，8号楼，永和花园4，2，1号楼，2号楼，3号楼，4号楼，中房馨美域7，9，5，8号楼，紫晶苑6，1，2，3，4，5号楼，6号楼，7号楼，8号楼，9号楼，S5号楼，京汉君庭16，11，17，10，8号楼，大拇指广场3，四期2#，四期3#，西区1#，西区2#，西区3#，西区5#，西区6#，西区7#，西区8#号楼，中海铂悦公馆16，13，14号楼，龙河枫景22，19号楼，学府澜湾26，21号楼，红星紫郡9，11，红星紫郡小区10号楼，红星紫郡小区11号楼，红星紫郡小区12号楼，红星紫郡小区13号楼，红星紫郡小区14号楼，红星紫郡小区15号楼，红星紫郡小区16号楼，红星紫郡小区17号楼，红星紫郡小区18号楼，红星紫郡小区19号楼，国风悦都1，5，9，2，10，3，13号楼，恒大翡翠华庭3，4号楼，惜缘花城8号楼，工行宿舍楼2号楼，锦绣家园6号楼，格林郡府（A、B、C、D区）12，13，24，17，20，5，1号楼，光明东里5号楼，华祥里6号楼，和平郡府4，9，7，8号楼，锦绣名园春晖座号楼，牡丹苑1号楼，华森楼1号楼，圣泰花园1号楼，天河小区北区14号楼，康乐花园小区9号楼，凤河公寓A号楼，世锦名城16，15，7号楼，东方家园小区4号楼，阳光高地7号楼，运通家园小区2，20，22号楼，秀景花园西区2号楼，土畜产1号楼，群乐里5、9号楼9，5号楼，梅花公寓小区2号楼，荣福里1号楼，集宁里10，12，6，34，30，2，4，7，18，19，20，21，25，29号楼，31号楼，10号楼，11号楼，12号楼，未来城小区2号楼，和风里2号楼，德安里11号楼，圣泰新苑南区3号楼，益民花园小区6号楼，127号甲1、2号楼1号楼，金源丽都1号楼，解放八号小区5号楼，君正红石庄园小区44号楼，人寿保险宿舍1号楼，管道局老六区15，16，13，3号楼，建委宿舍1号楼，生产资料北院1号楼，外贸粮油楼1号楼，日华里1号楼，华苑小区7，8号楼，建安里1，单元楼号楼，万向城3号楼，银河逸景3号楼，馨领地小区1，6，10，11，12，13，15，16，2，3，4，5，7，8，9号楼，万向城小区6号楼，农科院专家博士楼1号楼，丰华里1，2号楼，热力宿舍1号楼，新益小区3号楼，企业局宿舍1号楼，中医院宿舍4，2，1号楼，银河领域8号楼，供电局宿舍2号楼，廊北小区1号楼，烟草宿舍1号楼，警金里1，2号楼，农行宿舍1号楼，三五三四小区2，2号楼，3号楼，4号楼，3534小区7号楼，9号楼，8号楼，10号楼，3534小区5号楼，3534小区6号楼，华夏经典9，A2，A1号楼，法院宿舍1号楼，裕华小区南区10号楼，第七大街6，7，1，2号楼，宏泰龙邸2，10，16号楼，德荣帝景10，21#，22#，23号楼，24号楼，25号楼，12号楼，15号楼，16号楼，17号楼，18号楼，5号楼，6号楼，7#，9#，10#，11#，8号楼，13号楼，14号楼，19号楼，20号楼，逸品龙湾10，7，12，8号楼，尚德佳苑2号楼，玥尚小区1号楼，大家新城2号楼，德荣文璟5，15，2#楼，6号楼，7号楼，9号楼，12号楼，13号楼，14号楼，16#，15#，5#，4#楼号楼，宏程华府3，2号楼3号楼5号楼6号楼7号楼，北辰香麓6，11，2号楼，安美家园1号楼，鸿坤理想澜湾18，10，27，21，5号楼，馨境界西区8号楼，汽配城小区5，5号楼6号楼，华夏名筑6号楼，尚北金里小区3B号楼，第八大街东区E号楼，农兴里2号楼，桃李亮亮12号楼，馨钻界小区6号楼，大官庄小区1，2号楼，空中花园8号楼，农行楼2号楼，园丁康居2号楼，北白楼（大官庄3号楼）1号楼，银河大街（10、11号楼）11号楼，农机楼1号楼，房产楼1号楼，供电宿舍楼（大官庄3号楼）1号楼，丰宁里2号楼，盛通银河3号楼，同乐小区1号楼，金光小区9，1，10，11，12，2，3，4，5，6，7，8号楼，管道局一区3号楼，康庄小区34号楼，群华里小区1号楼，办事处宿舍楼1，2号楼，武警宿舍1号楼，富苑小区1，2，3号楼，管道局二区7号楼，贸源里小区1号楼，市药检所宿舍1号楼，华春里税务楼1号楼，恒基嘉园南区5号楼，光明东道11号甲2号楼，天泰人和2号楼，汇源锦城2号楼，兴盛公寓2号楼，地矿楼（地矿、向津里）1号楼，三中南楼1号楼，津元里、平房3号楼，长安小区5号楼，政法小区1，4，7号楼，锦绣御府9号楼，姮庆公寓小区9，7号楼，荣盛华府12号楼，上善颐园15号楼，广阳公寓小区11，2号楼，四季家园3号楼，东日瑞景15，14，11号楼，花语馨苑7号楼，乔治花园小区1号楼，幸福城雅园1号楼，幸福城欣园9，12，13，5，14号楼，丹枫园12号楼，御泉湾7，8，1，2，3，4，5，6号楼，幸福城朗园9，10，11号楼，金悦小区12号楼，瑞成观邑4号楼，望京1号楼，晓廊坊小区15，9号楼，紫金华府8，7，一号楼，二号楼，三号楼，五号楼，六号楼，七号楼，八号楼，九号楼，十号楼，十一号楼，十二号楼，十三号楼，十五号楼，城市旺点19，17，18，20，21，旺点1，旺点2，旺点3，旺点4，旺点5，旺点6，旺点7，旺点8，旺点大厦，金安里1号楼，太平洋2号楼，金安里2号楼，金安里3号楼，1号楼，2号楼，3号楼，阿尔卡迪亚5，华景园1号楼，华景园2号楼，华景园3号楼，华景园4号楼，华景园5号楼，华景园6号楼，华景园7号楼，华景园8号楼，华景园9号楼，丽景园1号楼，丽景园2号楼，丽景园3号楼，丽景园4号楼，丽景园5号楼，丽景园6号楼，丽景园7号楼，帝景园6号楼，帝景园7号楼，帝景园8号楼，帝景园9号楼，帝景园11号楼，帝景园14号楼，帝景园19号楼，骏景园3号楼，骏景园6号楼，骏景园7号楼，骏景园8号楼，供电楼1号楼1号楼，蓝水湾26，25，21，22，23，24，29，30A，30B，蓝水湾别墅区B-19号楼，金桥花园2，3，金菊苑2号楼，管道局老四区17，18，21号楼，和平丽景小区35，31，5，10号楼，11号楼，12号楼，13号楼，15号楼，16号楼，17号楼，18号楼，19号楼，1号楼，20号楼，21号楼，22号楼，23号楼，25号楼，26号楼，27号楼，28号楼，29号楼，2号楼，30号楼，31号楼，32号楼，33号楼，35号楼，36号楼，37号楼，39号楼，40号楼，41号楼，45号楼，5号楼，6号楼，7号楼，8号楼，9号楼，城建里1，2号楼，金安里2，3，1号楼，2号楼，3号楼，十小宿舍1号楼，望景广场1号楼，周各庄新区南区9，21号楼，春和南区9，8，7，11，10号楼，金元小区3，1，10，11，12，13，14，15，2，4，5，6，7，8，9号楼，恒源里甲、乙1号楼，颐和佳苑5，11，12号楼，13号楼，14号楼，15号楼，16号楼，1号楼，2号楼，3号楼，6号楼，7号楼，8号楼，9号楼，周各庄新区北区26，23，27号楼，幸福佳苑10，12，13，14，1，2，4，7，8，9号楼，佳瑞花园1号楼，盛世嘉豪1，5号楼，宏程华苑1号楼2号楼3号楼，孔雀城天玺11#，13#，2#，4#，8#，9#号楼，传输局小区1，2，4号楼，锦绣观邸小区4，1号楼，2号楼，5号楼，6号楼，7号楼，锦绣观邸3号楼，远洋光华城一期一区5，</w:t>
            </w:r>
            <w:r>
              <w:rPr>
                <w:rFonts w:hint="eastAsia"/>
                <w:kern w:val="0"/>
                <w:sz w:val="24"/>
                <w:szCs w:val="24"/>
              </w:rPr>
              <w:t>7号楼，新奥小区10号楼，一号别墅，1号楼，2号别墅，2号楼，3号楼，4号楼，5号楼，6号楼，7号楼，七中教师公寓1号楼，金地小区1，2，3，4，5，6号楼，金泰花园25号楼，保险公司宿舍1号楼，水文局宿舍1号楼，农电宿舍楼，南安华里3号楼，4号楼，5号楼，6号，7号楼，妇幼宿舍，星盛园5号楼，星盛园7号楼，曙光小区1号楼，曙光小区2号楼，曙光小区4号楼，曙光小区5号楼，洁净里，爱华胡同平房，眼科宿舍，福兴里14号楼，红星里1号楼，红星里6号楼，红星里7号楼，红星里8号楼，万众里小区1，2，3号楼，卫校宿舍1，2，3，4，5，6号楼，春明里1号楼，凤凰城106，110，113，118，120号楼，大学里西区公寓4#，公寓5#，公寓6#，17#，18#，19#，20#，21#，22#，23#，24#号楼，一期教师公寓10号楼，大学里四期12号楼，15号楼，19号楼，4号楼，大学里东区11号楼，12号楼，13号楼，14号楼，15号楼，1号楼，2号楼，3号楼，4号楼，5号楼，6号楼，8号楼，9号楼，儒苑小区教师公寓8号楼，9号楼，2号楼，3号楼，5号楼，4号楼，6号楼，7号楼，安装公司宿舍西改，东二，东四，西二，西四，东改，东一，东三，西一，西三，西五号楼，香榭里舍5号楼，9号楼，1号楼，7号楼，6号楼，3号楼，2号楼，水务宿舍1，2号楼，北安华里8号，11号，12号，10号，9号，2号楼，中建和悦国际6，7，8，10号楼，12号楼，13，14，18，20号楼，新开外贸1号楼，大学里三期13，15，16，17号楼，丫咪公寓号楼，花语城小区2-8地块3地块1号楼，3地块3号楼，3地块6号楼，3地块8号楼，3地块9号楼，3地块11号楼，6地块1号楼，6地块3号楼，6地块5号楼，6地块7号楼，6地块9号楼，6地块10号楼，6地块11号楼，四地块3号楼，四地块4号楼，四地块5号楼，四地块8号楼，四地块12号楼，四地块13号楼，四地块14号楼，四地块15号楼，四地块16号楼，二地块6号楼，二地块4号楼，二地块5号楼，二地块8号楼，七地块3号楼，七地块13号楼，八地块10号楼，八地块6号楼，八地块18号楼，八地块12号楼，八地块11号楼，八地块16号楼，八地块17号楼，五地块3号楼号楼，宏昇华庭2号楼3号楼5号楼号楼，永泰1号楼号楼，河工大宿舍楼1号楼，春和北区3，1，2号楼，建工里1号号楼，市医院2#3#楼1号楼，市粮食局宿舍1号楼，新天地综合楼1号楼，区建设局宿舍56，58号楼，市畜牧局宿舍1，2，3号楼，万和南区5，2，4，3，6，1号楼，万和北区7，10，9，8号楼，供销社宿舍15，13，14号楼，服装厂楼1号楼号楼，新华宿舍楼1号楼号楼，工行楼1号楼号楼</w:t>
            </w:r>
          </w:p>
        </w:tc>
      </w:tr>
      <w:tr w14:paraId="0DB25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29D123FB">
            <w:pPr>
              <w:widowControl/>
              <w:kinsoku w:val="0"/>
              <w:wordWrap w:val="0"/>
              <w:spacing w:line="320" w:lineRule="exact"/>
              <w:ind w:firstLine="0" w:firstLineChars="0"/>
              <w:jc w:val="center"/>
              <w:rPr>
                <w:rFonts w:hint="eastAsia"/>
                <w:kern w:val="0"/>
                <w:sz w:val="24"/>
                <w:szCs w:val="24"/>
              </w:rPr>
            </w:pPr>
            <w:r>
              <w:rPr>
                <w:rFonts w:hint="eastAsia"/>
                <w:kern w:val="0"/>
                <w:sz w:val="24"/>
                <w:szCs w:val="24"/>
              </w:rPr>
              <w:t>2</w:t>
            </w:r>
          </w:p>
        </w:tc>
        <w:tc>
          <w:tcPr>
            <w:tcW w:w="425" w:type="pct"/>
            <w:vMerge w:val="restart"/>
            <w:shd w:val="clear" w:color="auto" w:fill="auto"/>
            <w:noWrap/>
            <w:vAlign w:val="center"/>
          </w:tcPr>
          <w:p w14:paraId="575E0F4D">
            <w:pPr>
              <w:widowControl/>
              <w:kinsoku w:val="0"/>
              <w:wordWrap w:val="0"/>
              <w:spacing w:line="320" w:lineRule="exact"/>
              <w:ind w:firstLine="0" w:firstLineChars="0"/>
              <w:jc w:val="center"/>
              <w:rPr>
                <w:rFonts w:hint="eastAsia"/>
                <w:kern w:val="0"/>
                <w:sz w:val="24"/>
                <w:szCs w:val="24"/>
              </w:rPr>
            </w:pPr>
            <w:r>
              <w:rPr>
                <w:rFonts w:hint="eastAsia"/>
                <w:kern w:val="0"/>
                <w:sz w:val="24"/>
                <w:szCs w:val="24"/>
              </w:rPr>
              <w:t>存在围护安全隐患的住宅数量</w:t>
            </w:r>
          </w:p>
        </w:tc>
        <w:tc>
          <w:tcPr>
            <w:tcW w:w="551" w:type="pct"/>
            <w:vMerge w:val="restart"/>
            <w:shd w:val="clear" w:color="auto" w:fill="auto"/>
            <w:noWrap/>
            <w:vAlign w:val="center"/>
          </w:tcPr>
          <w:p w14:paraId="4E7DE2E0">
            <w:pPr>
              <w:widowControl/>
              <w:kinsoku w:val="0"/>
              <w:wordWrap w:val="0"/>
              <w:spacing w:line="320" w:lineRule="exact"/>
              <w:ind w:firstLine="0" w:firstLineChars="0"/>
              <w:jc w:val="center"/>
              <w:rPr>
                <w:rFonts w:hint="eastAsia"/>
                <w:kern w:val="0"/>
                <w:sz w:val="24"/>
                <w:szCs w:val="24"/>
              </w:rPr>
            </w:pPr>
            <w:r>
              <w:rPr>
                <w:rFonts w:hint="eastAsia"/>
                <w:kern w:val="0"/>
                <w:sz w:val="24"/>
                <w:szCs w:val="24"/>
              </w:rPr>
              <w:t>958</w:t>
            </w:r>
          </w:p>
        </w:tc>
        <w:tc>
          <w:tcPr>
            <w:tcW w:w="3759" w:type="pct"/>
            <w:shd w:val="clear" w:color="auto" w:fill="auto"/>
            <w:noWrap/>
            <w:vAlign w:val="center"/>
          </w:tcPr>
          <w:p w14:paraId="4E75866A">
            <w:pPr>
              <w:widowControl/>
              <w:wordWrap w:val="0"/>
              <w:spacing w:line="320" w:lineRule="exact"/>
              <w:ind w:firstLine="0" w:firstLineChars="0"/>
              <w:jc w:val="left"/>
              <w:rPr>
                <w:rFonts w:hint="eastAsia"/>
                <w:kern w:val="0"/>
                <w:sz w:val="24"/>
                <w:szCs w:val="24"/>
              </w:rPr>
            </w:pPr>
            <w:r>
              <w:rPr>
                <w:rFonts w:hint="eastAsia"/>
                <w:kern w:val="0"/>
                <w:sz w:val="24"/>
                <w:szCs w:val="24"/>
              </w:rPr>
              <w:t>外墙装饰材料和保温材料开裂、损坏、脱落尚华城小区16，9，12号楼，13号楼，19号楼，22号楼，德仁新苑10，11，9，8号楼，蓝波湾10，9，8，7，10号楼，1号楼，2号楼，3号楼，5号楼，6号楼，7号楼，8号楼，9号楼，畜牧局宿舍1号楼，安泰小区3号楼，水务宿舍1号楼，阳光逸墅小区2号楼，前锋小区甲一号楼，乙1，乙2，乙3，乙4，甲1，甲2，甲3，甲4，号楼，奥富斯小区3，2，1号，2号楼，3号楼，安居花园小区4，1号楼、3号楼、5号楼、7号楼，2号楼，6，8号楼，五中宿舍楼1号楼，文苑小区3，9号楼，电大宿舍3号楼，汇源名居西区19，10，20号楼，新月小区3号楼，钨钼厂宿舍小区2号楼，兴华小区1号楼，师院二区6，1号楼，德源小区3号楼，光明小区2号楼，臻丽家园小区5，7号楼，华夏第九园27，12，16，26，5，3，9号楼，花城小区3号楼，恒大名都13号楼，国风悦都5，16号楼，工行宿舍楼1号楼，惜缘花城7，5号楼，华祥里2，1号楼，中房馨园2，5，9号楼，同顺里1，2号楼，世纪花园18号楼，裕西里5，3号楼，秀景花园西区2，1号楼，秀景花园东区4，2号楼，集宁里1，8，26，28，18，20号楼，127号甲1、2号楼1号楼，金源丽都1号楼，久安里2号楼，管道局新六区4号楼，建委宿舍1号楼，外贸粮油楼1号楼，馨领地小区1号楼，新星里小区4号楼，丰华里1号楼，企业局宿舍2号楼，中医院宿舍2号楼，聚星苑3，4号楼，警金里1，2号楼，裕华小区南区12号楼，华夏经典A2，9，8，A1号楼，第七大街9，1号楼，大家新城1，2号楼，宏程华府3，2，2号楼3号楼5号楼6号楼7号楼，安美家园2，1号楼，宏昇华庭2，2号楼3号楼5号楼，馨境界东区4号楼，三五三一小区25，21，4，23，15，2，11号楼，1号楼，3号楼，4号楼，5号楼，6号楼，华夏名筑1号楼，尚北金里小区3b，尚北金里3号楼，第八大街东区H号楼，河工大教师公寓4号楼，银河大街（10、11号楼）10，11号楼，卫生局宿舍楼1号楼，华阳小区2，3，4号楼，园丁康居1号楼，爱民道宿舍楼1号楼，正隆嘉园5号楼，农机楼1号楼，永泰2号楼，丰宁里2，1号楼，同乐小区1号楼，三小宿舍1号楼，康庄小区16，29，22，33号楼，金光小区10，1，11，12，2，3，4，5，6，7，8，9号楼，管道局一区3，10，5号楼，群华里小区1号楼，园林小区1号楼，办事处宿舍楼1号楼，骏丰小区1号楼，管道局五区1号楼，市药检所宿舍1号楼，市政小区1号楼，光明东道11号甲2号楼，天泰人和2，5号楼，干休所宿舍1号楼，兴盛公寓2号楼，长安小区6，5号楼，津元里、平房3，1号楼，工银里1号楼，永跃里小区1号楼，广阳公寓小区5，11，10，12，13，14，15，16，17，2，3，4，7，8，9号楼，儒苑小区一期16号楼，东日瑞景3号楼，儒苑小区教师公寓10，8号楼，9号楼，2号楼，3号楼，5号楼，4号楼，6号楼，7号楼，御泉湾7，8号楼，规划局东西胡同（金海公寓）2，1号楼，城市旺点7，19，17，18，20，21，旺点1，旺点2，旺点3，旺点4，旺点5，旺点6，旺点7，旺点8，旺点大厦，金安里1号楼，太平洋2号楼，金安里2号楼，金安里3号楼，1号楼，2号楼，3号楼，紫金华府7，一号楼，二号楼，三号楼，五号楼，六号楼，七号楼，八号楼，九号楼，十号楼，十一号楼，十二号楼，十三号楼，十五号楼，蓝水湾26，25，216，22，27，29，30A，30B，蓝水湾别墅区B-14，蓝水湾别墅区B-15，蓝水湾别墅区B-16，蓝水湾别墅区B-17，蓝水湾别墅区B-18，蓝水湾别墅区B-19号楼，管道局老四区21号楼，太平洋小区3号楼，和平丽景小区35号楼，金泰花园10，12，19，24，25号楼，金安里2，3，1号楼，2号楼，3号楼，十小宿舍1号楼，春明里3，1，2，4号楼，金元小区3，1，10，11，12，13，14，15，2，4，5，6，7，8，9号楼，颐和佳苑5，11，13号楼，15号楼，16号楼，3号楼，7号楼，燃料宿舍1号楼，盛世嘉豪5号楼，百合园1号楼，新新小镇1，2，3，4，5，6，7，8，9号楼，宏程华苑1号楼2号楼3号楼，德仁永兴苑1#楼，3#楼号楼，东方花园小区2，9号楼，政法小区1号楼，2号楼，3号楼，4号楼，5号楼，6号楼，7号楼，远洋光华城一期一区7栋号楼，尚都公馆小区2号楼，新奥小区9号楼，4210小区1，2，3，4，5号楼，七中教师公寓1号楼，新欣里小区1，2号楼，新财小区A，B，C，D，E，F号楼，金地小区1，2，3，4，5，6号楼，保险公司宿舍1号楼，丰盛楼1号楼，农电宿舍楼号楼，南安华里3号楼，4号楼，6号楼，和善里平房，妇幼宿舍，新兴里，星盛园5号楼，星盛园6号楼，曙光小区1号楼，曙光小区2号楼，曙光小区4号楼，曙光楼1号楼，洁净里，眼科宿舍，福兴里10号，13号，14号楼，紫光楼1号楼，红星里1号楼，红星里2号楼，蔬菜公司平房蔬菜公司1号楼，蔬菜公司2号楼，蔬菜公司平房，裕民里1号楼，万众里小区1，2，3号楼，贸源里小区1号楼，富苑小区1，2，3号楼，盛园小区7号楼，8号楼，城建里1，2号楼，凤凰城29，30号楼，大学里西区公寓5#号楼，跃界花园1号楼，2号楼，一期教师公寓10，11，12，14，19，1，20，25，27，28，2，6，9号楼，廊和坊2，3，5号楼，逸树家小区2号楼，8号楼，4号楼，6号楼，3号楼，7号楼，1号楼，5号楼，11号楼，9号楼，10号楼，16号楼，15号楼，12号楼，13号楼，18号楼，19号楼，14号楼，17号楼，22号楼，20号楼，23号楼，26号楼，27号楼，25号楼，24号楼，21号楼，29号楼，30号楼，28号楼，31号楼，工商局宿舍平房，建工里2号楼，建工里平房，香榭里舍9号楼，安华里1号楼，环卫局宿舍1号楼，锦盛园1号，4号，2号楼，中建和悦国际22号楼，大拇指广场西区20#，西区5#，西区8#号楼，永和花园1号楼，3号楼，博泰公寓A栋，B栋号楼，红星紫郡红星紫郡小区5号楼，红星紫郡小区8号楼，红星紫郡小区11号楼，红星紫郡小区12号楼，红星紫郡小区14号楼，红星紫郡小区15号楼，红星紫郡小区17号楼，红星紫郡小区18号楼，红星紫郡小区19号楼，紫晶苑2，3，4，6号楼，7号楼，8号楼，9号楼，大学里三期14，15号楼，丫咪公寓号楼，花语城小区2-8地块3地块1号楼，3地块4号楼，八地块8号楼，八地块11号楼，五地块6号楼，五地块7号楼，五地块10号楼，汽配城小区5号楼6号楼，幸福城朗园11号楼，河工大宿舍楼1号楼，区计生局平房计生局宿舍平房号楼，市医院2#3#楼1号楼，市粮食局宿舍1号楼，新天地综合楼1号楼，区建设局宿舍56，58号楼，市畜牧局宿舍1，2，3号楼，上善颐园沁芳苑1号楼，沁芳苑4号楼，沁芳苑3号楼，沁芳苑5号楼，沁芳苑6号楼，沁芳苑12号楼，香邑廊桥A5号楼，A6号楼，B13号楼，B14号楼，BC1号楼，姮庆公寓小区1号楼，3号楼，7号楼，4号楼，2号楼，6号楼，5号楼，8号楼，9号楼，10号楼，阳光商住楼1号楼</w:t>
            </w:r>
          </w:p>
        </w:tc>
      </w:tr>
      <w:tr w14:paraId="0C68B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0EE35E5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43A5D0EB">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4B4CA781">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56C2DB6D">
            <w:pPr>
              <w:widowControl/>
              <w:wordWrap w:val="0"/>
              <w:spacing w:line="320" w:lineRule="exact"/>
              <w:ind w:firstLine="0" w:firstLineChars="0"/>
              <w:jc w:val="left"/>
              <w:rPr>
                <w:rFonts w:hint="eastAsia"/>
                <w:kern w:val="0"/>
                <w:sz w:val="24"/>
                <w:szCs w:val="24"/>
              </w:rPr>
            </w:pPr>
            <w:r>
              <w:rPr>
                <w:rFonts w:hint="eastAsia"/>
                <w:kern w:val="0"/>
                <w:sz w:val="24"/>
                <w:szCs w:val="24"/>
              </w:rPr>
              <w:t>外墙悬挂设施不规范（如过大、过高）或损坏松脱的情况办事处宿舍楼2号楼，五中宿舍楼1号楼，新月小区3号楼，师院二区6号楼，德源小区3，2号楼，光明东里5号楼，华祥里2，1号楼，集宁里4号楼，颖丽花园5号楼，127号甲1、2号楼2，1号楼，管道局新六区12号楼，居阳里3号楼，建安里1，单元楼号楼，新华小区2号楼，中医院宿舍2号楼，第七大街7号楼，三五三一小区4，22号楼，农兴里2号楼，广阳公寓小区5，9号楼，管道局老四区21号楼，管道局新四区43，37号楼，宏程华府2号楼3号楼5号楼6号楼7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福兴里11号，12号楼，万众里小区1，2，3号楼，群华里小区1号楼，贸源里小区1号楼，富苑小区1，2，3号楼，金光小区1，10，11，12，2，3，4，5，6，7，8，9号楼，城建里1，2号楼，春明里2，3，4号楼，一期教师公寓15，21，28，4号楼，规划局东西胡同（金海公寓）2，1号楼，市医院2#3#楼1号楼，市粮食局宿舍1号楼，市药检所宿舍1号楼，区建设局宿舍56，58号楼，市畜牧局宿舍1，2，3号楼</w:t>
            </w:r>
          </w:p>
        </w:tc>
      </w:tr>
      <w:tr w14:paraId="0F238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292AE2B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D4750C7">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63F2D023">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7527B3A4">
            <w:pPr>
              <w:widowControl/>
              <w:wordWrap w:val="0"/>
              <w:spacing w:line="320" w:lineRule="exact"/>
              <w:ind w:firstLine="0" w:firstLineChars="0"/>
              <w:jc w:val="left"/>
              <w:rPr>
                <w:rFonts w:hint="eastAsia"/>
                <w:kern w:val="0"/>
                <w:sz w:val="24"/>
                <w:szCs w:val="24"/>
              </w:rPr>
            </w:pPr>
            <w:r>
              <w:rPr>
                <w:rFonts w:hint="eastAsia"/>
                <w:kern w:val="0"/>
                <w:sz w:val="24"/>
                <w:szCs w:val="24"/>
              </w:rPr>
              <w:t>门窗玻璃存在破损、脱落等情况光明小区1号楼，土畜产1号楼，集宁里10，34号楼，康庄小区33号楼，居安里平房1号楼，管道局老四区21号楼，远洋光华城一期一区2栋，5栋号楼，东日瑞景8号楼，颐和佳苑14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三五三一小区6号楼，福兴里10号楼，万众里小区1，2，3号楼，群华里小区1号楼，贸源里小区1号楼，富苑小区1，2，3号楼，金光小区1，10，11，12，2，3，4，5，6，7，8，9号楼，专家公寓33号楼，幸福城朗园5栋，9栋号楼，十小宿舍1号楼，海关宿舍1栋楼号楼，北安华里8号，9号，2号楼，市医院2#3#楼1号楼，市粮食局宿舍1号楼，市药检所宿舍1号楼，新天地综合楼1号楼，区建设局宿舍56，58号楼，市畜牧局宿舍1，2，3号楼，花语城小区2-8地块二地块14号楼</w:t>
            </w:r>
          </w:p>
        </w:tc>
      </w:tr>
      <w:tr w14:paraId="44ACA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20FF255">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18D09421">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14CF6306">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73169706">
            <w:pPr>
              <w:widowControl/>
              <w:wordWrap w:val="0"/>
              <w:spacing w:line="320" w:lineRule="exact"/>
              <w:ind w:firstLine="0" w:firstLineChars="0"/>
              <w:jc w:val="left"/>
              <w:rPr>
                <w:rFonts w:hint="eastAsia"/>
                <w:kern w:val="0"/>
                <w:sz w:val="24"/>
                <w:szCs w:val="24"/>
              </w:rPr>
            </w:pPr>
            <w:r>
              <w:rPr>
                <w:rFonts w:hint="eastAsia"/>
                <w:kern w:val="0"/>
                <w:sz w:val="24"/>
                <w:szCs w:val="24"/>
              </w:rPr>
              <w:t>屋面排水不畅、漏水宏程华府2号楼3号楼5号楼6号楼7号楼，尚华城小区7号楼，德仁永兴苑1#楼，2#楼，3#楼，4#楼，5#楼，6#楼号楼，前锋小区乙1，乙2，乙3，乙4，甲1，甲2，甲3，甲4，号楼，奥富斯小区1号，2号楼，3号楼，安居花园小区1号楼、3号楼、5号楼、7号楼，2号楼，4，6，8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蓝水湾别墅区B-16，蓝水湾别墅区B-17，蓝水湾别墅区B-18，蓝水湾别墅区B-19号楼，向平里1号楼，春明里2，3号楼，华阳小区3，4，2号楼，凤凰城30号楼，大学里四期15号楼，廊和坊1，5号楼，汽配城小区5号楼6号楼，燃料宿舍1号楼，上善颐园沁芳苑1号楼，沁芳苑4号楼，沁芳苑3号楼，沁芳苑5号楼，沁芳苑6号楼，沁芳苑12号楼，姮庆公寓小区1号楼，3号楼，7号楼，4号楼，6号楼，5号楼，2号楼，8号楼，9号楼，10号楼</w:t>
            </w:r>
          </w:p>
        </w:tc>
      </w:tr>
      <w:tr w14:paraId="2A5C4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2E11519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972CFFC">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74A1EC1B">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02EBC7CA">
            <w:pPr>
              <w:widowControl/>
              <w:wordWrap w:val="0"/>
              <w:spacing w:line="320" w:lineRule="exact"/>
              <w:ind w:firstLine="0" w:firstLineChars="0"/>
              <w:jc w:val="left"/>
              <w:rPr>
                <w:rFonts w:hint="eastAsia"/>
                <w:kern w:val="0"/>
                <w:sz w:val="24"/>
                <w:szCs w:val="24"/>
              </w:rPr>
            </w:pPr>
            <w:r>
              <w:rPr>
                <w:rFonts w:hint="eastAsia"/>
                <w:kern w:val="0"/>
                <w:sz w:val="24"/>
                <w:szCs w:val="24"/>
              </w:rPr>
              <w:t>外墙内侧或地下室渗水漏水臻丽家园小区7，10号楼，交警楼1号楼，生产资料北院1号楼，康庄小区33，19号楼，33号楼，34号楼，9号楼，甲1号楼，管道局老四区21号楼，永兴小区10，11，12，15，16，17，18，19，1，20，21，22，23，25，26，2，3，4，5，6，7，8，9，27，28，29，30，31，32，33，36号楼，德荣帝景21#，23号楼，宏程华府2号楼3号楼5号楼6号楼7号楼，宏程华苑1号楼2号楼3号楼，尚华城小区12号楼，13号楼，20号楼，德仁永兴苑1#楼，2#楼，3#楼，4#楼，5#楼，6#楼号楼，蓝波湾10号楼，1号楼，2号楼，3号楼，5号楼，6号楼，7号楼，8号楼，9号楼，广阳公寓小区10，11，12，13，14，15，16，17，2，3，4，5，7，8，9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三五三四小区4号楼，3534小区7号楼，9号楼，8号楼，10号楼，3534小区5号楼，3534小区6号楼，廊北小区2号楼，新星里小区10，11，12，13，14，15，1，2，3，4，5，6，7，8，9号楼，馨领地小区10，11，12，13，15，16，5，6，7，8，9号楼，集宁里8号楼，党校宿舍1号楼，3号楼，2号楼，农林局宿舍楼2号楼，3号楼，5号楼，6号楼，4号楼，1号楼，园林小区1号楼，2号楼，骏丰小区1号楼，2号楼号楼，干休所1号楼，城建里1，2号楼，帝景天城11，17，21号楼，大学里四期7号楼，廊和坊1，2，3，4，5号楼，建委宿舍2号楼，1号楼号楼，武警宿舍2号楼，1号楼，华春里税务楼1号楼，书店楼1号楼号楼，物价楼1号楼，果品厂宿舍楼1号楼，干休所宿舍1号楼，土地局宿舍楼1号楼，党校宿舍楼1号楼，3号楼，旧楼，2号楼，博泰公寓A栋，B栋号楼，花语城小区2-8地块3地块5号楼，6地块3号楼，八地块17号楼，宏昇华庭2号楼3号楼5号楼，汽配城小区5号楼6号楼，上善颐园沁芳苑1号楼，沁芳苑4号楼，沁芳苑3号楼，沁芳苑5号楼，沁芳苑6号楼，沁芳苑12号楼，香邑廊桥B11号楼，姮庆公寓小区5号楼</w:t>
            </w:r>
          </w:p>
        </w:tc>
      </w:tr>
      <w:tr w14:paraId="5830E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3208909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0D9EA20F">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19BBC057">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52CE877F">
            <w:pPr>
              <w:widowControl/>
              <w:wordWrap w:val="0"/>
              <w:spacing w:line="320" w:lineRule="exact"/>
              <w:ind w:firstLine="0" w:firstLineChars="0"/>
              <w:jc w:val="left"/>
              <w:rPr>
                <w:rFonts w:hint="eastAsia"/>
                <w:kern w:val="0"/>
                <w:sz w:val="24"/>
                <w:szCs w:val="24"/>
              </w:rPr>
            </w:pPr>
            <w:r>
              <w:rPr>
                <w:rFonts w:hint="eastAsia"/>
                <w:kern w:val="0"/>
                <w:sz w:val="24"/>
                <w:szCs w:val="24"/>
              </w:rPr>
              <w:t>外墙装饰材料和保温材料损坏或脱落面积10平方米以下尚华城小区16，9号楼，德仁新苑10，11，9，8号楼，蓝波湾9，8，10号楼，1号楼，2号楼，3号楼，5号楼，6号楼，7号楼，8号楼，9号楼，畜牧局宿舍1号楼，安泰小区3号楼，水务宿舍1号楼，阳光逸墅小区2号楼，前锋小区甲一号楼，奥富斯小区3，2号楼，安居花园小区4号楼，电大宿舍3号楼，师院二区6号楼，光明小区2号楼，臻丽家园小区5号楼，工行宿舍楼1号楼，华祥里2号楼，秀景花园西区1号楼，久安里2号楼，聚星苑3，4号楼，警金里2号楼，裕华小区南区12号楼，华夏经典A2号楼，第七大街9号楼，大家新城2号楼，宏昇华庭2，2号楼3号楼5号楼，尚北金里小区3b号楼，河工大教师公寓4号楼，卫生局宿舍楼1号楼，爱民道宿舍楼1号楼，金光小区10，1，11，12，2，3，4，5，6，7，8，9号楼，群华里小区1号楼，办事处宿舍楼1号楼，骏丰小区1号楼，干休所宿舍1号楼，兴盛公寓2号楼，长安小区6，5号楼，广阳公寓小区11号楼，御泉湾7，8号楼，金泰花园10，25号楼，金安里2，1号楼，2号楼，3号楼，金元小区3，1，10，11，12，13，14，15，2，4，5，6，7，8，9号楼，德荣帝景16号楼，17号楼，宏程华府2号楼3号楼5号楼6号楼7号楼，宏程华苑1号楼2号楼3号楼，传输局小区1号楼，颐和佳苑16号楼，5号楼，阿尔卡迪亚帝景园6号楼，帝景园7号楼，帝景园8号楼，帝景园9号楼，帝景园11号楼，帝景园14号楼，帝景园19号楼，骏景园3号楼，骏景园6号楼，骏景园7号楼，骏景园8号楼，城市旺点17，18，20，21，旺点1，旺点2，旺点3，旺点4，旺点5，旺点6，旺点7，旺点8，旺点大厦，金安里1号楼，太平洋2号楼，金安里2号楼，金安里3号楼，1号楼，2号楼，3号楼，新奥小区10号楼，一号别墅，1号楼，2号别墅，2号楼，3号楼，4号楼，5号楼，6号楼，7号楼，9号楼，裕民里1号楼，管道局一区10号楼，康庄小区19号楼，3号楼，6号楼，大学里西区公寓5#号楼，帝景天城17号楼，大学里四期17号楼，20号楼，廊和坊2，5号楼，儒苑小区教师公寓8号楼，9号楼，2号楼，3号楼，5号楼，4号楼，6号楼，7号楼，十小宿舍1号楼，大拇指广场西区7#号楼，平旺里1，2，4号楼，红星紫郡小区8号楼，红星紫郡小区11号楼，红星紫郡小区14号楼，红星紫郡小区17号楼，红星紫郡小区18号楼，红星紫郡小区19号楼，紫晶苑4，5号楼，大学里三期14，15号楼，香榭里舍11号楼，花语城小区2-8地块3地块1号楼，3地块4号楼，五地块4号楼，规划局东西胡同（金海公寓）2，1号楼，市粮食局宿舍1号楼，区建设局宿舍56，58号楼，市畜牧局宿舍1，2，3号楼，姮庆公寓小区1号楼，3号楼，7号楼，4号楼，5号楼，6号楼，2号楼，8号楼，9号楼，10号楼</w:t>
            </w:r>
          </w:p>
        </w:tc>
      </w:tr>
      <w:tr w14:paraId="13CBA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833C22A">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24ACA132">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0DB0D023">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532D8171">
            <w:pPr>
              <w:widowControl/>
              <w:wordWrap w:val="0"/>
              <w:spacing w:line="320" w:lineRule="exact"/>
              <w:ind w:firstLine="0" w:firstLineChars="0"/>
              <w:jc w:val="left"/>
              <w:rPr>
                <w:rFonts w:hint="eastAsia"/>
                <w:kern w:val="0"/>
                <w:sz w:val="24"/>
                <w:szCs w:val="24"/>
              </w:rPr>
            </w:pPr>
            <w:r>
              <w:rPr>
                <w:rFonts w:hint="eastAsia"/>
                <w:kern w:val="0"/>
                <w:sz w:val="24"/>
                <w:szCs w:val="24"/>
              </w:rPr>
              <w:t>外墙装饰材料和保温材料损坏或脱落面积10至30平方米蓝波湾10，10号楼，1号楼，2号楼，3号楼，5号楼，6号楼，7号楼，8号楼，9号楼，畜牧局宿舍1号楼，安泰小区3号楼，师院二区6号楼，光明小区2号楼，臻丽家园小区7号楼，花城小区3号楼，华祥里1号楼，金源丽都1号楼，警金里2号楼，华夏经典A2号楼，安美家园1号楼，三五三一小区23，15，1号楼，2号楼，3号楼，4号楼，5号楼，6号楼，尚北金里小区3b号楼，华阳小区2号楼，农机楼1号楼，群华里小区1号楼，办事处宿舍楼1号楼，光明东道11号甲2号楼，长安小区6号楼，城市旺点7，19，17，18，20，21，旺点1，旺点2，旺点3，旺点4，旺点5，旺点6，旺点7，旺点8，旺点大厦，金安里1号楼，太平洋2号楼，金安里2号楼，金安里3号楼，1号楼，2号楼，3号楼，太平洋小区3号楼，金安里2，3，1号楼，2号楼，3号楼，金元小区3，1，10，11，12，13，14，15，2，4，5，6，7，8，9号楼，新奥小区10号楼，一号别墅，1号楼，2号别墅，2号楼，3号楼，4号楼，5号楼，6号楼，7号楼，9号楼，城建里1，2号楼，春明里2号楼，北安华里8号，12号楼，大拇指广场西区2#号楼，姮庆公寓小区5号楼</w:t>
            </w:r>
          </w:p>
        </w:tc>
      </w:tr>
      <w:tr w14:paraId="25B4E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067CCF72">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7D2EEC87">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0C34E604">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6468DB60">
            <w:pPr>
              <w:widowControl/>
              <w:wordWrap w:val="0"/>
              <w:spacing w:line="320" w:lineRule="exact"/>
              <w:ind w:firstLine="0" w:firstLineChars="0"/>
              <w:jc w:val="left"/>
              <w:rPr>
                <w:rFonts w:hint="eastAsia"/>
                <w:kern w:val="0"/>
                <w:sz w:val="24"/>
                <w:szCs w:val="24"/>
              </w:rPr>
            </w:pPr>
            <w:r>
              <w:rPr>
                <w:rFonts w:hint="eastAsia"/>
                <w:kern w:val="0"/>
                <w:sz w:val="24"/>
                <w:szCs w:val="24"/>
              </w:rPr>
              <w:t>外墙装饰材料和保温材料损坏或脱落面积30平方米以上师院二区6号楼，光明小区2号楼，臻丽家园小区7号楼，同顺里1号楼，中房馨园9号楼，警金里2号楼，华夏经典A2号楼，三五三一小区23号楼，尚北金里小区3b号楼，办事处宿舍楼1号楼，光明东道11号甲2号楼，兴盛公寓2号楼，太平洋小区3号楼，金安里2，3，1号楼，2号楼，3号楼，德荣帝景25号楼，尚华城小区19号楼，22号楼，蓝波湾10号楼，1号楼，2号楼，3号楼，5号楼，6号楼，7号楼，8号楼，9号楼，广阳公寓小区10，11，12，13，14，15，16，17，2，3，4，5，7，8，9号楼，政法小区1号楼，2号楼，3号楼，4号楼，5号楼，6号楼，7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管道局一区5号楼，春明里1，3号楼</w:t>
            </w:r>
          </w:p>
        </w:tc>
      </w:tr>
      <w:tr w14:paraId="74144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2902A316">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65375377">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1689D938">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415EFCC8">
            <w:pPr>
              <w:widowControl/>
              <w:wordWrap w:val="0"/>
              <w:spacing w:line="320" w:lineRule="exact"/>
              <w:ind w:firstLine="0" w:firstLineChars="0"/>
              <w:jc w:val="left"/>
              <w:rPr>
                <w:rFonts w:hint="eastAsia"/>
                <w:kern w:val="0"/>
                <w:sz w:val="24"/>
                <w:szCs w:val="24"/>
              </w:rPr>
            </w:pPr>
            <w:r>
              <w:rPr>
                <w:rFonts w:hint="eastAsia"/>
                <w:kern w:val="0"/>
                <w:sz w:val="24"/>
                <w:szCs w:val="24"/>
              </w:rPr>
              <w:t>电动自行车乱拉飞线充电、消防安全管理不到位植物油厂宿舍2号楼，1206宿舍3号楼，盛德花园48号楼，机械厂宿舍1号楼，水务宿舍1号楼，八中宿舍1，2号楼，办事处工程楼1号楼，职教小区5，9号楼，师院一区1，2号楼，常春里小区1，4号楼，师院二区6号楼，永兴小区8，7号楼，光明小区2号楼，炮校家属院1，102，5，10，4，9，8号楼，红星紫郡9，红星紫郡小区3号楼，红星紫郡小区4号楼，红星紫郡小区5号楼，红星紫郡小区7号楼，红星紫郡小区8号楼，红星紫郡小区9号楼，红星紫郡小区10号楼，红星紫郡小区11号楼，红星紫郡小区12号楼，红星紫郡小区13号楼，红星紫郡小区15号楼，红星紫郡小区16号楼，红星紫郡小区17号楼，红星紫郡小区18号楼，光明东里1，5号楼，华祥里2，6，5，1号楼，同顺里1，2号楼，华森楼1号楼，世纪花园18，1-（2），18#，17#，16#，15#，12#，10#，11#，9#，8#，7#，6#，5#，3#，2#，1#号楼，世锦名城16号楼，裕西里5号楼，土畜产1号楼，群乐里5、9号楼9，5号楼，圣泰新苑南区1号楼，富兴里1号楼，集宁里8，28，35号楼，德安里9号楼，粮食局宿舍3号楼，益民花园小区3号楼，127号甲1、2号楼1号楼，建新楼1号楼，管道局新六区14，7号楼，冶炼厂家属院4号楼，外贸粮油楼1号楼，居阳里3，2号楼，物资楼1号楼，新星里小区2，10，11，12，13，14，15，1，3，4，5，6，7，8，9号楼，丰华里1号楼，廊北小区2，1号楼，警金里2号楼，三五三四小区2，3，2号楼，3号楼，4号楼，3534小区7号楼，9号楼，8号楼，10号楼，3534小区5号楼，3534小区6号楼，法院宿舍17号楼，华夏经典A2，A1号楼，第七大街7，1，9，2号楼，宏泰龙邸10，16号楼，银丰家园1号楼，鸿坤理想澜湾18，10，21号楼，三五三一小区23，15，2号楼，第八大街东区H号楼，大官庄小区1，2，6号楼，银河大街（10、11号楼）10，11号楼，卫生局宿舍楼1号楼，华阳小区2，3号楼，园丁康居1号楼，爱民道宿舍楼1号楼，正隆嘉园2号楼，农机楼1号楼，房产楼1号楼，粮工楼1号楼，丰宁里2，1号楼，同乐小区1号楼，三小宿舍1号楼，管道局一区3号楼，康庄小区22，34，39，33，28号楼，群华里小区1号楼，管道局三区11号楼，万众里小区3，1，2号楼，办事处宿舍楼1号楼，建委宿舍1号楼，武警宿舍1号楼，骏丰小区1号楼，贸源里小区1号楼，管道局五区1号楼，市药检所宿舍1号楼，市政小区1号楼，馨平公寓2号楼，华春里税务楼1号楼，物价楼1号楼，农行宿舍楼1，南楼，北楼号楼，光明东道11号甲2号楼，干休所宿舍1号楼，兴盛公寓2号楼，三中南楼1号楼，长安小区6，5号楼，津元里、平房3，1号楼，聚贤楼1号楼，永跃里小区1号楼，广阳公寓小区5，11，9，2，10，12，13，14，15，16，17，3，4，7，8号楼，儒苑小区教师公寓2，8号楼，9号楼，2号楼，3号楼，5号楼，4号楼，6号楼，7号楼，骆庄教师公寓2号楼，御泉湾7号楼，规划局东西胡同（金海公寓）1，2，5，4，6，3号楼，紫金华府8，7号楼，阿尔卡迪亚5，14号楼，蓝水湾26，216，30B号楼，富华小区南区6，7，9，10，8号楼，管道局老四区21，20号楼，市政宿舍2，1号楼，太平洋小区3号楼，管道局新四区43，37号楼，和平丽景小区31，5号楼，城建里1，2号楼，金安里2，3，1号楼，2号楼，3号楼，十小宿舍1号楼，春明里3，2，4，5号楼，恒源里甲、乙1，甲，乙号楼，周各庄新区北区26号楼，燃料宿舍1号楼，幸福佳苑10，14，1号楼，德荣帝景21#，22#，23号楼，24号楼，25号楼，12号楼，15号楼，16号楼，17号楼，18号楼，5号楼，6号楼，7#，9#，10#，11#，8号楼，13号楼，14号楼，19号楼，20号楼，尚华城小区10号楼，12号楼，13号楼，市交通局宿舍1号楼，2号楼，蓝波湾10号楼，2号楼，3号楼，5号楼，前锋小区乙1，乙2，乙3，乙4，甲1，甲2，甲3，甲4，号楼，奥富斯小区1号，2号楼，3号楼，安居花园小区1号楼、3号楼、5号楼、7号楼，2号楼，4，6，8号楼，孔雀城天玺12#号楼，传输局小区1，2，4号楼，政法小区2号楼，4号楼，5号楼，7号楼，血站小区1号楼，东日瑞景12，13，2，3，4，5，6，9，1号楼，颐和佳苑14号楼，16号楼，1号楼，2号楼，4号楼，5号楼，6号楼，9号楼，牡丹苑1#，2#，3#，4#，5#号楼，锦绣名园春辉#，夏荷#，秋枫座，冬梅座号楼，锦绣家园1#，2#，3#，4#，5#，6#，7#，9#，10#，11#，地产大厦，锦绣大厦号楼，东方家园小区10号楼，11号楼，12号楼，13号楼，14号楼，15号楼，16号楼，1号楼，2号楼，3号楼，4号楼，5号楼，6号楼，7号楼，8号楼，9号楼，荣华里1，2，3号楼，圣泰花园1，2，3，4，5号楼，城市旺点17，18，20，21，旺点1，旺点2，旺点3，旺点4，旺点5，旺点6，旺点7，旺点8，旺点大厦，金安里1号楼，太平洋2号楼，金安里2号楼，金安里3号楼，1号楼，2号楼，3号楼，新奥小区10号楼，一号别墅，1号楼，2号别墅，2号楼，3号楼，4号楼，5号楼，6号楼，7号楼，金元小区1，10，11，12，13，14，15，2，3，4，5，6，7，8，9号楼，中医院宿舍1号楼，2号楼，3号楼，4号楼，向阳里1号楼，2号楼，3号楼，4号楼，5号楼，建华里10，11，12，1，2，6，7，8，9号楼，建安里2号楼，3号楼，单栋楼，1号综合楼号楼，百殿园3号楼，馨领地小区10，11，12，13，15，16，1，2，3，4，5，6，7，8，9号楼，久安里1号楼，南安华里5号楼，星盛园星盛园4号楼，福兴里13号楼，红星里3号楼，红星里5号楼，红星里7号楼，红星里8号楼，卫校宿舍1，2，3，4，5，6号楼，富苑小区1，2，3号楼，金光小区1，10，11，12，2，3，4，5，6，7，8，9号楼，晓廊坊小区10号楼，11号楼，12号楼，13号楼，2号楼，3号楼，6号楼，育才楼1号楼，专家公寓24号楼，凤凰城109，112，119，123，124，125，126，127，128，129，130，131，132，133，134，135，136号楼，一期教师公寓10，12，13，15，16，17，19，1，23，25，27，3，6，8号楼，安装公司宿舍西改，东二，东四，西二，西四，东改，东一，东三，西一，西三，西五号楼，移动通信小区12，7号楼，香榭里舍8号楼，5号楼，9号楼，6号楼，3号楼，7号楼，4号楼，10号楼，2号楼，11号楼，人行宿舍1#号楼，海关宿舍1栋楼号楼，天河15号15号楼，天河小区北区14，13号楼，天河小区南区2，3号楼，金桥花园1-4，1-2，1-6，1-3，1-5，1-7，1-1，1-9，1-10，1-8，2-1，2-3，2-4，2-6，2-5，2-7，2-8，2-9，2-2，2-10，2-11，2-12，3-4，3-1，3-3，3-5，3-6，3-7，3-8，2-13，3-9，4-1，3-2，4-2，4-3，4-5，4-6，4-8，5-1，5-2，5-3，4-4，5-6，5-5，4-7，5-4，6-3，6-2，6-5，6-6，6-7，6-8，6-1，6-4，5-7号楼，安华里1号楼1号楼，北安华里8号，11号，10号，9号，2号楼，锦盛园1号，4号，2号楼，博泰公寓B栋号楼，紫晶苑1，2，3，17，19，21，22，23，25，26，28号楼，汽配城小区5号楼6号楼，安泰小区1#，2#，3#，4#，5#，6#，7#，8#，10#，12#，14#，15#号楼，畜牧局宿舍1栋号楼，永泰1号楼，供电楼1号楼1号楼，建工里1号楼，市医院2#3#楼1号楼，市粮食局宿舍1号楼，新天地综合楼1号楼，区建设局宿舍56，58号楼，市畜牧局宿舍1，2，3号楼，花语城小区2-8地块二地块12号楼，七地块11号楼，香邑廊桥A1号楼，B3号楼，B2号楼，B13号楼，B11号楼，丰茂街平房91户号楼，供销社宿舍15，13，14号楼，服装厂楼1号楼，新华宿舍楼1号楼，工行楼1号楼，蓝珏花园小区6号楼</w:t>
            </w:r>
          </w:p>
        </w:tc>
      </w:tr>
      <w:tr w14:paraId="7E79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4977A278">
            <w:pPr>
              <w:widowControl/>
              <w:kinsoku w:val="0"/>
              <w:wordWrap w:val="0"/>
              <w:spacing w:line="320" w:lineRule="exact"/>
              <w:ind w:firstLine="0" w:firstLineChars="0"/>
              <w:jc w:val="center"/>
              <w:rPr>
                <w:rFonts w:hint="eastAsia"/>
                <w:kern w:val="0"/>
                <w:sz w:val="24"/>
                <w:szCs w:val="24"/>
              </w:rPr>
            </w:pPr>
            <w:r>
              <w:rPr>
                <w:rFonts w:hint="eastAsia"/>
                <w:kern w:val="0"/>
                <w:sz w:val="24"/>
                <w:szCs w:val="24"/>
              </w:rPr>
              <w:t>3</w:t>
            </w:r>
          </w:p>
        </w:tc>
        <w:tc>
          <w:tcPr>
            <w:tcW w:w="425" w:type="pct"/>
            <w:vMerge w:val="restart"/>
            <w:shd w:val="clear" w:color="auto" w:fill="auto"/>
            <w:noWrap/>
            <w:vAlign w:val="center"/>
          </w:tcPr>
          <w:p w14:paraId="0DA0A70B">
            <w:pPr>
              <w:widowControl/>
              <w:kinsoku w:val="0"/>
              <w:wordWrap w:val="0"/>
              <w:spacing w:line="320" w:lineRule="exact"/>
              <w:ind w:firstLine="0" w:firstLineChars="0"/>
              <w:jc w:val="center"/>
              <w:rPr>
                <w:rFonts w:hint="eastAsia"/>
                <w:kern w:val="0"/>
                <w:sz w:val="24"/>
                <w:szCs w:val="24"/>
              </w:rPr>
            </w:pPr>
            <w:r>
              <w:rPr>
                <w:rFonts w:hint="eastAsia"/>
                <w:kern w:val="0"/>
                <w:sz w:val="24"/>
                <w:szCs w:val="24"/>
              </w:rPr>
              <w:t>存在管线管道破损的住宅数量</w:t>
            </w:r>
          </w:p>
        </w:tc>
        <w:tc>
          <w:tcPr>
            <w:tcW w:w="551" w:type="pct"/>
            <w:vMerge w:val="restart"/>
            <w:shd w:val="clear" w:color="auto" w:fill="auto"/>
            <w:noWrap/>
            <w:vAlign w:val="center"/>
          </w:tcPr>
          <w:p w14:paraId="6735157A">
            <w:pPr>
              <w:widowControl/>
              <w:kinsoku w:val="0"/>
              <w:wordWrap w:val="0"/>
              <w:spacing w:line="320" w:lineRule="exact"/>
              <w:ind w:firstLine="0" w:firstLineChars="0"/>
              <w:jc w:val="center"/>
              <w:rPr>
                <w:rFonts w:hint="eastAsia"/>
                <w:kern w:val="0"/>
                <w:sz w:val="24"/>
                <w:szCs w:val="24"/>
              </w:rPr>
            </w:pPr>
            <w:r>
              <w:rPr>
                <w:rFonts w:hint="eastAsia"/>
                <w:kern w:val="0"/>
                <w:sz w:val="24"/>
                <w:szCs w:val="24"/>
              </w:rPr>
              <w:t>387</w:t>
            </w:r>
          </w:p>
        </w:tc>
        <w:tc>
          <w:tcPr>
            <w:tcW w:w="3759" w:type="pct"/>
            <w:shd w:val="clear" w:color="auto" w:fill="auto"/>
            <w:noWrap/>
            <w:vAlign w:val="center"/>
          </w:tcPr>
          <w:p w14:paraId="7A85EA45">
            <w:pPr>
              <w:widowControl/>
              <w:wordWrap w:val="0"/>
              <w:spacing w:line="320" w:lineRule="exact"/>
              <w:ind w:firstLine="0" w:firstLineChars="0"/>
              <w:jc w:val="left"/>
              <w:rPr>
                <w:rFonts w:hint="eastAsia"/>
                <w:kern w:val="0"/>
                <w:sz w:val="24"/>
                <w:szCs w:val="24"/>
              </w:rPr>
            </w:pPr>
            <w:r>
              <w:rPr>
                <w:rFonts w:hint="eastAsia"/>
                <w:kern w:val="0"/>
                <w:sz w:val="24"/>
                <w:szCs w:val="24"/>
              </w:rPr>
              <w:t>存在给水管线跑冒滴漏、排水管线老化破损、渗漏堵塞的问题广阳公寓小区10，11，12，13，14，15，16，17，2，3，4，5，7，8，9号楼，向平里1，2，3，4号楼，万众里小区1，2，3号楼，卫校宿舍1，2，3，4，5，6号楼，群华里小区1号楼，贸源里小区1号楼，富苑小区1，2，3号楼，金光小区1，10，11，12，2，3，4，5，6，7，8，9号楼，党校宿舍1号楼，3号楼，2号楼，农林局宿舍楼2号楼，3号楼，5号楼，6号楼，4号楼，1号楼，园林小区1号楼，2号楼，骏丰小区1号楼，2号楼号楼，干休所1号楼，城建里1，2号楼，华阳小区3，4，2号楼，一期教师公寓22，23，24，3，7号楼，建委宿舍2号楼，1号楼，武警宿舍2号楼，1号楼，华春里税务楼1号楼，书店楼1号楼号楼，物价楼1号楼，果品厂宿舍楼1号楼，干休所宿舍1号楼，土地局宿舍楼1号楼，党校宿舍楼1号楼，3号楼，旧楼，2号楼，汽配城小区5号楼6号楼，燃料宿舍1号楼，市医院2#3#楼1号楼，市粮食局宿舍1号楼，市药检所宿舍1号楼，新天地综合楼1号楼，区建设局宿舍56，58号楼，市畜牧局宿舍1，2，3号楼，姮庆公寓小区1号楼，3号楼，7号楼，4号楼，6号楼，2号楼，8号楼，9号楼，10号楼，供销社宿舍13，15，14号楼</w:t>
            </w:r>
          </w:p>
        </w:tc>
      </w:tr>
      <w:tr w14:paraId="5D5D8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0E1AF7FF">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3BA89D52">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4EA828A8">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242C9504">
            <w:pPr>
              <w:widowControl/>
              <w:wordWrap w:val="0"/>
              <w:spacing w:line="320" w:lineRule="exact"/>
              <w:ind w:firstLine="0" w:firstLineChars="0"/>
              <w:jc w:val="left"/>
              <w:rPr>
                <w:rFonts w:hint="eastAsia"/>
                <w:kern w:val="0"/>
                <w:sz w:val="24"/>
                <w:szCs w:val="24"/>
              </w:rPr>
            </w:pPr>
            <w:r>
              <w:rPr>
                <w:rFonts w:hint="eastAsia"/>
                <w:kern w:val="0"/>
                <w:sz w:val="24"/>
                <w:szCs w:val="24"/>
              </w:rPr>
              <w:t>存在采暖季温度不达标问题蓝波湾10号楼，1号楼，2号楼，3号楼，5号楼，6号楼，7号楼，8号楼，9号楼，廊北小区1，2号楼，新星里小区10，11，12，13，14，15，1，2，3，4，5，6，7，8，9号楼，馨领地小区10，11，12，13，15，16，1，2，3，4，5，6，7，8，9号楼，馨钻界小区3号楼，4号楼，6号楼，7号楼，8号楼，城建里1，2号楼，春明里1，2，3，4，5号楼，十小宿舍1号楼，春和南区7，10号楼，春和北区3，2号楼，姮庆公寓小区5号楼</w:t>
            </w:r>
          </w:p>
        </w:tc>
      </w:tr>
      <w:tr w14:paraId="42C2B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83A47FF">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1EE8EE96">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6915A803">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7EDB6BC7">
            <w:pPr>
              <w:widowControl/>
              <w:wordWrap w:val="0"/>
              <w:spacing w:line="320" w:lineRule="exact"/>
              <w:ind w:firstLine="0" w:firstLineChars="0"/>
              <w:jc w:val="left"/>
              <w:rPr>
                <w:rFonts w:hint="eastAsia"/>
                <w:kern w:val="0"/>
                <w:sz w:val="24"/>
                <w:szCs w:val="24"/>
              </w:rPr>
            </w:pPr>
            <w:r>
              <w:rPr>
                <w:rFonts w:hint="eastAsia"/>
                <w:kern w:val="0"/>
                <w:sz w:val="24"/>
                <w:szCs w:val="24"/>
              </w:rPr>
              <w:t>存在电力电信管线老化破损及裸露、私搭乱接的问题宏泰花园1号楼，植物油厂宿舍2号楼，盛德花园14，13，48号楼，1206宿舍3号楼，市交通局宿舍1号楼，畜牧局宿舍1号楼，金属柜宿舍1号楼，机械厂宿舍1号楼，办事处宿舍楼2，1号楼，电缆厂宿舍1，2号楼，水务宿舍1号楼，前锋小区2号楼，甲一号楼，2，3，乙2号楼，甲3，乙1，乙2，乙3，乙4，甲1，甲2，甲3，甲4，号楼，水泥厂宿舍楼1号楼，五中宿舍楼1号楼，文苑小区3号楼，师范学院三区10，5，7号楼，办事处工程楼1号楼，职教小区5，9号楼，师院一区1，2号楼，常春里小区1，2，4号楼，钨钼厂宿舍小区1号楼，兴华小区1号楼，师院二区1，6号楼，永兴小区8，7号楼，德源小区2号楼，平安小区3号楼，光明小区1，2号楼，臻丽家园小区7号楼，畅想家园所有楼盘号楼，炮校家属院102号楼，金源小区1号楼，工行宿舍楼2号楼，光明东里1，5号楼，华祥里2，6，5，1号楼，格林郡府（A、B、C、D区）1号楼，同顺里2号楼，华森楼1号楼，平旺里2号楼，天河15号15号楼，天河小区北区14号楼，芳泽园小区4号楼，东方家园小区4号楼，群乐里10号楼10号楼，土畜产1号楼，群乐里5、9号楼9，5号楼，集宁里1，9，8，35，26，28号楼，荣福里1号楼，圣泰新苑南区1，4号楼，向平里6号楼，富兴里1号楼，和风里2号楼，韩一宿舍1号楼，益民花园小区7，6，3号楼，127号甲1、2号楼5，1号楼，粮食局宿舍3号楼，康顺里6号楼，久安里2号楼，新光里2号楼，管道局新六区4，12，14号楼，圣泰新苑北区2号楼，人寿保险宿舍1号楼，冶炼厂家属院3，4号楼，建新楼1号楼，保险公司宿舍1号楼，公安楼1号楼，交警楼1号楼，生产资料北院1号楼，水文局宿舍1号楼，外贸粮油楼1号楼，管道局老六区3号楼，民政局宿舍1号楼，居阳里3，2号楼，日华里2号楼，物资楼1号楼，华苑小区7，8号楼，建安里1，单元楼号楼，馨领地小区1号楼，政协宿舍1号楼，新华北小区1号楼，新星里小区2，4号楼，丰华里1，2号楼，热力宿舍1，2号楼，企业局宿舍2号楼，新华小区2号楼，中医院宿舍小二楼，4，2号楼，供电局宿舍2号楼，烟草宿舍4，1号楼，廊北小区15，2号楼，三五三四小区3号楼，裕华小区南区12，11，10号楼，法院宿舍17号楼，华夏经典A2号楼，第七大街6号楼，玥尚小区1号楼，三五三一小区25，24，21，22，23，4，8，15，2号楼，尚北金里小区3号楼，农兴里2号楼，丰盛路平房区1号楼，大官庄小区1，2，6号楼，银河大街（10、11号楼）10，11号楼，卫生局宿舍楼1号楼，华阳小区2，3，4号楼，政府1-3号楼1号楼，农行楼2号楼，北白楼（大官庄3号楼）1，3号楼，园丁康居2号楼，爱民道宿舍楼1号楼，农机楼1号楼，房产楼1号楼，粮工楼1号楼，永泰2号楼，供电宿舍楼（大官庄3号楼）1号楼，丰宁里2号楼，大官庄2号楼2号楼，康庄小区16，29，22，33号楼，金光小区9，10，1，11，12，2，3，4，5，6，7，8号楼，群华里小区1号楼，管道局三区12，11号楼，万众里小区4，3，1，2号楼，园林小区1号楼，建委宿舍1，37号楼，武警宿舍1号楼，清河小区1号楼，富苑小区1，2，3号楼，骏丰小区1号楼，贸源里小区1号楼，管道局五区1号楼，市药检所宿舍1号楼，市政小区1号楼，馨平公寓2号楼，华春里税务楼1号楼，农行宿舍楼1，南楼，北楼号楼，地矿楼（地矿、向津里）1号楼，三中南楼1号楼，津元里、平房3，1号楼，长安小区6，5号楼，聚贤楼1号楼，传输局小区1，2号楼，广阳公寓小区5，11，2，10，12，13，14，15，16，17，3，4，7，8，9号楼，规划局东西胡同（金海公寓）1号楼，十小宿舍1号楼，供电楼1号楼1号楼，管道局老四区17，21号楼，市政宿舍2号楼，太平洋小区3号楼，管道局新四区43号楼，城建里1号楼，金安里2，1号楼，2号楼，3号楼，春明里3号楼，恒源里甲、乙1号楼，燃料宿舍1号楼，奥富斯小区1号，2号楼，3号楼，安居花园小区1号楼、3号楼、5号楼、7号楼，2号楼，4，6，8号楼，政法小区5号楼，远洋光华城一期一区1栋号楼，卫校宿舍1，2，3，4，5，6号楼，专家公寓24号楼，一期教师公寓14，18，20，27，2，4，5，7，9号楼，香榭里舍1号楼，7号楼，丫咪公寓号楼，幸福城朗园4栋号楼，幸福城欣园1栋号楼，市医院2#3#楼1号楼，市粮食局宿舍1号楼，新天地综合楼1号楼，区建设局宿舍56，58号楼，市畜牧局宿舍1，2，3号楼，供销社宿舍13，15，14号楼</w:t>
            </w:r>
          </w:p>
        </w:tc>
      </w:tr>
      <w:tr w14:paraId="363F7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43341A78">
            <w:pPr>
              <w:widowControl/>
              <w:kinsoku w:val="0"/>
              <w:wordWrap w:val="0"/>
              <w:spacing w:line="320" w:lineRule="exact"/>
              <w:ind w:firstLine="0" w:firstLineChars="0"/>
              <w:jc w:val="center"/>
              <w:rPr>
                <w:rFonts w:hint="eastAsia"/>
                <w:kern w:val="0"/>
                <w:sz w:val="24"/>
                <w:szCs w:val="24"/>
              </w:rPr>
            </w:pPr>
            <w:r>
              <w:rPr>
                <w:rFonts w:hint="eastAsia"/>
                <w:kern w:val="0"/>
                <w:sz w:val="24"/>
                <w:szCs w:val="24"/>
              </w:rPr>
              <w:t>4</w:t>
            </w:r>
          </w:p>
        </w:tc>
        <w:tc>
          <w:tcPr>
            <w:tcW w:w="425" w:type="pct"/>
            <w:vMerge w:val="restart"/>
            <w:shd w:val="clear" w:color="auto" w:fill="auto"/>
            <w:noWrap/>
            <w:vAlign w:val="center"/>
          </w:tcPr>
          <w:p w14:paraId="40E841F7">
            <w:pPr>
              <w:widowControl/>
              <w:kinsoku w:val="0"/>
              <w:wordWrap w:val="0"/>
              <w:spacing w:line="320" w:lineRule="exact"/>
              <w:ind w:firstLine="0" w:firstLineChars="0"/>
              <w:jc w:val="center"/>
              <w:rPr>
                <w:rFonts w:hint="eastAsia"/>
                <w:kern w:val="0"/>
                <w:sz w:val="24"/>
                <w:szCs w:val="24"/>
              </w:rPr>
            </w:pPr>
            <w:r>
              <w:rPr>
                <w:rFonts w:hint="eastAsia"/>
                <w:kern w:val="0"/>
                <w:sz w:val="24"/>
                <w:szCs w:val="24"/>
              </w:rPr>
              <w:t>需要进行适老化改造的住宅数量</w:t>
            </w:r>
          </w:p>
        </w:tc>
        <w:tc>
          <w:tcPr>
            <w:tcW w:w="551" w:type="pct"/>
            <w:vMerge w:val="restart"/>
            <w:shd w:val="clear" w:color="auto" w:fill="auto"/>
            <w:noWrap/>
            <w:vAlign w:val="center"/>
          </w:tcPr>
          <w:p w14:paraId="29376870">
            <w:pPr>
              <w:widowControl/>
              <w:kinsoku w:val="0"/>
              <w:wordWrap w:val="0"/>
              <w:spacing w:line="320" w:lineRule="exact"/>
              <w:ind w:firstLine="0" w:firstLineChars="0"/>
              <w:jc w:val="center"/>
              <w:rPr>
                <w:rFonts w:hint="eastAsia"/>
                <w:kern w:val="0"/>
                <w:sz w:val="24"/>
                <w:szCs w:val="24"/>
              </w:rPr>
            </w:pPr>
            <w:r>
              <w:rPr>
                <w:rFonts w:hint="eastAsia"/>
                <w:kern w:val="0"/>
                <w:sz w:val="24"/>
                <w:szCs w:val="24"/>
              </w:rPr>
              <w:t>767</w:t>
            </w:r>
          </w:p>
        </w:tc>
        <w:tc>
          <w:tcPr>
            <w:tcW w:w="3759" w:type="pct"/>
            <w:shd w:val="clear" w:color="auto" w:fill="auto"/>
            <w:noWrap/>
            <w:vAlign w:val="center"/>
          </w:tcPr>
          <w:p w14:paraId="4DAE6402">
            <w:pPr>
              <w:widowControl/>
              <w:wordWrap w:val="0"/>
              <w:spacing w:line="320" w:lineRule="exact"/>
              <w:ind w:firstLine="0" w:firstLineChars="0"/>
              <w:jc w:val="left"/>
              <w:rPr>
                <w:rFonts w:hint="eastAsia"/>
                <w:kern w:val="0"/>
                <w:sz w:val="24"/>
                <w:szCs w:val="24"/>
              </w:rPr>
            </w:pPr>
            <w:r>
              <w:rPr>
                <w:rFonts w:hint="eastAsia"/>
                <w:kern w:val="0"/>
                <w:sz w:val="24"/>
                <w:szCs w:val="24"/>
              </w:rPr>
              <w:t>建成时未安装电梯的多层住宅中具备加装电梯条件，但尚未加装改造畅想家园所有楼盘号楼，新新小镇1，2，3，4，5，6，7，8，9号楼，东方家园小区10号楼，11号楼，12号楼，13号楼，14号楼，15号楼，16号楼，1号楼，2号楼，3号楼，4号楼，5号楼，6号楼，7号楼，8号楼，9号楼，建华里11，12，1，2，6，7，8，9号楼，建安里2号楼，3号楼，单栋楼，1号综合楼号楼，旭景花园3，6，7，9号楼，百殿园1号楼，2号楼，3号楼，廊北小区1，2号楼，新星里小区10，11，12，13，14，15，1，2，3，4，5，6，7，8，9号楼，馨领地小区1，2，3，4号楼，丰盛小区10，3乙，3甲，6，7，8，9，人防5号楼，春华里3，10，11，12，4，5，6，7，8，9号楼，富春里1，2，3，4号楼，集宁里12号楼，公安楼小区2#号楼，实业小区1#，2#，3#，4#，5#，6#号楼，振财小区北楼，南楼号楼，聚星苑1#，2#，3#，4#，5#，6#，7#，8#，9#号楼，芳菲苑1#，2#，3#，4#，5#，6#，7#号楼，裕华北小区15#，16#，23#，24#，5#，6#，7#号楼，裕西里1号楼，2号楼，3号楼，4号楼，5号楼，万众里小区1，2，3号楼，卫校宿舍1，2，3，4，5，6号楼，群华里小区1号楼，贸源里小区1号楼，富苑小区1，2，3号楼，金光小区1，10，11，12，2，3，4，5，6，7，8，9号楼，管道局三区10，11，12，14，15，16，17，18，19，20，21，22，23，24，25，26，9号楼，城建里2号楼，专家公寓33，34号楼，裕华小区南区11，10，1，4，18，19，26，21，27，28，20，22，29，34，35，37，13，36，12号楼，海关宿舍1栋楼号楼，农科院专家博士楼1#号楼，平旺里1，2，3，4号楼，新开外贸1，2号楼，新明里2，3，1号楼，光明东道外贸1，2号楼，光明东里2，3，4，5，1号楼，市医院2#3#楼1号楼，市粮食局宿舍1号楼，市药检所宿舍1号楼，新天地综合楼1号楼，区建设局宿舍56，58号楼，市畜牧局宿舍1，2，3号楼，农行宿舍楼南楼，北楼号楼，向英里南院1，3，2号楼，向英里北院7，9，8，4，6，10，11，13，5，12号楼，供销社宿舍13，15，14号楼</w:t>
            </w:r>
          </w:p>
        </w:tc>
      </w:tr>
      <w:tr w14:paraId="107ED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3C36DF62">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20248699">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344C66D0">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7210FB1F">
            <w:pPr>
              <w:widowControl/>
              <w:wordWrap w:val="0"/>
              <w:spacing w:line="320" w:lineRule="exact"/>
              <w:ind w:firstLine="0" w:firstLineChars="0"/>
              <w:jc w:val="left"/>
              <w:rPr>
                <w:rFonts w:hint="eastAsia"/>
                <w:kern w:val="0"/>
                <w:sz w:val="24"/>
                <w:szCs w:val="24"/>
              </w:rPr>
            </w:pPr>
            <w:r>
              <w:rPr>
                <w:rFonts w:hint="eastAsia"/>
                <w:kern w:val="0"/>
                <w:sz w:val="24"/>
                <w:szCs w:val="24"/>
              </w:rPr>
              <w:t>住宅单元出入口和通道未进行无障碍改造、地面防滑处理1206宿舍5号楼，金属柜宿舍1号楼，万和嘉苑小区2号楼，机械厂宿舍1号楼，电缆厂宿舍1，2号楼，阳光逸墅小区1号楼，前锋小区2号楼，3，甲3号楼，奥富斯小区3，2号楼，安居花园小区6号楼，五中宿舍楼1号楼，海德公园小区5，6，2，7号楼，文苑小区3，6，11号楼，江南水郡小区10号楼，师范学院三区7号楼，八中宿舍1，2号楼，办事处工程楼1号楼，四中宿舍1号楼，附小宿舍楼1号楼，呈祥紫园小区9，7，4，3号楼，新月小区10，3号楼，常春里小区1，2，4号楼，钨钼厂宿舍小区1号楼，兴华小区1号楼，五小宿舍小区1号楼，平安小区4，1，2，3号楼，德源小区3号楼，炮校家属院1，101，102，75，5，10，4，9，8，7，6，2，3号楼，花城小区3，5，2号楼，书芳苑小区3，5号楼，中房馨美域8号楼，锦绣家园2，4，7，1#，2#，3#，4#，5#，6#，7#，9#，10#，11#，地产大厦，锦绣大厦号楼，华祥里6，2号楼，锦绣名园春晖座，夏荷座，春辉#，夏荷#，秋枫座，冬梅座号楼，华森楼1号楼，国际花园B区51号楼，世纪花园18，1-（2），18#，17#，16#，15#，12#，10#，11#，9#，8#，7#，6#，5#，3#，2#，1#号楼，天河小区北区14，13号楼，康乐花园小区8号楼，凤河公寓A号楼，芳泽园小区1号楼，秀景花园西区2，1号楼，群乐里10号楼10号楼，土畜产1号楼，群乐里5、9号楼9，5号楼，秀景花园东区2，1，3，4号楼，紫云轩1号楼，圣泰新苑南区1号楼，向平里6号楼，集宁里10，12，6，34，30，1，3，5，13号楼，14号楼，15号楼，16号楼，17号楼，18，19，20，21，22，23，25，27，28号楼，29号楼，30号楼，31号楼，32号楼，新开路33号楼33号楼，中铁物探家属楼1号楼，粮食局宿舍3号楼，金源丽都1号楼，群乐里小区（1-4，6-7）4，3号楼，新光里2号楼，管道局新六区4，5号楼，建委宿舍1，2，2号楼，1号楼，管道局老六区13，12，3，1号楼，民政局宿舍1，1号楼，居阳里3号楼，华苑小区7，8，14号楼，建安里1，单元楼号楼，丰华里1，2号楼，中医院宿舍4，小二楼，2号楼，廊北小区15号楼，华夏经典9，A2，A1号楼，第七大街6，1，9号楼，安美家园1号楼，华夏名筑6号楼，三五三一小区23，4号楼，尚北金里小区3B号楼，农兴里2号楼，河工大教师公寓4号楼，空中花园8号楼，银河大街（10、11号楼）10，11号楼，园丁康居1，2号楼，华阳小区2，3，4号楼，农机楼1号楼，丰宁里1号楼，同乐小区1号楼，三小宿舍1号楼，康庄小区28，10号楼，11号楼，12号楼，13号楼，14号楼，15号楼，16号楼，17号楼，19号楼，1号楼，20号楼，21号楼，22号楼，23号楼，25号楼，27号楼，28号楼，29号楼，2号楼，30号楼，32号楼，33号楼，34号楼，35号楼，37号楼，38号楼，39号楼，3号楼，40号楼，41号楼，43号楼，45号楼，4号楼，5号楼，6号楼，7号楼，8号楼，9号楼，甲1号楼，办事处宿舍楼1号楼，富苑小区1，2，3号楼，馨平公寓2号楼，居安里平房1号楼，兴盛公寓2号楼，长安小区6，5号楼，永跃里小区1号楼，政法小区4，7号楼，传输局小区1，2号楼，广阳公寓小区5，11号楼，东日瑞景3号楼，幸福城欣园9，12号楼，丹枫园12号楼，晓廊坊小区7号楼，供电楼1号楼1号楼，蓝水湾26号楼，管道局老四区17，18，21，15，20号楼，富华小区南区6，9号楼，管道局新四区32，34，43，37号楼，金安里2，1号楼，2号楼，3号楼，金元小区3，1，10，11，12，13，14，15，2，4，5，6，7，8，9号楼，蓝波湾10号楼，1号楼，2号楼，3号楼，5号楼，6号楼，7号楼，8号楼，9号楼，血站小区1号楼，牡丹苑1#，2#，3#，4#，5#号楼，东方家园小区10号楼，11号楼，12号楼，13号楼，14号楼，15号楼，16号楼，1号楼，2号楼，3号楼，4号楼，5号楼，6号楼，7号楼，8号楼，9号楼，荣华里1，2，3号楼，圣泰花园1，2，3，4，5号楼，新奥小区10号楼，一号别墅，1号楼，2号别墅，2号楼，3号楼，4号楼，5号楼，6号楼，7号楼，9号楼，馨领地小区1，2，3，4号楼，丰盛小区10，3乙，3甲，6，7，8，9，人防5号楼，春华里3，10，11，12，4，5，6，7，8，9号楼，富春里1，2，3，4号楼，众贤里1，2，3号楼，保险公司宿舍1号楼，和风里1号楼，2号楼，康健楼1号楼，日华里1，2，3号楼，水文局宿舍1号楼，荣福里1号楼，2号楼，公安楼小区2#号楼，实业小区1#，2#，3#，4#，5#，6#号楼，振财小区北楼，南楼号楼，聚星苑1#，2#，3#，4#，5#，6#，7#，8#，9#号楼，芳菲苑1#，2#，3#，4#，5#，6#，7#号楼，裕华北小区14#，15#，16#，23#，24#，5#，6#，7#号楼，万众里小区1，2，3号楼，卫校宿舍1，2，3，4，5，6号楼，群华里小区1号楼，贸源里小区1号楼，金光小区1，10，11，12，2，3，4，5，6，7，8，9号楼，党校宿舍1号楼，3号楼，2号楼，农林局宿舍楼2号楼，3号楼，5号楼，6号楼，4号楼，1号楼，园林小区1号楼，2号楼，骏丰小区1号楼，2号楼，干休所1号楼，城建里1号楼，一期教师公寓24号楼，儒苑小区教师公寓8号楼，9号楼，2号楼，3号楼，5号楼，4号楼，6号楼，7号楼，安装公司宿舍西改，东二，东四，西二，西四，东改，东一，东三，西一，西三，西五号楼，裕华小区南区11，10，1，4，18，19，26，21，27，28，20，22，29，34，35，37，13，36，12号楼，武警宿舍2号楼，1号楼，人行宿舍1#号楼，海关宿舍1栋楼号楼，华春里税务楼1号楼，书店楼1号楼，天河15号15号楼，天河小区南区2，3号楼，物价楼1号楼，果品厂宿舍楼1号楼，干休所宿舍1号楼，土地局宿舍楼1号楼，党校宿舍楼1号楼，3号楼，旧楼，2号楼，平旺里1，2，3，4号楼，新开外贸1，2号楼，新明里2，3，1号楼，光明东道外贸1，2号楼，光明东里2，3，4，5，1号楼，汽配城小区5号楼6号楼，市医院2#3#楼1号楼，市粮食局宿舍1号楼，市药检所宿舍1号楼，新天地综合楼1号楼，区建设局宿舍56，58号楼，市畜牧局宿舍1，2，3号楼，人寿保险宿舍1号楼，向英里南院3，1，2号楼，向英里北院7，9，8，4，6，10，11，13，5，12号楼，花语城小区2-8地块八地块4号楼，丰茂街平房91户，供销社宿舍13，15，14号楼</w:t>
            </w:r>
          </w:p>
        </w:tc>
      </w:tr>
      <w:tr w14:paraId="7B4FE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C4ACF51">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0D0052A9">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606FD72A">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3D9E41D2">
            <w:pPr>
              <w:widowControl/>
              <w:wordWrap w:val="0"/>
              <w:spacing w:line="320" w:lineRule="exact"/>
              <w:ind w:firstLine="0" w:firstLineChars="0"/>
              <w:jc w:val="left"/>
              <w:rPr>
                <w:rFonts w:hint="eastAsia"/>
                <w:kern w:val="0"/>
                <w:sz w:val="24"/>
                <w:szCs w:val="24"/>
              </w:rPr>
            </w:pPr>
            <w:r>
              <w:rPr>
                <w:rFonts w:hint="eastAsia"/>
                <w:kern w:val="0"/>
                <w:sz w:val="24"/>
                <w:szCs w:val="24"/>
              </w:rPr>
              <w:t>楼梯间未沿墙加装扶手尚华城小区16，9号楼，中科紫峰8，9号楼，植物油厂宿舍2号楼，德仁新苑10，11，8号楼，百合园4号楼，畜牧局宿舍1号楼，金属柜宿舍1号楼，惠民小区一期2，1号楼，五中宿舍楼1号楼，海德公园小区4，5，6，7号楼，电大宿舍3号楼，八中宿舍1，2号楼，职教小区5号楼，呈祥紫园小区9，4，3号楼，安次区医院宿舍1号楼，新月小区10，3号楼，常春里小区1，2，4号楼，五小宿舍小区1号楼，平安小区4，5，1，2，3号楼，炮校家属院1，101，102，75，5，10，4，9，8，7，6，114，2，3，96号楼，书芳苑小区3，5号楼，锦绣家园2，6，7，1#，2#，3#，4#，5#，6#，7#，9#，10#，11#，地产大厦，锦绣大厦号楼，华祥里6号楼，锦绣名园春晖座，春辉#，夏荷#，秋枫座，冬梅座号楼，牡丹苑1，1#，2#，3#，4#，5#号楼，世纪花园18，1-（2），18#，17#，16#，15#，12#，10#，11#，9#，8#，7#，6#，5#，3#，2#，1#号楼，康乐花园小区8，9号楼，芳泽园小区1，4号楼，群乐里10号楼10号楼，土畜产1号楼，群乐里5、9号楼9，5号楼，华元和庭7，9，6号楼，和风里2号楼，颖丽花园5号楼，新开路33号楼33号楼，127号甲1、2号楼2，1号楼，集宁里35，13号楼，14号楼，15号楼，16号楼，17号楼，28号楼，29号楼，30号楼，31号楼，32号楼，10号楼，9号楼，粮食局宿舍3号楼，群乐里小区（1-4，6-7）4，3号楼，新光里2号楼，管道局新六区4，5，14，7号楼，众贤里1，2，3号楼，管道局老六区15，16，13，12，3，1号楼，居阳里3号楼，日华里1，2，3号楼，建安里1，单元楼号楼，农科院专家博士楼1号楼，丰华里1，2号楼，新益小区3，4号楼，中医院宿舍2号楼，警金里2号楼，聚星苑1，2号楼，裕华小区南区11，10号楼，华夏经典A2，A1号楼，第七大街6，7，9号楼，春华里9号楼，尚德佳苑1，2号楼，逸品龙湾10，12，13号楼，玥尚小区1号楼，宏程华府3号楼，安美家园2，1号楼，宏程华苑2号楼，银丰家园1号楼，三五三一小区24，23，4，15号楼，汽配城小区5号楼，尚北金里小区3B号楼，农兴里2号楼，华阳小区2，3号楼，中央风景小区1号楼，新华宿舍楼1号楼，农机楼1号楼，管道局一区6，3，1，10，13，14，15，16，17，18，19，2，20，4，5，7，8，9号楼，康庄小区34，39，28，10号楼，11号楼，12号楼，13号楼，14号楼，15号楼，16号楼，17号楼，19号楼，1号楼，20号楼，21号楼，22号楼，23号楼，25号楼，27号楼，28号楼，29号楼，2号楼，30号楼，32号楼，33号楼，34号楼，35号楼，37号楼，38号楼，39号楼，3号楼，40号楼，41号楼，43号楼，45号楼，4号楼，5号楼，6号楼，7号楼，8号楼，9号楼，甲1号楼，管道局三区12，11，1，10，14，15，16，17，18，19，2，20，21，22，23，24，25，26，3，4，5，6，7，8，9号楼，办事处宿舍楼1号楼，管道局二区7，1，10，2，3，4，5，6，8，9号楼，馨平公寓2号楼，农行宿舍楼1，南楼，北楼号楼，居安里平房1号楼，光明东道11号甲2号楼，汇源锦城2，5号楼，兴盛公寓2号楼，三中南楼1号楼，恒基嘉园2号楼，长安小区6，5号楼，聚贤楼1号楼，永跃里小区1号楼，政法小区1，4，7，1号楼，2号楼，3号楼，4号楼，5号楼，6号楼，7号楼，姮庆公寓小区9，7号楼，传输局小区1，2号楼，广阳公寓小区5，11，9，2，10，12，13，14，15，16，17，3，4，7，8号楼，金银湾小区1，6，3号楼，东日瑞景9，15，3，14，11号楼，花语馨苑7号楼，乔治花园小区1，5号楼，幸福城欣园9，13号楼，御泉湾7，8号楼，幸福城朗园9，11，10号楼，金悦小区12，11号楼，晓廊坊小区15，9，7，8号楼，管道局老四区17，18，21，15，20号楼，太平洋小区3号楼，管道局新四区32，34，43，37号楼，金安里2，3，1号楼，2号楼，3号楼，周各庄新区南区7，9，20，21号楼，望景广场1号楼，金元小区3，1，10，11，12，13，14，15，2，4，5，6，7，8，9号楼，金泰花园25，26，23号楼，周各庄新区北区26，27号楼，血站小区1号楼，新奥小区10号楼，一号别墅，1号楼，2号别墅，2号楼，3号楼，4号楼，5号楼，6号楼，7号楼，9号楼，4210小区1，2，3，4，5号楼，七中教师公寓1号楼，新欣里小区1，2号楼，新财小区A，B，C，D，E，F号楼，金地小区1，2，3，4，5，6号楼，康健楼1号楼，民政局宿舍1号楼，盛园小区2号楼，3号楼，5号楼，6号楼，7号楼，8号楼，一期教师公寓26，27，28号楼，儒苑小区教师公寓8号楼，2号楼，9号楼，3号楼，4号楼，5号楼，6号楼，7号楼，人行宿舍1#号楼，海关宿舍1栋楼号楼，平旺里1，2，3，4号楼，新开外贸1，2号楼，新明里2，3，1号楼，光明东道外贸1，2号楼，光明东里2，3，4，5，1号楼，河工大宿舍楼1号楼，燃料宿舍1号楼，万和南区5，2，4，3，6，1号楼，万和北区7，10，9，8号楼，人寿保险宿舍1号楼，锦绣观邸小区锦绣观邸3号楼，阳光商住楼1号楼</w:t>
            </w:r>
          </w:p>
        </w:tc>
      </w:tr>
      <w:tr w14:paraId="0C3B9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4461D8FD">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78CE38C0">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1A640B99">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0B1DAB27">
            <w:pPr>
              <w:widowControl/>
              <w:wordWrap w:val="0"/>
              <w:spacing w:line="320" w:lineRule="exact"/>
              <w:ind w:firstLine="0" w:firstLineChars="0"/>
              <w:jc w:val="left"/>
              <w:rPr>
                <w:rFonts w:hint="eastAsia"/>
                <w:kern w:val="0"/>
                <w:sz w:val="24"/>
                <w:szCs w:val="24"/>
              </w:rPr>
            </w:pPr>
            <w:r>
              <w:rPr>
                <w:rFonts w:hint="eastAsia"/>
                <w:kern w:val="0"/>
                <w:sz w:val="24"/>
                <w:szCs w:val="24"/>
              </w:rPr>
              <w:t>纳入分散供养特困人员和建档立卡贫困人口范围的高龄、失能、残疾老年人等特殊困难老年人家庭未实施适老化改造万众里小区1，2，3号楼，卫校宿舍1，2，3，4，5，6号楼，群华里小区1号楼，贸源里小区1号楼，富苑小区1，2，3号楼，金光小区1，10，11，12，2，3，4，5，6，7，8，9号楼，康庄小区10号楼，11号楼，12号楼，13号楼，14号楼，15号楼，16号楼，17号楼，19号楼，20号楼，21号楼，22号楼，23号楼，25号楼，27号楼，28号楼，29号楼，2号楼，30号楼，32号楼，33号楼，34号楼，35号楼，37号楼，38号楼，39号楼，3号楼，40号楼，41号楼，43号楼，45号楼，4号楼，5号楼，6号楼，7号楼，8号楼，9号楼，甲1号楼，海关宿舍1栋楼号楼，市医院2#3#楼1号楼，市粮食局宿舍1号楼，市药检所宿舍1号楼，新天地综合楼1号楼，区建设局宿舍56，58号楼，市畜牧局宿舍1，2，3号楼，锦绣观邸小区锦绣观邸3号楼，供销社宿舍13，15，14号楼</w:t>
            </w:r>
          </w:p>
        </w:tc>
      </w:tr>
      <w:tr w14:paraId="178DF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shd w:val="clear" w:color="auto" w:fill="auto"/>
            <w:noWrap/>
            <w:vAlign w:val="center"/>
          </w:tcPr>
          <w:p w14:paraId="66288378">
            <w:pPr>
              <w:widowControl/>
              <w:kinsoku w:val="0"/>
              <w:wordWrap w:val="0"/>
              <w:spacing w:line="320" w:lineRule="exact"/>
              <w:ind w:firstLine="0" w:firstLineChars="0"/>
              <w:jc w:val="center"/>
              <w:rPr>
                <w:rFonts w:hint="eastAsia"/>
                <w:kern w:val="0"/>
                <w:sz w:val="24"/>
                <w:szCs w:val="24"/>
              </w:rPr>
            </w:pPr>
            <w:r>
              <w:rPr>
                <w:rFonts w:hint="eastAsia"/>
                <w:kern w:val="0"/>
                <w:sz w:val="24"/>
                <w:szCs w:val="24"/>
              </w:rPr>
              <w:t>5</w:t>
            </w:r>
          </w:p>
        </w:tc>
        <w:tc>
          <w:tcPr>
            <w:tcW w:w="425" w:type="pct"/>
            <w:shd w:val="clear" w:color="auto" w:fill="auto"/>
            <w:noWrap/>
            <w:vAlign w:val="center"/>
          </w:tcPr>
          <w:p w14:paraId="3B4871E7">
            <w:pPr>
              <w:widowControl/>
              <w:kinsoku w:val="0"/>
              <w:wordWrap w:val="0"/>
              <w:spacing w:line="320" w:lineRule="exact"/>
              <w:ind w:firstLine="0" w:firstLineChars="0"/>
              <w:jc w:val="center"/>
              <w:rPr>
                <w:rFonts w:hint="eastAsia"/>
                <w:kern w:val="0"/>
                <w:sz w:val="24"/>
                <w:szCs w:val="24"/>
              </w:rPr>
            </w:pPr>
            <w:r>
              <w:rPr>
                <w:rFonts w:hint="eastAsia"/>
                <w:kern w:val="0"/>
                <w:sz w:val="24"/>
                <w:szCs w:val="24"/>
              </w:rPr>
              <w:t>需要进行节能改造的住宅数量</w:t>
            </w:r>
          </w:p>
        </w:tc>
        <w:tc>
          <w:tcPr>
            <w:tcW w:w="551" w:type="pct"/>
            <w:shd w:val="clear" w:color="auto" w:fill="auto"/>
            <w:noWrap/>
            <w:vAlign w:val="center"/>
          </w:tcPr>
          <w:p w14:paraId="6546868E">
            <w:pPr>
              <w:widowControl/>
              <w:kinsoku w:val="0"/>
              <w:wordWrap w:val="0"/>
              <w:spacing w:line="320" w:lineRule="exact"/>
              <w:ind w:firstLine="0" w:firstLineChars="0"/>
              <w:jc w:val="center"/>
              <w:rPr>
                <w:rFonts w:hint="eastAsia"/>
                <w:kern w:val="0"/>
                <w:sz w:val="24"/>
                <w:szCs w:val="24"/>
              </w:rPr>
            </w:pPr>
            <w:r>
              <w:rPr>
                <w:rFonts w:hint="eastAsia"/>
                <w:kern w:val="0"/>
                <w:sz w:val="24"/>
                <w:szCs w:val="24"/>
              </w:rPr>
              <w:t>91</w:t>
            </w:r>
          </w:p>
        </w:tc>
        <w:tc>
          <w:tcPr>
            <w:tcW w:w="3759" w:type="pct"/>
            <w:shd w:val="clear" w:color="auto" w:fill="auto"/>
            <w:noWrap/>
            <w:vAlign w:val="center"/>
          </w:tcPr>
          <w:p w14:paraId="5DA4D50B">
            <w:pPr>
              <w:widowControl/>
              <w:wordWrap w:val="0"/>
              <w:spacing w:line="320" w:lineRule="exact"/>
              <w:ind w:firstLine="0" w:firstLineChars="0"/>
              <w:jc w:val="left"/>
              <w:rPr>
                <w:rFonts w:hint="eastAsia"/>
                <w:kern w:val="0"/>
                <w:sz w:val="24"/>
                <w:szCs w:val="24"/>
              </w:rPr>
            </w:pPr>
            <w:r>
              <w:rPr>
                <w:rFonts w:hint="eastAsia"/>
                <w:kern w:val="0"/>
                <w:sz w:val="24"/>
                <w:szCs w:val="24"/>
              </w:rPr>
              <w:t>具备节能改造价值但尚未进行节能改造三五三四小区2号楼，3号楼，4号楼，3534小区7号楼，9号楼，8号楼，10号楼，3534小区5号楼，3534小区6号楼，廊北小区1，2号楼，新星里小区10，11，12，13，14，15，1，2，3，4，5，6，7，8，9号楼，馨领地小区10，11，12，13，15，16，1，2，3，4，5，6，7，8，9号楼，万众里小区1，2，3号楼，卫校宿舍1，2，3，4，5，6号楼，群华里小区1号楼，贸源里小区1号楼，富苑小区1，2，3号楼，金光小区1，10，11，12，2，3，4，5，6，7，8，9号楼，海关宿舍1栋楼，阳光高地4号楼，6号楼，2号楼，3号楼，1号楼，7号楼，8号楼，5号楼，燃料宿舍1号楼，市医院2#3#楼1号楼，市粮食局宿舍1号楼，市药检所宿舍1号楼，新天地综合楼1号楼，区建设局宿舍56，58号楼，市畜牧局宿舍1，2，3号楼，农行宿舍楼南楼，北楼号楼，供销社宿舍13，15，14号楼</w:t>
            </w:r>
          </w:p>
        </w:tc>
      </w:tr>
      <w:tr w14:paraId="682E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3B52E842">
            <w:pPr>
              <w:widowControl/>
              <w:kinsoku w:val="0"/>
              <w:wordWrap w:val="0"/>
              <w:spacing w:line="320" w:lineRule="exact"/>
              <w:ind w:firstLine="0" w:firstLineChars="0"/>
              <w:jc w:val="center"/>
              <w:rPr>
                <w:rFonts w:hint="eastAsia"/>
                <w:kern w:val="0"/>
                <w:sz w:val="24"/>
                <w:szCs w:val="24"/>
              </w:rPr>
            </w:pPr>
            <w:r>
              <w:rPr>
                <w:rFonts w:hint="eastAsia"/>
                <w:kern w:val="0"/>
                <w:sz w:val="24"/>
                <w:szCs w:val="24"/>
              </w:rPr>
              <w:t>6</w:t>
            </w:r>
          </w:p>
        </w:tc>
        <w:tc>
          <w:tcPr>
            <w:tcW w:w="425" w:type="pct"/>
            <w:vMerge w:val="restart"/>
            <w:shd w:val="clear" w:color="auto" w:fill="auto"/>
            <w:noWrap/>
            <w:vAlign w:val="center"/>
          </w:tcPr>
          <w:p w14:paraId="76A4EFEF">
            <w:pPr>
              <w:widowControl/>
              <w:kinsoku w:val="0"/>
              <w:wordWrap w:val="0"/>
              <w:spacing w:line="320" w:lineRule="exact"/>
              <w:ind w:firstLine="0" w:firstLineChars="0"/>
              <w:jc w:val="center"/>
              <w:rPr>
                <w:rFonts w:hint="eastAsia"/>
                <w:kern w:val="0"/>
                <w:sz w:val="24"/>
                <w:szCs w:val="24"/>
              </w:rPr>
            </w:pPr>
            <w:r>
              <w:rPr>
                <w:rFonts w:hint="eastAsia"/>
                <w:kern w:val="0"/>
                <w:sz w:val="24"/>
                <w:szCs w:val="24"/>
              </w:rPr>
              <w:t>需要进行数字化改造的住宅数量</w:t>
            </w:r>
          </w:p>
        </w:tc>
        <w:tc>
          <w:tcPr>
            <w:tcW w:w="551" w:type="pct"/>
            <w:vMerge w:val="restart"/>
            <w:shd w:val="clear" w:color="auto" w:fill="auto"/>
            <w:noWrap/>
            <w:vAlign w:val="center"/>
          </w:tcPr>
          <w:p w14:paraId="30959A5D">
            <w:pPr>
              <w:widowControl/>
              <w:kinsoku w:val="0"/>
              <w:wordWrap w:val="0"/>
              <w:spacing w:line="320" w:lineRule="exact"/>
              <w:ind w:firstLine="0" w:firstLineChars="0"/>
              <w:jc w:val="center"/>
              <w:rPr>
                <w:rFonts w:hint="eastAsia"/>
                <w:kern w:val="0"/>
                <w:sz w:val="24"/>
                <w:szCs w:val="24"/>
              </w:rPr>
            </w:pPr>
            <w:r>
              <w:rPr>
                <w:rFonts w:hint="eastAsia"/>
                <w:kern w:val="0"/>
                <w:sz w:val="24"/>
                <w:szCs w:val="24"/>
              </w:rPr>
              <w:t>1499</w:t>
            </w:r>
          </w:p>
        </w:tc>
        <w:tc>
          <w:tcPr>
            <w:tcW w:w="3759" w:type="pct"/>
            <w:shd w:val="clear" w:color="auto" w:fill="auto"/>
            <w:noWrap/>
            <w:vAlign w:val="center"/>
          </w:tcPr>
          <w:p w14:paraId="764FA30B">
            <w:pPr>
              <w:widowControl/>
              <w:wordWrap w:val="0"/>
              <w:spacing w:line="320" w:lineRule="exact"/>
              <w:ind w:firstLine="0" w:firstLineChars="0"/>
              <w:jc w:val="left"/>
              <w:rPr>
                <w:rFonts w:hint="eastAsia"/>
                <w:kern w:val="0"/>
                <w:sz w:val="24"/>
                <w:szCs w:val="24"/>
              </w:rPr>
            </w:pPr>
            <w:r>
              <w:rPr>
                <w:rFonts w:hint="eastAsia"/>
                <w:kern w:val="0"/>
                <w:sz w:val="24"/>
                <w:szCs w:val="24"/>
              </w:rPr>
              <w:t>不具备光纤入户条件前锋小区乙1，乙2，乙3，乙4，甲1，甲2，甲3，甲4，号楼，安居花园小区1号楼、3号楼、5号楼、7号楼，2号楼，4，6，8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海关宿舍1栋楼号楼</w:t>
            </w:r>
          </w:p>
        </w:tc>
      </w:tr>
      <w:tr w14:paraId="56D9D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A1C5182">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5B6FE2F5">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6E62BF12">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5D490F39">
            <w:pPr>
              <w:widowControl/>
              <w:wordWrap w:val="0"/>
              <w:spacing w:line="320" w:lineRule="exact"/>
              <w:ind w:firstLine="0" w:firstLineChars="0"/>
              <w:jc w:val="left"/>
              <w:rPr>
                <w:rFonts w:hint="eastAsia"/>
                <w:kern w:val="0"/>
                <w:sz w:val="24"/>
                <w:szCs w:val="24"/>
              </w:rPr>
            </w:pPr>
            <w:r>
              <w:rPr>
                <w:rFonts w:hint="eastAsia"/>
                <w:kern w:val="0"/>
                <w:sz w:val="24"/>
                <w:szCs w:val="24"/>
              </w:rPr>
              <w:t>住宅公共空间未安装楼宇入侵报警、视频监控等安防检测设备盛德花园18，14，13号楼，植物油厂宿舍2号楼，1206宿舍3，5号楼，德仁新苑10，11，8号楼，市交通局宿舍1号楼，蓝波湾8，6，11，10号楼，1号楼，2号楼，3号楼，5号楼，6号楼，7号楼，8号楼，9号楼，金属柜宿舍1号楼，安泰小区12，14号楼，永祥苑小区3，8，2号楼，机械厂宿舍1号楼，长富吉第2号楼，电缆厂宿舍1，2号楼，嘉多丽小区6号楼，水务宿舍1号楼，四季花语7号地8，17号楼，前锋小区2号楼，3，甲3号楼，安居花园小区6，3号楼，水泥厂宿舍楼1号楼，五中宿舍楼1号楼，汇源名居东区1号楼，文苑小区6号楼，侍郎房小区3号楼，仕宅官邸小区6号楼，师范学院三区10号楼，电大宿舍3号楼，八中宿舍2号楼，办事处工程楼1号楼，新儒苑小区2，4号楼，君兰苑小区11，5号楼，技校宿舍楼及平房区1号楼，职教小区5，9号楼，馨视界小区11，8，7号楼，新月小区3号楼，师院一区1，2号楼，永兴小区23，28，31，7号楼，钨钼厂宿舍小区1号楼，师院二区1号楼，德源小区3，2号楼，光明小区1号楼，臻丽家园小区7号楼，常青家园小区16，17，15，6，4，5，3，7，8，13，10，9，14，18，19号楼，党校宿舍1号楼，炮校家属院114，96，东4号楼，花城小区3，5，2号楼，中房馨美域7，9，5，4号楼，工行宿舍楼1，2号楼，光明东里2，3，4，5，1号楼，华祥里6，2号楼，格林郡府（A、B、C、D区）1号楼，同顺里2号楼，国际花园B区51号楼，天河15号15号楼，圣泰花园1，2号楼，凤河公寓A号楼，世纪花园35号楼，裕西里5，3号楼，运通家园小区2，20，22号楼，秀景花园西区2号楼，土畜产1号楼，荣福里1，1号楼，2号楼，圣泰新苑南区1，3，4号楼，华元和庭7，6号楼，富兴里1号楼，未来城小区2号楼，和风里2，1号楼，2号楼，韩一宿舍1号楼，颖丽花园5号楼，127号甲1、2号楼2，1号楼，集宁里35，1，2，3，4，5，6，7，13号楼，14号楼，15号楼，16号楼，17号楼，28号楼，29号楼，30号楼，31号楼，32号楼，德安里9号楼，益民花园小区3号楼，金源丽都1号楼，君正红石庄园小区44号楼，圣泰新苑北区2号楼，管道局新六区4，5，14号楼，建新楼1号楼，众贤里1，2，3号楼，公安楼1号楼，交警楼1号楼，建委宿舍1号楼，生产资料北院1号楼，外贸粮油楼1号楼，居阳里3号楼，日华里1，2，3号楼，物资楼1号楼，华苑小区7，8，14号楼，建安里1号楼，馨领地小区1号楼，政协宿舍1号楼，新华北小区1号楼，新星里小区2，4号楼，开发楼宿舍1号楼，丰华里2号楼，热力宿舍1号楼，企业局宿舍1号楼，新华小区2号楼，中医院宿舍2号楼，供电局宿舍2号楼，廊北小区1号楼，烟草宿舍1号楼，聚星苑1，2，1#，2#，3#，4#，5#，6#，7#，8#，9#号楼，农行宿舍1号楼，三五三四小区2号楼，法院宿舍1号楼，裕华小区南区12，11，10，1，4，18，19，26，21，27，28，20，22，29，34，35，37，13，36号楼，华夏经典A1号楼，春华里9，3，10，11，12，4，5，6，7，8号楼，第七大街7，9号楼，尚德佳苑1，2号楼，玥尚小区1号楼，逸品龙湾8号楼，大家新城2号楼，宏程华府3号楼，安美家园2，1号楼，银丰家园1号楼，宏昇华庭2，2号楼3号楼5号楼，三五三一小区25，24，22，23，4，8，15号楼，汽配城小区5号楼，华夏名筑6号楼，尚北金里小区3，3B号楼，农兴里2号楼，桃李亮亮12号楼，华阳小区2，3号楼，政府1-3号楼1号楼，北白楼（大官庄3号楼）1号楼，正隆嘉园5号楼，永泰2号楼，管道局一区6，3号楼，金光小区9，1，10，11，12，2，3，4，5，6，7，8号楼，康庄小区33，10号楼，11号楼，12号楼，13号楼，14号楼，15号楼，16号楼，17号楼，19号楼，1号楼，20号楼，21号楼，22号楼，23号楼，25号楼，27号楼，28号楼，29号楼，2号楼，30号楼，32号楼，33号楼，34号楼，35号楼，37号楼，38号楼，39号楼，3号楼，40号楼，41号楼，43号楼，45号楼，4号楼，5号楼，6号楼，7号楼，8号楼，9号楼，甲1号楼，群华里小区1号楼，管道局三区12，11号楼，万众里小区4，1，2，3号楼，办事处宿舍楼1号楼，富苑小区1，2，3号楼，管道局二区7号楼，贸源里小区1号楼，市药检所宿舍1号楼，书店楼1号楼，农行宿舍楼1，北楼，南楼，恒基嘉园南区5，2号楼，物价楼1号楼，居安里平房1号楼，光明东道11号甲2号楼，干休所宿舍1号楼，汇源锦城2，5号楼，兴盛公寓2号楼，三中南楼1号楼，长安小区6，5号楼，聚贤楼1号楼，永跃里小区1号楼，姮庆公寓小区9，7号楼，广阳公寓小区5，11号楼，东日瑞景3号楼，儒苑小区教师公寓2，8号楼，2号楼，9号楼，3号楼，4号楼，5号楼，6号楼，7号楼，乔治花园小区1，5号楼，幸福城雅园1号楼，御泉湾7，8号楼，城市旺点7，19，17，18，20，21，旺点1，旺点2，旺点3，旺点4，旺点5，旺点6，旺点7，旺点8，旺点大厦，金安里1号楼，太平洋2号楼，金安里2号楼，金安里3号楼，1号楼，2号楼，3号楼，阿尔卡迪亚1，5，14，华景园1号楼，华景园2号楼，华景园3号楼，华景园4号楼，华景园5号楼，华景园6号楼，华景园7号楼，华景园8号楼，华景园9号楼，丽景园1号楼，丽景园2号楼，丽景园3号楼，丽景园4号楼，丽景园5号楼，丽景园6号楼，丽景园7号楼，帝景园6号楼，帝景园7号楼，帝景园8号楼，帝景园9号楼，帝景园11号楼，帝景园14号楼，帝景园19号楼，骏景园3号楼，骏景园6号楼，骏景园7号楼，骏景园8号楼，供电楼1号楼1号楼，金桥花园3，金芳苑1，1-4，1-2，1-6，1-3，1-5，1-7，1-1，1-9，1-10，1-8，2-1，2-3，2-4，2-6，2-5，2-7，2-8，2-9，2-2，2-10，2-11，2-12，3-4，3-1，3-3，3-5，3-6，3-7，3-8，2-13，3-9，4-1，3-2，4-2，4-3，4-5，4-6，4-8，5-1，5-2，5-3，4-4，5-6，5-5，4-7，5-4，6-3，6-2，6-5，6-6，6-7，6-8，6-1，6-4，5-7号楼，富华小区南区6，9号楼，管道局老四区21号楼，管道局新四区43号楼，金安里2，3，1号楼，2号楼，3号楼，金泰花园11，25，23号楼，春和南区9号楼，金元小区3，1，10，11，12，13，14，15，2，4，5，6，7，8，9号楼，周各庄新区北区23号楼，血站小区1号楼，新奥小区10号楼，一号别墅，1号楼，2号别墅，2号楼，3号楼，4号楼，5号楼，6号楼，7号楼，9号楼，丰盛小区10，3乙，3甲，6，7，8，9，人防5号楼，富春里1，2，3，4号楼，康健楼1号楼，民政局宿舍1号楼，公安楼小区2#号楼，实业小区1#，2#，3#，4#，5#，6#号楼，振财小区北楼，南楼号楼，新益小区2#，3#号楼，芳菲苑1#，2#，3#，4#，5#，6#，7#号楼，裕华北小区14#，15#，16#，23#，24#，5#，6#，7#号楼，银河逸景1#，2#，3#，4#，5#，6#号楼，康顺里1，2，3，4，5，6，7，8，9号楼，卫校宿舍1，2，3，4，5，6号楼，盛园小区2号楼，3号楼，5号楼，6号楼，7号楼，8号楼，专家公寓24号楼，海关宿舍1栋楼号楼，农科院专家博士楼1#号楼，平旺里1，2，3，4号楼，新开外贸1，2号楼，新明里2，3，1号楼，光明东道外贸1，2号楼，市医院2#3#楼1号楼，市粮食局宿舍1号楼，新天地综合楼1号楼，区建设局宿舍56，58号楼，市畜牧局宿舍1，2，3号楼，人寿保险宿舍1号楼，向英里南院3，1，2号楼，向英里北院7，9，8，4，6，10，11，13，5，12号楼，瑞成观邑1号楼，供销社宿舍13，15，14号楼</w:t>
            </w:r>
          </w:p>
        </w:tc>
      </w:tr>
      <w:tr w14:paraId="77928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7E17E890">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7641D6AB">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56D54FC9">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5062C0FD">
            <w:pPr>
              <w:widowControl/>
              <w:wordWrap w:val="0"/>
              <w:spacing w:line="320" w:lineRule="exact"/>
              <w:ind w:firstLine="0" w:firstLineChars="0"/>
              <w:jc w:val="left"/>
              <w:rPr>
                <w:rFonts w:hint="eastAsia"/>
                <w:kern w:val="0"/>
                <w:sz w:val="24"/>
                <w:szCs w:val="24"/>
              </w:rPr>
            </w:pPr>
            <w:r>
              <w:rPr>
                <w:rFonts w:hint="eastAsia"/>
                <w:kern w:val="0"/>
                <w:sz w:val="24"/>
                <w:szCs w:val="24"/>
              </w:rPr>
              <w:t>高层住宅的楼梯间、走道、候梯厅、门厅等公共部位未安装烟感报警器馨语星苑7，1号楼，10号楼，11号楼，2号楼，3号楼，4号楼，5号楼，6号楼，7号楼，8号楼，9号楼，嘉慧意境8，2号楼，3号楼，4号楼，5号楼，6号楼，7号楼，8号楼，9号楼，10号楼，蓝波湾8，6，10号楼，1号楼，2号楼，3号楼，5号楼，6号楼，7号楼，8号楼，9号楼，江南水郡小区10号楼，馨视界小区8，7，22-1号楼，阳光高地3号楼，馨领地小区1，6号楼，警金里1号楼，中医院宿舍1号楼，尚德佳苑1，2号楼，宏程华府3号楼，馨钻界小区6，1号楼，2号楼，3号楼，4号楼，6号楼，7号楼，8号楼，空中花园8号楼，中央风景小区1号楼，恒基嘉园南区5号楼，金泰花园25号楼，德荣帝景11#号楼，前锋小区乙1，乙2，乙3，乙4，甲1，甲2，甲3，甲4，号楼，安居花园小区1号楼、3号楼、5号楼、7号楼，2号楼，4，6，8号楼，血站小区1号楼，阿尔卡迪亚华景园1号楼，华景园2号楼，华景园3号楼，华景园4号楼，华景园5号楼，华景园6号楼，华景园7号楼，华景园8号楼，华景园9号楼，丽景园1号楼，丽景园2号楼，丽景园3号楼，丽景园4号楼，丽景园5号楼，丽景园6号楼，丽景园7号楼，帝景园6号楼，帝景园7号楼，帝景园8号楼，帝景园9号楼，帝景园11号楼，帝景园14号楼，帝景园19号楼，骏景园3号楼，骏景园6号楼，骏景园7号楼，骏景园8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集宁里2，3，4，5，6，7，13号楼，14号楼，15号楼，16号楼，17号楼，28号楼，29号楼，30号楼，31号楼，32号楼，12号楼，万众里小区1，2，3号楼，卫校宿舍1，2，3，4，5，6号楼，群华里小区1号楼，贸源里小区1号楼，富苑小区1，2，3号楼，金光小区1，10，11，12，2，3，4，5，6，7，8，9号楼，专家公寓24，33，34号楼，儒苑小区教师公寓8号楼，2号楼，9号楼，3号楼，4号楼，5号楼，6号楼，7号楼，1206宿舍3号楼，5号楼，1号楼，2号楼，6号楼，海关宿舍1栋楼号楼，金桥花园1-4，1-2，1-6，1-3，1-5，1-7，1-1，1-9，1-10，1-8，2-1，2-3，2-4，2-6，2-5，2-7，2-8，2-9，2-2，2-10，2-11，2-12，3-4，3-1，3-3，3-5，3-6，3-7，3-8，2-13，3-9，4-1，3-2，4-2，4-3，4-5，4-6，4-8，5-1，5-2，5-3，4-4，5-6，5-5，4-7，5-4，6-3，6-2，6-5，6-6，6-7，6-8，6-1，6-4，5-7号楼，博泰公寓A栋，B栋号楼，宏昇华庭2号楼3号楼5号楼，市医院2#3#楼1号楼，市粮食局宿舍1号楼，市药检所宿舍1号楼，新天地综合楼1号楼，区建设局宿舍56，58号楼，市畜牧局宿舍1，2，3号楼，供销社宿舍13，15，14号楼</w:t>
            </w:r>
          </w:p>
        </w:tc>
      </w:tr>
      <w:tr w14:paraId="628C8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4AE38DC6">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16C2D028">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4AB83F3C">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95EBD30">
            <w:pPr>
              <w:widowControl/>
              <w:wordWrap w:val="0"/>
              <w:spacing w:line="320" w:lineRule="exact"/>
              <w:ind w:firstLine="0" w:firstLineChars="0"/>
              <w:jc w:val="left"/>
              <w:rPr>
                <w:rFonts w:hint="eastAsia"/>
                <w:kern w:val="0"/>
                <w:sz w:val="24"/>
                <w:szCs w:val="24"/>
              </w:rPr>
            </w:pPr>
            <w:r>
              <w:rPr>
                <w:rFonts w:hint="eastAsia"/>
                <w:kern w:val="0"/>
                <w:sz w:val="24"/>
                <w:szCs w:val="24"/>
              </w:rPr>
              <w:t>未安装家庭健康紧急呼叫系统，无法保障有需要的居家老年人、残疾人安装一键紧急呼叫、安全监护无感化监测等智能产品昶友新天地小区1号楼，文苑小区10，11，12，13，14，15，16，6，7，8，9，2，3，5号楼，党校宿舍3，1，2，1号楼，3号楼，2号楼，永兴小区10，11，12，15，16，17，18，19，1，20，21，22，23，25，26，2，3，4，5，6，7，8，9，27，28，29，30，31，32，33，34，35，36号楼，书芳苑小区10，11，1，2，3，4，5，6，7，8，9号楼，炮校家属院1，3，4，5，2，6，7，8，100，101，89，88号楼，臻丽家园小区10，2，3，4，5，6，7，8，9号楼，书香苑1，2号楼，光明小区1，2，3，4，5号楼，职教小区10，1，2，3，4，5，6，7，8，9号楼，德荣帝景21#，22#，12号楼，15号楼，16号楼，17号楼，18号楼，5号楼，6号楼，8号楼，13号楼，14号楼，19号楼，20号楼，新新小镇1，2，3，4，5，6，7，8，9号楼，宏程华府2号楼3号楼5号楼6号楼7号楼，尚华城小区10号楼，11号楼，12号楼，13号楼，14号楼，15号楼，16号楼，17号楼，18号楼，19号楼，1号楼，20号楼，21号楼，22号楼，23号楼，24号楼，2号楼，3号楼，4号楼，5号楼，6号楼，7号楼，8号楼，9号楼，市交通局宿舍1号楼，2号楼，盛德花园1，10，11，12，13，14，15，16，17，18，19，2，20，21，22，23，24，25，26，27，28，29，3，30，31，32，33，35，36，37，38，39，4，40，41，42，43，45，46，48，49，5，50，51，52，6，7，8，9号楼，德仁永兴苑1#楼，2#楼，3#楼，4#楼，5#楼，6#楼号楼，蓝波湾10号楼，1号楼，2号楼，3号楼，5号楼，6号楼，7号楼，8号楼，9号楼，嘉慧意境2号楼，3号楼，4号楼，5号楼，6号楼，7号楼，8号楼，9号楼，10号楼，馨语星苑1号楼，10号楼，11号楼，2号楼，3号楼，4号楼，5号楼，6号楼，7号楼，8号楼，9号楼，前锋小区乙1，乙2，乙3，乙4，甲1，甲2，甲3，甲4，号楼，奥富斯小区1号，2号楼，3号楼，安居花园小区1号楼、3号楼、5号楼、7号楼，2号楼，4，6，8号楼，机械厂宿舍1号楼，南屏小区1，2，6号楼，京汉君庭10，11，12，13，14，15，16，17，18，1，2，3，4，6，7，8，9号楼，血站小区1号楼，远洋光华城一期一区1栋，2栋，3栋，4栋，6栋，7栋，8栋，9栋，10栋，11栋号楼，宝石花苑10，11，12，15，16，1，2，3，6，7，8，9号楼，尚都新苑东区10，11，12，13，14，15，16，17，18，19，1，2，3，4，5，6，7，8，9号楼，润绿公寓1，2，3号楼，翡翠华章10号楼，1号楼，2号楼，3号楼，4号楼，5号楼，6号楼，7号楼，8号楼，花语馨苑10号楼，1号楼，2号楼，3号楼，4号楼，5号楼，6号楼，7号楼，8号楼，9号楼，世纪花园18#，17#，16#，15#，12#，10#，11#，9#，8#，7#，6#，5#，3#，2#，1#号楼，牡丹苑1#，2#，3#，4#，5#号楼，锦绣名园春辉#，夏荷#，秋枫座，冬梅座号楼，锦绣家园1#，2#，3#，4#，5#，6#，7#，9#，10#，11#，地产大厦，锦绣大厦号楼，名人小区1-9号楼，冶炼厂家属院1号楼，1排，2号楼，2排，3号楼，3排，4号楼，4排，5排号楼，电控厂平房区1排，2排，3排，4排号楼，制线厂平房区1排，2排，3排，4排，5排号楼，荣华里1，2，3号楼，圣泰花园1，2，3，4，5号楼，阿尔卡迪亚华景园1号楼，华景园2号楼，华景园3号楼，华景园4号楼，华景园5号楼，华景园6号楼，华景园7号楼，华景园8号楼，华景园9号楼，丽景园1号楼，丽景园2号楼，丽景园3号楼，丽景园4号楼，丽景园5号楼，丽景园6号楼，丽景园7号楼，帝景园6号楼，帝景园7号楼，帝景园8号楼，帝景园9号楼，帝景园11号楼，帝景园14号楼，帝景园19号楼，骏景园3号楼，骏景园6号楼，骏景园7号楼，骏景园8号楼，和平丽景小区10号楼，11号楼，12号楼，13号楼，15号楼，16号楼，17号楼，18号楼，19号楼，1号楼，20号楼，21号楼，22号楼，23号楼，25号楼，26号楼，27号楼，28号楼，29号楼，2号楼，30号楼，31号楼，32号楼，33号楼，35号楼，36号楼，37号楼，39号楼，40号楼，41号楼，45号楼，5号楼，6号楼，7号楼，8号楼，9号楼，望景广场1#号楼，城市旺点17，18，20，21，旺点1，旺点2，旺点3，旺点4，旺点5，旺点6，旺点7，旺点8，旺点大厦，金安里1号楼，太平洋2号楼，金安里2号楼，金安里3号楼，1号楼，2号楼，3号楼，新奥小区10号楼，一号别墅，1号楼，2号别墅，2号楼，3号楼，4号楼，5号楼，6号楼，7号楼，9号楼，金元小区1，10，11，12，13，14，15，2，3，4，5，6，7，8，9号楼，蓝水湾22，23，24，25，26，27，29，30A，30B号楼，4210小区1，2，3，4，5号楼，七中教师公寓1号楼，新欣里小区1，2号楼，新财小区A，B，C，D，E，F号楼，金地小区1，2，3，4，5，6号楼，金泰花园10，11，12，13，16，17，18，19，20，21，22，23，24，25，26，27，2，32，33，34，35，3，4，5，6，7，8，9号楼，三五三一小区10号楼，11号楼，12号楼，14号楼，15号楼，16号楼，17号楼，18号楼，19号楼，1号楼，20号楼，21号楼，22号楼，23号楼，24号楼，25号楼，2号楼，3号楼，4号楼，5号楼，6号楼，8号楼，9号楼，丰盛小区10，3乙，3甲，6，7，8，9，人防5号楼，春华里3，10，11，12，4，5，6，7，8，9号楼，富春里1，2，3，4号楼，保险公司宿舍1号楼，和风里1号楼，2号楼，水文局宿舍1号楼，秀景花园东区1，2，3，4号楼，秀景花园西区1，2号楼，荣福里1号楼，2号楼，集宁里1，2，3，4，5，6，7，13号楼，14号楼，15号楼，16号楼，17号楼，18，19，20，21，22，23，25，27，28号楼，29号楼，30号楼，31号楼，32号楼，公安楼小区2#号楼，实业小区1#，2#，3#，4#，5#，6#号楼，振财小区北楼，南楼号楼，新益小区2#，3#号楼，聚星苑1#，2#，3#，4#，5#，6#，7#，8#，9#号楼，芳菲苑1#，2#，3#，4#，5#，6#，7#号楼，裕华北小区14#，15#，16#，23#，24#，5#，6#，7#号楼，银河逸景1#，2#，3#，4#，5#，6#号楼，德安里1，10，11，12，2，3，4，5，6，7，8，9号楼，万向城小区11号楼，12号楼，13号楼，6号楼，7号楼，9号楼，万众里小区1，2，3号楼，卫校宿舍1，2，3，4，5，6号楼，群华里小区1号楼，贸源里小区1号楼，富苑小区1，2，3号楼，金光小区1，10，11，12，2，3，4，5，6，7，8，9号楼，馨钻界小区1号楼，2号楼，3号楼，4号楼，6号楼，7号楼，8号楼，管道局三区1，10，11，12，14，15，16，17，18，19，2，20，21，22，23，24，25，26，3，4，5，6，7，8，9号楼，农林局宿舍楼2号楼，3号楼，5号楼，6号楼，4号楼，1号楼，园林小区1号楼，2号楼，骏丰小区1号楼，2号楼，干休所1号楼，盛园小区2号楼，3号楼，5号楼，6号楼，7号楼，8号楼，康庄小区10号楼，11号楼，12号楼，13号楼，14号楼，15号楼，16号楼，17号楼，19号楼，1号楼，20号楼，21号楼，22号楼，23号楼，25号楼，27号楼，28号楼，29号楼，2号楼，30号楼，32号楼，33号楼，34号楼，35号楼，37号楼，38号楼，39号楼，3号楼，40号楼，41号楼，43号楼，45号楼，4号楼，5号楼，6号楼，7号楼，8号楼，9号楼，甲1号楼，城建里1号楼，市政宿舍1，2号楼，十九城邦101，102，103，104，105，106，107，108，109，10，110，111，112，113，114，115，116，117，118，119，11，120，121，122，123，124，125，126，12，13，14，15，16，17，18，19，20，21，22，23，24，25，26，27，28，29，2，30，31，32，33，34，35，36，37，38，39，3，40，41，42，43，44，45，46，47，48，49，4，50，51，52，53，54，55，56，57，58，59，5，60，61，62，63，64，65，66，67，68，69，6，70，71，72，73，74，75，76，77，78，79，7，80，81，83，84，85，86，87，88，89，8，90，91，92，93，94，95，96，97，98-1，98-2，9号楼，大学里西区公寓4#，公寓5#，公寓6#，联排34#，联排35#，联排36#，联排37#，联排38#，联排39#，联排40#，联排41#，联排42#，联排43#，联排44#，联排45#，联排46#，联排47#，联排48#，联排49#，联排50#，联排51#，联排52#，联排53#，联排54#，联排55#，联排56#，17#，18#，19#，20#，21#，22#，23#，24#号楼，一期教师公寓1，6号楼，大学里四期13号楼，14号楼，16号楼，2号楼号楼，大学里东</w:t>
            </w:r>
            <w:r>
              <w:rPr>
                <w:rFonts w:hint="eastAsia"/>
                <w:kern w:val="0"/>
                <w:sz w:val="24"/>
                <w:szCs w:val="24"/>
              </w:rPr>
              <w:t>区10号楼，11号楼，12号楼，13号楼，14号楼，15号楼，1号楼，2号楼，3号楼，4号楼，5号楼，6号楼，7号，8号楼，9号楼，公寓1，公寓2，公寓3，别墅1-33号楼，北京荟11号楼，1号楼，2号楼，3号楼，4号楼，5号楼，6号楼，7号楼，8号楼号楼，办事处工程楼1号楼，技校宿舍楼及平房区1，3，2号楼，新儒苑小区1，2，3，4，9，8，7，6，5号楼，电大外卖楼1号楼，电大宿舍2，1，3号楼，师院二区9，5，3，1，2，10，8，6，7，4号楼，长富吉第1，2，5，6号楼，嘉多丽小区1，2，3，4，5，6号楼，儒苑小区教师公寓8号楼，2号楼，9号楼，3号楼，4号楼，5号楼，6号楼，7号楼号楼，幸福城朗园5栋，8栋，10栋，12栋，14栋，16栋，4栋，6栋，11栋，13栋，15栋号楼，幸福城欣园5栋，8栋，10栋，12栋，14栋，16栋，2栋，4栋，6栋，1栋，3栋，7栋，9栋，11栋，13栋，15栋号楼，荣盛华府7，5，4，2，3，1，6，8，11，12，9，10号楼，安装公司宿舍西改，东二，东四，西二，西四，东改，东一，东三，西一，西三，西五号楼，裕华小区南区11，10，1，4，18，19，26，21，27，28，20，22，29，34，35，37，13，36，12号楼，建委宿舍2号楼，1号楼号楼，武警宿舍2号楼，1号楼号楼，大学里三期2，3，4，5，6，7，8，9，10，11，12，13，14，15，16，17号楼，香榭里舍8号楼，5号楼，9号楼，1号楼，6号楼，3号楼，4号楼，7号楼，10号楼，2号楼，11号楼号楼，常青家园小区4，5，3，7，8，6，13，10，9，14，17，15，18，16，19号楼，师院一区1，7，4，5，3，6，8，9，12，11，13，10，2号楼，1206宿舍3号楼，5号楼，1号楼，2号楼，6号楼号楼，人行宿舍1#号楼，海关宿舍1栋楼号楼，华春里税务楼1号楼号楼，书店楼1号楼号楼，天河15号15号楼，天河小区北区14，13号楼，天河小区南区2，3号楼，物价楼1号楼号楼，果品厂宿舍楼1号楼号楼，干休所宿舍1号楼号楼，土地局宿舍楼1号楼号楼，金桥花园1-4，1-2，1-6，1-3，1-5，1-7，1-1，1-9，1-10，1-8，2-1，2-3，2-4，2-6，2-5，2-7，2-8，2-9，2-2，2-10，2-11，2-12，3-4，3-1，3-3，3-5，3-6，3-7，3-8，2-13，3-9，4-1，3-2，4-2，4-3，4-5，4-6，4-8，5-1，5-2，5-3，4-4，5-6，5-5，4-7，5-4，6-3，6-2，6-5，6-6，6-7，6-8，6-1，6-4，5-7号楼，党校宿舍楼1号楼，3号楼，旧楼，2号楼号楼，农科院专家博士楼1#号楼，阳光高地4号楼，6号楼，2号楼，3号楼，1号楼，7号楼，8号楼，5号楼号楼，平旺里1，2，3，4号楼，新开外贸1，2号楼，新明里2，3，1号楼，港升美丽园1，2，3，4，5，6号楼，光明东道外贸1，2号楼，红星紫郡红星紫郡小区7号楼号楼，光明东里2，3，4，5，1号楼，紫金华府一号楼，二号楼，三号楼，五号楼，六号楼，七号楼，八号楼，九号楼，十号楼，十一号楼，十二号楼，十三号楼，十五号楼号楼，宏昇华庭2号楼3号楼5号楼号楼，锦绣豪庭1，2，3，4，5，6，7，8，9，10号楼，永泰1号楼号楼，河工大宿舍楼1号楼，规划局东西胡同（金海公寓)2，1，5，4，6，3号楼，燃料宿舍1号楼，恒源里甲、乙甲，乙号楼，富华小区南区7，9，10，8号楼，市医院2#3#楼1号楼，市粮食局宿舍1号楼，市药检所宿舍1号楼，新天地综合楼1号楼，区建设局宿舍56，58号楼，市畜牧局宿舍1，2，3号楼，农行宿舍楼北楼，南楼号楼，悦府九号楼，2号楼，3号楼，8号楼，6号楼，7号楼，4号楼，1号楼，十号楼，5号楼号楼，君正红石庄园小区1，2，4，3，5，8，9，6，7，15，26，19，18，27，16，28，25，29，30，38，40号楼，36，37，39号楼，43号楼，44号楼号楼，师范学院三区5，11，2，10，1，8，4，9，3，7号楼，万和南区5，2，4，6，3，1号楼，万和北区7，10，9，8号楼，向英里南院3，1，2号楼，向英里北院7，9，8，4，6，10，11，13，5，12号楼，锦绣观邸小区锦绣观邸3号楼号楼，花语城小区2-8地块七地块5号楼，七地块3号楼号楼，四中宿舍1号楼，附小宿舍楼1号楼，姮庆公寓小区1号楼，3号楼，7号楼，4号楼，6号楼，2号楼，8号楼，9号楼，10号楼号楼，丰茂街平房91户号楼，阳光商住楼1号楼，供销社宿舍13，15，14号楼，服装厂楼1号楼号楼，新华宿舍楼1号楼号楼，工行楼1号楼号楼，蓝珏花园小区6号楼号楼</w:t>
            </w:r>
          </w:p>
        </w:tc>
      </w:tr>
      <w:tr w14:paraId="51283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restart"/>
            <w:shd w:val="clear" w:color="auto" w:fill="auto"/>
            <w:noWrap/>
            <w:vAlign w:val="center"/>
          </w:tcPr>
          <w:p w14:paraId="44F67E23">
            <w:pPr>
              <w:widowControl/>
              <w:kinsoku w:val="0"/>
              <w:wordWrap w:val="0"/>
              <w:spacing w:line="320" w:lineRule="exact"/>
              <w:ind w:firstLine="0" w:firstLineChars="0"/>
              <w:jc w:val="center"/>
              <w:rPr>
                <w:rFonts w:hint="eastAsia"/>
                <w:kern w:val="0"/>
                <w:sz w:val="24"/>
                <w:szCs w:val="24"/>
              </w:rPr>
            </w:pPr>
            <w:r>
              <w:rPr>
                <w:rFonts w:hint="eastAsia"/>
                <w:kern w:val="0"/>
                <w:sz w:val="24"/>
                <w:szCs w:val="24"/>
              </w:rPr>
              <w:t>7</w:t>
            </w:r>
          </w:p>
        </w:tc>
        <w:tc>
          <w:tcPr>
            <w:tcW w:w="425" w:type="pct"/>
            <w:vMerge w:val="restart"/>
            <w:shd w:val="clear" w:color="auto" w:fill="auto"/>
            <w:noWrap/>
            <w:vAlign w:val="center"/>
          </w:tcPr>
          <w:p w14:paraId="3F51DFAE">
            <w:pPr>
              <w:widowControl/>
              <w:kinsoku w:val="0"/>
              <w:wordWrap w:val="0"/>
              <w:spacing w:line="320" w:lineRule="exact"/>
              <w:ind w:firstLine="0" w:firstLineChars="0"/>
              <w:jc w:val="center"/>
              <w:rPr>
                <w:rFonts w:hint="eastAsia"/>
                <w:kern w:val="0"/>
                <w:sz w:val="24"/>
                <w:szCs w:val="24"/>
              </w:rPr>
            </w:pPr>
            <w:r>
              <w:rPr>
                <w:rFonts w:hint="eastAsia"/>
                <w:kern w:val="0"/>
                <w:sz w:val="24"/>
                <w:szCs w:val="24"/>
              </w:rPr>
              <w:t>存在结构安全隐患的住宅数量</w:t>
            </w:r>
          </w:p>
        </w:tc>
        <w:tc>
          <w:tcPr>
            <w:tcW w:w="551" w:type="pct"/>
            <w:vMerge w:val="restart"/>
            <w:shd w:val="clear" w:color="auto" w:fill="auto"/>
            <w:noWrap/>
            <w:vAlign w:val="center"/>
          </w:tcPr>
          <w:p w14:paraId="42FEDD51">
            <w:pPr>
              <w:widowControl/>
              <w:kinsoku w:val="0"/>
              <w:wordWrap w:val="0"/>
              <w:spacing w:line="320" w:lineRule="exact"/>
              <w:ind w:firstLine="0" w:firstLineChars="0"/>
              <w:jc w:val="center"/>
              <w:rPr>
                <w:rFonts w:hint="eastAsia"/>
                <w:kern w:val="0"/>
                <w:sz w:val="24"/>
                <w:szCs w:val="24"/>
              </w:rPr>
            </w:pPr>
            <w:r>
              <w:rPr>
                <w:rFonts w:hint="eastAsia"/>
                <w:kern w:val="0"/>
                <w:sz w:val="24"/>
                <w:szCs w:val="24"/>
              </w:rPr>
              <w:t>140</w:t>
            </w:r>
          </w:p>
        </w:tc>
        <w:tc>
          <w:tcPr>
            <w:tcW w:w="3759" w:type="pct"/>
            <w:shd w:val="clear" w:color="auto" w:fill="auto"/>
            <w:noWrap/>
            <w:vAlign w:val="center"/>
          </w:tcPr>
          <w:p w14:paraId="467D54BA">
            <w:pPr>
              <w:widowControl/>
              <w:wordWrap w:val="0"/>
              <w:spacing w:line="320" w:lineRule="exact"/>
              <w:ind w:firstLine="0" w:firstLineChars="0"/>
              <w:jc w:val="left"/>
              <w:rPr>
                <w:rFonts w:hint="eastAsia"/>
                <w:kern w:val="0"/>
                <w:sz w:val="24"/>
                <w:szCs w:val="24"/>
              </w:rPr>
            </w:pPr>
            <w:r>
              <w:rPr>
                <w:rFonts w:hint="eastAsia"/>
                <w:kern w:val="0"/>
                <w:sz w:val="24"/>
                <w:szCs w:val="24"/>
              </w:rPr>
              <w:t>混凝土结构构件存在裂缝一期教师公寓16，22号楼，花语城小区2-8地块八地块11号楼</w:t>
            </w:r>
          </w:p>
        </w:tc>
      </w:tr>
      <w:tr w14:paraId="531F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0EE2C12A">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2C193210">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5DA2666E">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3A4062E7">
            <w:pPr>
              <w:widowControl/>
              <w:wordWrap w:val="0"/>
              <w:spacing w:line="320" w:lineRule="exact"/>
              <w:ind w:firstLine="0" w:firstLineChars="0"/>
              <w:jc w:val="left"/>
              <w:rPr>
                <w:rFonts w:hint="eastAsia"/>
                <w:kern w:val="0"/>
                <w:sz w:val="24"/>
                <w:szCs w:val="24"/>
              </w:rPr>
            </w:pPr>
            <w:r>
              <w:rPr>
                <w:rFonts w:hint="eastAsia"/>
                <w:kern w:val="0"/>
                <w:sz w:val="24"/>
                <w:szCs w:val="24"/>
              </w:rPr>
              <w:t>违规拆除结构承重构件永兴小区23号楼，紫晶苑18号楼</w:t>
            </w:r>
          </w:p>
        </w:tc>
      </w:tr>
      <w:tr w14:paraId="1DBE3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7B74B24">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7DCA942B">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5FA32BA2">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1CDC2FE">
            <w:pPr>
              <w:widowControl/>
              <w:wordWrap w:val="0"/>
              <w:spacing w:line="320" w:lineRule="exact"/>
              <w:ind w:firstLine="0" w:firstLineChars="0"/>
              <w:jc w:val="left"/>
              <w:rPr>
                <w:rFonts w:hint="eastAsia"/>
                <w:kern w:val="0"/>
                <w:sz w:val="24"/>
                <w:szCs w:val="24"/>
              </w:rPr>
            </w:pPr>
            <w:r>
              <w:rPr>
                <w:rFonts w:hint="eastAsia"/>
                <w:kern w:val="0"/>
                <w:sz w:val="24"/>
                <w:szCs w:val="24"/>
              </w:rPr>
              <w:t>砖混结构主体出现砖体缺棱掉角、表面存在裂缝炮校家属院东4号楼，127号甲1、2号楼1号楼，华苑小区7号楼，裕华小区南区12号楼，华夏经典A1号楼，第七大街9，7号楼，卫生局宿舍楼1号楼，爱民道宿舍楼1号楼，正隆嘉园5号楼，大官庄北片平房区1号楼，粮工楼1号楼，盛通银河3号楼，办事处宿舍楼1号楼，管道局老四区21号楼，管道局新四区43号楼，远洋光华城一期一区4栋号楼，城市旺点金安里1号楼，金安里2号楼，金安里3号楼，1号楼，2号楼，3号楼，新奥小区9号楼，集宁里8号楼，向平里1号楼，万众里小区1，2，3号楼，群华里小区1号楼，贸源里小区1号楼，富苑小区1，2，3号楼，金光小区1，10，11，12，2，3，4，5，6，7，8，9号楼，专家公寓33号楼，大学里四期18号楼，幸福城朗园8栋号楼，市医院2#3#楼1号楼，市粮食局宿舍1号楼，市药检所宿舍1号楼，区建设局宿舍56，58号楼，市畜牧局宿舍1，2，3号楼，花语城小区2-8地块八地块4号楼，八地块12号楼，八地块15号楼，八地块11号楼</w:t>
            </w:r>
          </w:p>
        </w:tc>
      </w:tr>
      <w:tr w14:paraId="5F309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250EEF0A">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48F50AFB">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7BB3096F">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E7DE7C1">
            <w:pPr>
              <w:widowControl/>
              <w:wordWrap w:val="0"/>
              <w:spacing w:line="320" w:lineRule="exact"/>
              <w:ind w:firstLine="0" w:firstLineChars="0"/>
              <w:jc w:val="left"/>
              <w:rPr>
                <w:rFonts w:hint="eastAsia"/>
                <w:kern w:val="0"/>
                <w:sz w:val="24"/>
                <w:szCs w:val="24"/>
              </w:rPr>
            </w:pPr>
            <w:r>
              <w:rPr>
                <w:rFonts w:hint="eastAsia"/>
                <w:kern w:val="0"/>
                <w:sz w:val="24"/>
                <w:szCs w:val="24"/>
              </w:rPr>
              <w:t>砂浆饱满度差，呈粉末状，砖与砂浆之间存在较大缝隙华夏经典A1号楼，三五三一小区23号楼，尚北金里小区3b号楼，爱民道宿舍楼1号楼，办事处宿舍楼1号楼，管道局新四区43号楼，春明里3号楼，广阳公寓小区10，11，12，13，14，15，16，17，2，3，4，5，7，8，9号楼，万众里小区1，2，3号楼，群华里小区1号楼，贸源里小区1号楼，富苑小区1，2，3号楼，金光小区1，10，11，12，2，3，4，5，6，7，8，9号楼，市医院2#3#楼1号楼，市粮食局宿舍1号楼，市药检所宿舍1号楼，区建设局宿舍56，58号楼，市畜牧局宿舍1，2，3号楼</w:t>
            </w:r>
          </w:p>
        </w:tc>
      </w:tr>
      <w:tr w14:paraId="516A1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62FFE48">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5A3AFDA0">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2420CB6D">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928E872">
            <w:pPr>
              <w:widowControl/>
              <w:wordWrap w:val="0"/>
              <w:spacing w:line="320" w:lineRule="exact"/>
              <w:ind w:firstLine="0" w:firstLineChars="0"/>
              <w:jc w:val="left"/>
              <w:rPr>
                <w:rFonts w:hint="eastAsia"/>
                <w:kern w:val="0"/>
                <w:sz w:val="24"/>
                <w:szCs w:val="24"/>
              </w:rPr>
            </w:pPr>
            <w:r>
              <w:rPr>
                <w:rFonts w:hint="eastAsia"/>
                <w:kern w:val="0"/>
                <w:sz w:val="24"/>
                <w:szCs w:val="24"/>
              </w:rPr>
              <w:t>违规拆除外窗窗下墙体加建阳台职教小区5，3号楼，丰华里1，2号楼，华夏经典A2，8，A1号楼，第七大街9号楼，银丰家园1号楼，三五三一小区24，23，15号楼，尚北金里小区3b号楼，华阳小区2，3号楼，农机楼1号楼，广播局1号楼，办事处宿舍楼1号楼，兴盛公寓2号楼，长安小区6，5号楼，永跃里小区1号楼，望京1号楼，一期教师公寓14，17，1，2，4，5号楼</w:t>
            </w:r>
          </w:p>
        </w:tc>
      </w:tr>
      <w:tr w14:paraId="0C414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vMerge w:val="continue"/>
            <w:shd w:val="clear" w:color="auto" w:fill="auto"/>
            <w:noWrap/>
            <w:vAlign w:val="center"/>
          </w:tcPr>
          <w:p w14:paraId="6E8F5B8E">
            <w:pPr>
              <w:widowControl/>
              <w:kinsoku w:val="0"/>
              <w:wordWrap w:val="0"/>
              <w:spacing w:line="320" w:lineRule="exact"/>
              <w:ind w:firstLine="0" w:firstLineChars="0"/>
              <w:jc w:val="center"/>
              <w:rPr>
                <w:rFonts w:hint="eastAsia"/>
                <w:kern w:val="0"/>
                <w:sz w:val="24"/>
                <w:szCs w:val="24"/>
              </w:rPr>
            </w:pPr>
          </w:p>
        </w:tc>
        <w:tc>
          <w:tcPr>
            <w:tcW w:w="425" w:type="pct"/>
            <w:vMerge w:val="continue"/>
            <w:shd w:val="clear" w:color="auto" w:fill="auto"/>
            <w:noWrap/>
            <w:vAlign w:val="center"/>
          </w:tcPr>
          <w:p w14:paraId="0CB85392">
            <w:pPr>
              <w:widowControl/>
              <w:kinsoku w:val="0"/>
              <w:wordWrap w:val="0"/>
              <w:spacing w:line="320" w:lineRule="exact"/>
              <w:ind w:firstLine="0" w:firstLineChars="0"/>
              <w:jc w:val="center"/>
              <w:rPr>
                <w:rFonts w:hint="eastAsia"/>
                <w:kern w:val="0"/>
                <w:sz w:val="24"/>
                <w:szCs w:val="24"/>
              </w:rPr>
            </w:pPr>
          </w:p>
        </w:tc>
        <w:tc>
          <w:tcPr>
            <w:tcW w:w="551" w:type="pct"/>
            <w:vMerge w:val="continue"/>
            <w:shd w:val="clear" w:color="auto" w:fill="auto"/>
            <w:noWrap/>
            <w:vAlign w:val="center"/>
          </w:tcPr>
          <w:p w14:paraId="166ABA9E">
            <w:pPr>
              <w:widowControl/>
              <w:kinsoku w:val="0"/>
              <w:wordWrap w:val="0"/>
              <w:spacing w:line="320" w:lineRule="exact"/>
              <w:ind w:firstLine="0" w:firstLineChars="0"/>
              <w:jc w:val="center"/>
              <w:rPr>
                <w:rFonts w:hint="eastAsia"/>
                <w:kern w:val="0"/>
                <w:sz w:val="24"/>
                <w:szCs w:val="24"/>
              </w:rPr>
            </w:pPr>
          </w:p>
        </w:tc>
        <w:tc>
          <w:tcPr>
            <w:tcW w:w="3759" w:type="pct"/>
            <w:shd w:val="clear" w:color="auto" w:fill="auto"/>
            <w:noWrap/>
            <w:vAlign w:val="center"/>
          </w:tcPr>
          <w:p w14:paraId="17860A2E">
            <w:pPr>
              <w:widowControl/>
              <w:wordWrap w:val="0"/>
              <w:spacing w:line="320" w:lineRule="exact"/>
              <w:ind w:firstLine="0" w:firstLineChars="0"/>
              <w:jc w:val="left"/>
              <w:rPr>
                <w:rFonts w:hint="eastAsia"/>
                <w:kern w:val="0"/>
                <w:sz w:val="24"/>
                <w:szCs w:val="24"/>
              </w:rPr>
            </w:pPr>
            <w:r>
              <w:rPr>
                <w:rFonts w:hint="eastAsia"/>
                <w:kern w:val="0"/>
                <w:sz w:val="24"/>
                <w:szCs w:val="24"/>
              </w:rPr>
              <w:t>违规加建悬挑飘窗问题五中宿舍楼1号楼，职教小区5，3号楼，师院二区6号楼，德源小区3，2号楼，光明小区2号楼，华祥里6号楼，同顺里2号楼，127号甲1、2号楼1号楼，管道局新六区12号楼，居阳里3，2号楼，建安里1，单元楼号楼，丰华里1，2号楼，新华小区2号楼，中医院宿舍2，4号楼，华夏经典A2，9，8，A1号楼，第七大街7，1，9，2号楼，三五三一小区24，25，4，23，15号楼，尚北金里小区3b号楼，银河大街（10、11号楼）10号楼，华阳小区2，3号楼，园丁康居1，2号楼，农机楼1号楼，丰宁里2，1号楼，同乐小区1号楼，三小宿舍1号楼，办事处宿舍楼1号楼，兴盛公寓2号楼，长安小区6，5号楼，永跃里小区1号楼，紫金华府7号楼，管道局老四区18，21号楼，蓝水湾25，21号楼，太平洋小区3号楼，管道局新四区32，34，43号楼，金安里2，3，1号楼，2号楼，3号楼，颐和佳苑5，11号楼，幸福佳苑10号楼，德荣帝景16号楼，13号楼，14号楼，19号楼，20号楼，城市旺点金安里1号楼，金安里2号楼，金安里3号楼，1号楼，2号楼，3号楼</w:t>
            </w:r>
          </w:p>
        </w:tc>
      </w:tr>
      <w:tr w14:paraId="01D33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3" w:type="pct"/>
            <w:shd w:val="clear" w:color="auto" w:fill="auto"/>
            <w:noWrap/>
            <w:vAlign w:val="center"/>
          </w:tcPr>
          <w:p w14:paraId="3EFA42BF">
            <w:pPr>
              <w:widowControl/>
              <w:kinsoku w:val="0"/>
              <w:wordWrap w:val="0"/>
              <w:spacing w:line="320" w:lineRule="exact"/>
              <w:ind w:firstLine="0" w:firstLineChars="0"/>
              <w:jc w:val="center"/>
              <w:rPr>
                <w:rFonts w:hint="eastAsia"/>
                <w:kern w:val="0"/>
                <w:sz w:val="24"/>
                <w:szCs w:val="24"/>
              </w:rPr>
            </w:pPr>
            <w:r>
              <w:rPr>
                <w:rFonts w:hint="eastAsia"/>
                <w:kern w:val="0"/>
                <w:sz w:val="24"/>
                <w:szCs w:val="24"/>
              </w:rPr>
              <w:t>8</w:t>
            </w:r>
          </w:p>
        </w:tc>
        <w:tc>
          <w:tcPr>
            <w:tcW w:w="425" w:type="pct"/>
            <w:shd w:val="clear" w:color="auto" w:fill="auto"/>
            <w:noWrap/>
            <w:vAlign w:val="center"/>
          </w:tcPr>
          <w:p w14:paraId="21DF690A">
            <w:pPr>
              <w:widowControl/>
              <w:kinsoku w:val="0"/>
              <w:wordWrap w:val="0"/>
              <w:spacing w:line="320" w:lineRule="exact"/>
              <w:ind w:firstLine="0" w:firstLineChars="0"/>
              <w:jc w:val="center"/>
              <w:rPr>
                <w:rFonts w:hint="eastAsia"/>
                <w:kern w:val="0"/>
                <w:sz w:val="24"/>
                <w:szCs w:val="24"/>
              </w:rPr>
            </w:pPr>
            <w:r>
              <w:rPr>
                <w:rFonts w:hint="eastAsia"/>
                <w:kern w:val="0"/>
                <w:sz w:val="24"/>
                <w:szCs w:val="24"/>
              </w:rPr>
              <w:t>存在非成套住宅数量</w:t>
            </w:r>
          </w:p>
        </w:tc>
        <w:tc>
          <w:tcPr>
            <w:tcW w:w="551" w:type="pct"/>
            <w:shd w:val="clear" w:color="auto" w:fill="auto"/>
            <w:noWrap/>
            <w:vAlign w:val="center"/>
          </w:tcPr>
          <w:p w14:paraId="12CD5B55">
            <w:pPr>
              <w:widowControl/>
              <w:kinsoku w:val="0"/>
              <w:wordWrap w:val="0"/>
              <w:spacing w:line="320" w:lineRule="exact"/>
              <w:ind w:firstLine="0" w:firstLineChars="0"/>
              <w:jc w:val="center"/>
              <w:rPr>
                <w:rFonts w:hint="eastAsia"/>
                <w:kern w:val="0"/>
                <w:sz w:val="24"/>
                <w:szCs w:val="24"/>
              </w:rPr>
            </w:pPr>
            <w:r>
              <w:rPr>
                <w:rFonts w:hint="eastAsia"/>
                <w:kern w:val="0"/>
                <w:sz w:val="24"/>
                <w:szCs w:val="24"/>
              </w:rPr>
              <w:t>5</w:t>
            </w:r>
          </w:p>
        </w:tc>
        <w:tc>
          <w:tcPr>
            <w:tcW w:w="3759" w:type="pct"/>
            <w:shd w:val="clear" w:color="auto" w:fill="auto"/>
            <w:noWrap/>
            <w:vAlign w:val="center"/>
          </w:tcPr>
          <w:p w14:paraId="6B359648">
            <w:pPr>
              <w:widowControl/>
              <w:wordWrap w:val="0"/>
              <w:spacing w:line="320" w:lineRule="exact"/>
              <w:ind w:firstLine="0" w:firstLineChars="0"/>
              <w:jc w:val="left"/>
              <w:rPr>
                <w:rFonts w:hint="eastAsia"/>
                <w:kern w:val="0"/>
                <w:sz w:val="24"/>
                <w:szCs w:val="24"/>
              </w:rPr>
            </w:pPr>
            <w:r>
              <w:rPr>
                <w:rFonts w:hint="eastAsia"/>
                <w:kern w:val="0"/>
                <w:sz w:val="24"/>
                <w:szCs w:val="24"/>
              </w:rPr>
              <w:t>没有独立厨房凯悦花园11，12，,13，14，17号楼</w:t>
            </w:r>
          </w:p>
        </w:tc>
      </w:tr>
    </w:tbl>
    <w:p w14:paraId="1DEB4CDE">
      <w:pPr>
        <w:ind w:firstLine="640"/>
        <w:rPr>
          <w:rFonts w:hint="eastAsia"/>
        </w:rPr>
      </w:pPr>
      <w:r>
        <w:rPr>
          <w:rFonts w:hint="eastAsia"/>
        </w:rPr>
        <w:br w:type="page"/>
      </w:r>
    </w:p>
    <w:p w14:paraId="66F0AE6D">
      <w:pPr>
        <w:pStyle w:val="48"/>
        <w:outlineLvl w:val="2"/>
        <w:rPr>
          <w:rFonts w:hint="eastAsia"/>
        </w:rPr>
      </w:pPr>
      <w:r>
        <w:rPr>
          <w:rFonts w:hint="eastAsia"/>
        </w:rPr>
        <w:t>社区维度体检问题清单</w:t>
      </w:r>
    </w:p>
    <w:tbl>
      <w:tblPr>
        <w:tblStyle w:val="3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1"/>
        <w:gridCol w:w="2313"/>
        <w:gridCol w:w="1429"/>
        <w:gridCol w:w="5668"/>
        <w:gridCol w:w="1298"/>
        <w:gridCol w:w="2649"/>
      </w:tblGrid>
      <w:tr w14:paraId="3DC2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286" w:type="pct"/>
            <w:vAlign w:val="center"/>
          </w:tcPr>
          <w:p w14:paraId="3A606AE8">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序号</w:t>
            </w:r>
          </w:p>
        </w:tc>
        <w:tc>
          <w:tcPr>
            <w:tcW w:w="816" w:type="pct"/>
            <w:vAlign w:val="center"/>
          </w:tcPr>
          <w:p w14:paraId="1FF221E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指标项</w:t>
            </w:r>
          </w:p>
        </w:tc>
        <w:tc>
          <w:tcPr>
            <w:tcW w:w="504" w:type="pct"/>
            <w:vAlign w:val="center"/>
          </w:tcPr>
          <w:p w14:paraId="270C13D5">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体检结果</w:t>
            </w:r>
          </w:p>
        </w:tc>
        <w:tc>
          <w:tcPr>
            <w:tcW w:w="1999" w:type="pct"/>
            <w:vAlign w:val="center"/>
          </w:tcPr>
          <w:p w14:paraId="15619598">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存在问题</w:t>
            </w:r>
          </w:p>
        </w:tc>
        <w:tc>
          <w:tcPr>
            <w:tcW w:w="458" w:type="pct"/>
            <w:vAlign w:val="center"/>
          </w:tcPr>
          <w:p w14:paraId="5BB49912">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问题分级</w:t>
            </w:r>
          </w:p>
        </w:tc>
        <w:tc>
          <w:tcPr>
            <w:tcW w:w="935" w:type="pct"/>
            <w:vAlign w:val="center"/>
          </w:tcPr>
          <w:p w14:paraId="3A6131DD">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责任单位</w:t>
            </w:r>
          </w:p>
        </w:tc>
      </w:tr>
      <w:tr w14:paraId="59E18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 w:type="pct"/>
            <w:vAlign w:val="center"/>
          </w:tcPr>
          <w:p w14:paraId="729E5EFA">
            <w:pPr>
              <w:widowControl/>
              <w:spacing w:line="320" w:lineRule="exact"/>
              <w:ind w:firstLine="0" w:firstLineChars="0"/>
              <w:jc w:val="center"/>
              <w:rPr>
                <w:rFonts w:hint="eastAsia"/>
                <w:kern w:val="0"/>
                <w:sz w:val="24"/>
                <w:szCs w:val="24"/>
              </w:rPr>
            </w:pPr>
            <w:r>
              <w:rPr>
                <w:rFonts w:hint="eastAsia"/>
                <w:kern w:val="0"/>
                <w:sz w:val="24"/>
                <w:szCs w:val="24"/>
              </w:rPr>
              <w:t>9</w:t>
            </w:r>
          </w:p>
        </w:tc>
        <w:tc>
          <w:tcPr>
            <w:tcW w:w="816" w:type="pct"/>
            <w:vAlign w:val="center"/>
          </w:tcPr>
          <w:p w14:paraId="40AE971B">
            <w:pPr>
              <w:widowControl/>
              <w:spacing w:line="320" w:lineRule="exact"/>
              <w:ind w:firstLine="0" w:firstLineChars="0"/>
              <w:jc w:val="center"/>
              <w:rPr>
                <w:rFonts w:hint="eastAsia"/>
                <w:kern w:val="0"/>
                <w:sz w:val="24"/>
                <w:szCs w:val="24"/>
              </w:rPr>
            </w:pPr>
            <w:r>
              <w:rPr>
                <w:rFonts w:hint="eastAsia"/>
                <w:kern w:val="0"/>
                <w:sz w:val="24"/>
                <w:szCs w:val="24"/>
              </w:rPr>
              <w:t>☆未达标配建婴幼儿照护服务设施的小区数量（个）</w:t>
            </w:r>
          </w:p>
        </w:tc>
        <w:tc>
          <w:tcPr>
            <w:tcW w:w="504" w:type="pct"/>
            <w:vAlign w:val="center"/>
          </w:tcPr>
          <w:p w14:paraId="04E7AB12">
            <w:pPr>
              <w:widowControl/>
              <w:spacing w:line="320" w:lineRule="exact"/>
              <w:ind w:firstLine="0" w:firstLineChars="0"/>
              <w:jc w:val="center"/>
              <w:rPr>
                <w:rFonts w:hint="eastAsia"/>
                <w:kern w:val="0"/>
                <w:sz w:val="24"/>
                <w:szCs w:val="24"/>
              </w:rPr>
            </w:pPr>
            <w:r>
              <w:rPr>
                <w:rFonts w:hint="eastAsia"/>
                <w:kern w:val="0"/>
                <w:sz w:val="24"/>
                <w:szCs w:val="24"/>
              </w:rPr>
              <w:t>446</w:t>
            </w:r>
          </w:p>
        </w:tc>
        <w:tc>
          <w:tcPr>
            <w:tcW w:w="1999" w:type="pct"/>
            <w:vAlign w:val="center"/>
          </w:tcPr>
          <w:p w14:paraId="469A9739">
            <w:pPr>
              <w:widowControl/>
              <w:spacing w:line="320" w:lineRule="exact"/>
              <w:ind w:firstLine="0" w:firstLineChars="0"/>
              <w:jc w:val="center"/>
              <w:rPr>
                <w:rFonts w:hint="eastAsia"/>
                <w:kern w:val="0"/>
                <w:sz w:val="24"/>
                <w:szCs w:val="24"/>
              </w:rPr>
            </w:pPr>
            <w:r>
              <w:rPr>
                <w:rFonts w:hint="eastAsia"/>
                <w:kern w:val="0"/>
                <w:sz w:val="24"/>
                <w:szCs w:val="24"/>
              </w:rPr>
              <w:t>未配建婴幼儿照护设施的社区占比56%，近几年各级规划部门才将托育服务纳入城市总体规划，街道社区规模已基本成型，老旧社区在现有条件下增加也比较困难。</w:t>
            </w:r>
          </w:p>
        </w:tc>
        <w:tc>
          <w:tcPr>
            <w:tcW w:w="458" w:type="pct"/>
            <w:vAlign w:val="center"/>
          </w:tcPr>
          <w:p w14:paraId="33A83CB3">
            <w:pPr>
              <w:widowControl/>
              <w:spacing w:line="320" w:lineRule="exact"/>
              <w:ind w:firstLine="0" w:firstLineChars="0"/>
              <w:jc w:val="center"/>
              <w:rPr>
                <w:rFonts w:hint="eastAsia"/>
                <w:kern w:val="0"/>
                <w:sz w:val="24"/>
                <w:szCs w:val="24"/>
              </w:rPr>
            </w:pPr>
            <w:r>
              <w:rPr>
                <w:kern w:val="0"/>
                <w:sz w:val="24"/>
                <w:szCs w:val="24"/>
              </w:rPr>
              <w:t>III</w:t>
            </w:r>
          </w:p>
        </w:tc>
        <w:tc>
          <w:tcPr>
            <w:tcW w:w="935" w:type="pct"/>
            <w:vAlign w:val="center"/>
          </w:tcPr>
          <w:p w14:paraId="582D7472">
            <w:pPr>
              <w:spacing w:line="240" w:lineRule="auto"/>
              <w:ind w:firstLine="0" w:firstLineChars="0"/>
              <w:jc w:val="center"/>
              <w:rPr>
                <w:rFonts w:hint="eastAsia"/>
                <w:sz w:val="22"/>
                <w:szCs w:val="22"/>
              </w:rPr>
            </w:pPr>
            <w:r>
              <w:rPr>
                <w:rFonts w:hint="eastAsia"/>
                <w:sz w:val="22"/>
                <w:szCs w:val="22"/>
              </w:rPr>
              <w:t>市卫健委、</w:t>
            </w:r>
          </w:p>
          <w:p w14:paraId="62D915F3">
            <w:pPr>
              <w:spacing w:line="240" w:lineRule="auto"/>
              <w:ind w:firstLine="0" w:firstLineChars="0"/>
              <w:jc w:val="center"/>
              <w:rPr>
                <w:rFonts w:hint="eastAsia"/>
                <w:sz w:val="22"/>
                <w:szCs w:val="22"/>
              </w:rPr>
            </w:pPr>
            <w:r>
              <w:rPr>
                <w:rFonts w:hint="eastAsia"/>
                <w:sz w:val="22"/>
                <w:szCs w:val="22"/>
              </w:rPr>
              <w:t>安次区政府、</w:t>
            </w:r>
          </w:p>
          <w:p w14:paraId="3D2BF1A1">
            <w:pPr>
              <w:widowControl/>
              <w:spacing w:line="320" w:lineRule="exact"/>
              <w:ind w:firstLine="0" w:firstLineChars="0"/>
              <w:jc w:val="center"/>
              <w:rPr>
                <w:rFonts w:hint="eastAsia"/>
                <w:kern w:val="0"/>
                <w:sz w:val="24"/>
                <w:szCs w:val="24"/>
              </w:rPr>
            </w:pPr>
            <w:r>
              <w:rPr>
                <w:rFonts w:hint="eastAsia"/>
                <w:sz w:val="22"/>
                <w:szCs w:val="22"/>
              </w:rPr>
              <w:t>广阳区政府</w:t>
            </w:r>
          </w:p>
        </w:tc>
      </w:tr>
      <w:tr w14:paraId="6B2EF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 w:type="pct"/>
            <w:vAlign w:val="center"/>
          </w:tcPr>
          <w:p w14:paraId="3CC3AB2B">
            <w:pPr>
              <w:widowControl/>
              <w:spacing w:line="320" w:lineRule="exact"/>
              <w:ind w:firstLine="0" w:firstLineChars="0"/>
              <w:jc w:val="center"/>
              <w:rPr>
                <w:rFonts w:hint="eastAsia"/>
                <w:kern w:val="0"/>
                <w:sz w:val="24"/>
                <w:szCs w:val="24"/>
              </w:rPr>
            </w:pPr>
            <w:r>
              <w:rPr>
                <w:rFonts w:hint="eastAsia"/>
                <w:kern w:val="0"/>
                <w:sz w:val="24"/>
                <w:szCs w:val="24"/>
              </w:rPr>
              <w:t>10</w:t>
            </w:r>
          </w:p>
        </w:tc>
        <w:tc>
          <w:tcPr>
            <w:tcW w:w="816" w:type="pct"/>
            <w:vAlign w:val="center"/>
          </w:tcPr>
          <w:p w14:paraId="398A770C">
            <w:pPr>
              <w:widowControl/>
              <w:spacing w:line="320" w:lineRule="exact"/>
              <w:ind w:firstLine="0" w:firstLineChars="0"/>
              <w:jc w:val="center"/>
              <w:rPr>
                <w:rFonts w:hint="eastAsia"/>
                <w:kern w:val="0"/>
                <w:sz w:val="24"/>
                <w:szCs w:val="24"/>
              </w:rPr>
            </w:pPr>
            <w:r>
              <w:rPr>
                <w:rFonts w:hint="eastAsia"/>
                <w:kern w:val="0"/>
                <w:sz w:val="24"/>
                <w:szCs w:val="24"/>
              </w:rPr>
              <w:t>☆停车泊位缺口数（个）</w:t>
            </w:r>
          </w:p>
        </w:tc>
        <w:tc>
          <w:tcPr>
            <w:tcW w:w="504" w:type="pct"/>
            <w:vAlign w:val="center"/>
          </w:tcPr>
          <w:p w14:paraId="1005ECD1">
            <w:pPr>
              <w:widowControl/>
              <w:spacing w:line="320" w:lineRule="exact"/>
              <w:ind w:firstLine="0" w:firstLineChars="0"/>
              <w:jc w:val="center"/>
              <w:rPr>
                <w:rFonts w:hint="eastAsia"/>
                <w:kern w:val="0"/>
                <w:sz w:val="24"/>
                <w:szCs w:val="24"/>
              </w:rPr>
            </w:pPr>
            <w:r>
              <w:rPr>
                <w:rFonts w:hint="eastAsia"/>
                <w:kern w:val="0"/>
                <w:sz w:val="24"/>
                <w:szCs w:val="24"/>
              </w:rPr>
              <w:t>25309</w:t>
            </w:r>
          </w:p>
        </w:tc>
        <w:tc>
          <w:tcPr>
            <w:tcW w:w="1999" w:type="pct"/>
            <w:vAlign w:val="center"/>
          </w:tcPr>
          <w:p w14:paraId="4E5ABF27">
            <w:pPr>
              <w:widowControl/>
              <w:spacing w:line="320" w:lineRule="exact"/>
              <w:ind w:firstLine="0" w:firstLineChars="0"/>
              <w:jc w:val="center"/>
              <w:rPr>
                <w:rFonts w:hint="eastAsia"/>
                <w:kern w:val="0"/>
                <w:sz w:val="24"/>
                <w:szCs w:val="24"/>
              </w:rPr>
            </w:pPr>
            <w:r>
              <w:rPr>
                <w:rFonts w:hint="eastAsia"/>
                <w:kern w:val="0"/>
                <w:sz w:val="24"/>
                <w:szCs w:val="24"/>
              </w:rPr>
              <w:t>有停车泊位缺口的社区占比44%，部分路段存在违规停车及占用消防通道现象，影响生命线通道的功能畅通</w:t>
            </w:r>
          </w:p>
        </w:tc>
        <w:tc>
          <w:tcPr>
            <w:tcW w:w="458" w:type="pct"/>
            <w:vAlign w:val="center"/>
          </w:tcPr>
          <w:p w14:paraId="0A6421F9">
            <w:pPr>
              <w:widowControl/>
              <w:spacing w:line="320" w:lineRule="exact"/>
              <w:ind w:firstLine="0" w:firstLineChars="0"/>
              <w:jc w:val="center"/>
              <w:rPr>
                <w:rFonts w:hint="eastAsia"/>
                <w:kern w:val="0"/>
                <w:sz w:val="24"/>
                <w:szCs w:val="24"/>
              </w:rPr>
            </w:pPr>
            <w:r>
              <w:rPr>
                <w:kern w:val="0"/>
                <w:sz w:val="24"/>
                <w:szCs w:val="24"/>
              </w:rPr>
              <w:t>III</w:t>
            </w:r>
          </w:p>
        </w:tc>
        <w:tc>
          <w:tcPr>
            <w:tcW w:w="935" w:type="pct"/>
            <w:vAlign w:val="center"/>
          </w:tcPr>
          <w:p w14:paraId="3E780907">
            <w:pPr>
              <w:widowControl/>
              <w:spacing w:line="320" w:lineRule="exact"/>
              <w:ind w:firstLine="0" w:firstLineChars="0"/>
              <w:jc w:val="center"/>
              <w:rPr>
                <w:rFonts w:hint="eastAsia"/>
                <w:kern w:val="0"/>
                <w:sz w:val="24"/>
                <w:szCs w:val="24"/>
              </w:rPr>
            </w:pPr>
            <w:r>
              <w:rPr>
                <w:rFonts w:hint="eastAsia"/>
                <w:kern w:val="0"/>
                <w:sz w:val="24"/>
                <w:szCs w:val="24"/>
              </w:rPr>
              <w:t>市城管行政执法局、</w:t>
            </w:r>
          </w:p>
          <w:p w14:paraId="1DFF1488">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5DC367B7">
            <w:pPr>
              <w:widowControl/>
              <w:spacing w:line="320" w:lineRule="exact"/>
              <w:ind w:firstLine="0" w:firstLineChars="0"/>
              <w:jc w:val="center"/>
              <w:rPr>
                <w:rFonts w:hint="eastAsia"/>
                <w:kern w:val="0"/>
                <w:sz w:val="24"/>
                <w:szCs w:val="24"/>
              </w:rPr>
            </w:pPr>
            <w:r>
              <w:rPr>
                <w:rFonts w:hint="eastAsia"/>
                <w:kern w:val="0"/>
                <w:sz w:val="24"/>
                <w:szCs w:val="24"/>
              </w:rPr>
              <w:t>市公安局、</w:t>
            </w:r>
          </w:p>
          <w:p w14:paraId="2C6ECE2B">
            <w:pPr>
              <w:widowControl/>
              <w:spacing w:line="320" w:lineRule="exact"/>
              <w:ind w:firstLine="0" w:firstLineChars="0"/>
              <w:jc w:val="center"/>
              <w:rPr>
                <w:rFonts w:hint="eastAsia"/>
                <w:kern w:val="0"/>
                <w:sz w:val="24"/>
                <w:szCs w:val="24"/>
              </w:rPr>
            </w:pPr>
            <w:r>
              <w:rPr>
                <w:rFonts w:hint="eastAsia"/>
                <w:kern w:val="0"/>
                <w:sz w:val="24"/>
                <w:szCs w:val="24"/>
              </w:rPr>
              <w:t>市消防救援支队、</w:t>
            </w:r>
          </w:p>
          <w:p w14:paraId="31E816AC">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2FBA902A">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23396045">
            <w:pPr>
              <w:widowControl/>
              <w:spacing w:line="320" w:lineRule="exact"/>
              <w:ind w:firstLine="0" w:firstLineChars="0"/>
              <w:jc w:val="center"/>
              <w:rPr>
                <w:rFonts w:hint="eastAsia"/>
                <w:kern w:val="0"/>
                <w:sz w:val="24"/>
                <w:szCs w:val="24"/>
              </w:rPr>
            </w:pPr>
            <w:r>
              <w:rPr>
                <w:rFonts w:hint="eastAsia"/>
                <w:kern w:val="0"/>
                <w:sz w:val="24"/>
                <w:szCs w:val="24"/>
              </w:rPr>
              <w:t>开发区管委会</w:t>
            </w:r>
          </w:p>
        </w:tc>
      </w:tr>
      <w:tr w14:paraId="2611E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 w:type="pct"/>
            <w:vAlign w:val="center"/>
          </w:tcPr>
          <w:p w14:paraId="0394F4E7">
            <w:pPr>
              <w:widowControl/>
              <w:spacing w:line="320" w:lineRule="exact"/>
              <w:ind w:firstLine="0" w:firstLineChars="0"/>
              <w:jc w:val="center"/>
              <w:rPr>
                <w:rFonts w:hint="eastAsia"/>
                <w:kern w:val="0"/>
                <w:sz w:val="24"/>
                <w:szCs w:val="24"/>
              </w:rPr>
            </w:pPr>
            <w:r>
              <w:rPr>
                <w:rFonts w:hint="eastAsia"/>
                <w:kern w:val="0"/>
                <w:sz w:val="24"/>
                <w:szCs w:val="24"/>
              </w:rPr>
              <w:t>11</w:t>
            </w:r>
          </w:p>
        </w:tc>
        <w:tc>
          <w:tcPr>
            <w:tcW w:w="816" w:type="pct"/>
            <w:vAlign w:val="center"/>
          </w:tcPr>
          <w:p w14:paraId="0483F4CC">
            <w:pPr>
              <w:widowControl/>
              <w:spacing w:line="320" w:lineRule="exact"/>
              <w:ind w:firstLine="0" w:firstLineChars="0"/>
              <w:jc w:val="center"/>
              <w:rPr>
                <w:rFonts w:hint="eastAsia"/>
                <w:kern w:val="0"/>
                <w:sz w:val="24"/>
                <w:szCs w:val="24"/>
              </w:rPr>
            </w:pPr>
            <w:r>
              <w:rPr>
                <w:rFonts w:hint="eastAsia"/>
                <w:kern w:val="0"/>
                <w:sz w:val="24"/>
                <w:szCs w:val="24"/>
              </w:rPr>
              <w:t>新能源汽车充电桩缺口数（个）</w:t>
            </w:r>
          </w:p>
        </w:tc>
        <w:tc>
          <w:tcPr>
            <w:tcW w:w="504" w:type="pct"/>
            <w:vAlign w:val="center"/>
          </w:tcPr>
          <w:p w14:paraId="5552F666">
            <w:pPr>
              <w:widowControl/>
              <w:spacing w:line="320" w:lineRule="exact"/>
              <w:ind w:firstLine="0" w:firstLineChars="0"/>
              <w:jc w:val="center"/>
              <w:rPr>
                <w:rFonts w:hint="eastAsia"/>
                <w:kern w:val="0"/>
                <w:sz w:val="24"/>
                <w:szCs w:val="24"/>
              </w:rPr>
            </w:pPr>
            <w:r>
              <w:rPr>
                <w:rFonts w:hint="eastAsia"/>
                <w:kern w:val="0"/>
                <w:sz w:val="24"/>
                <w:szCs w:val="24"/>
              </w:rPr>
              <w:t>3460</w:t>
            </w:r>
          </w:p>
        </w:tc>
        <w:tc>
          <w:tcPr>
            <w:tcW w:w="1999" w:type="pct"/>
            <w:vAlign w:val="center"/>
          </w:tcPr>
          <w:p w14:paraId="6AC37B0C">
            <w:pPr>
              <w:widowControl/>
              <w:spacing w:line="320" w:lineRule="exact"/>
              <w:ind w:firstLine="0" w:firstLineChars="0"/>
              <w:jc w:val="center"/>
              <w:rPr>
                <w:rFonts w:hint="eastAsia"/>
                <w:kern w:val="0"/>
                <w:sz w:val="24"/>
                <w:szCs w:val="24"/>
              </w:rPr>
            </w:pPr>
            <w:r>
              <w:rPr>
                <w:rFonts w:hint="eastAsia"/>
                <w:kern w:val="0"/>
                <w:sz w:val="24"/>
                <w:szCs w:val="24"/>
              </w:rPr>
              <w:t>有新能源汽车充电桩缺口的社区占比44.7</w:t>
            </w:r>
            <w:r>
              <w:rPr>
                <w:kern w:val="0"/>
                <w:sz w:val="24"/>
                <w:szCs w:val="24"/>
              </w:rPr>
              <w:t>%</w:t>
            </w:r>
            <w:r>
              <w:rPr>
                <w:rFonts w:hint="eastAsia"/>
                <w:kern w:val="0"/>
                <w:sz w:val="24"/>
                <w:szCs w:val="24"/>
              </w:rPr>
              <w:t>，未安装新能源汽车充电桩的小区数量202个，占全部小区总数的25.9%，不满足社区新能源汽车充电诉求。老旧小区还存在电容不够、无停车空间安装的问题。</w:t>
            </w:r>
          </w:p>
        </w:tc>
        <w:tc>
          <w:tcPr>
            <w:tcW w:w="458" w:type="pct"/>
            <w:vAlign w:val="center"/>
          </w:tcPr>
          <w:p w14:paraId="68546CF3">
            <w:pPr>
              <w:widowControl/>
              <w:spacing w:line="320" w:lineRule="exact"/>
              <w:ind w:firstLine="0" w:firstLineChars="0"/>
              <w:jc w:val="center"/>
              <w:rPr>
                <w:rFonts w:hint="eastAsia"/>
                <w:kern w:val="0"/>
                <w:sz w:val="24"/>
                <w:szCs w:val="24"/>
              </w:rPr>
            </w:pPr>
            <w:r>
              <w:rPr>
                <w:kern w:val="0"/>
                <w:sz w:val="24"/>
                <w:szCs w:val="24"/>
              </w:rPr>
              <w:t>II</w:t>
            </w:r>
          </w:p>
        </w:tc>
        <w:tc>
          <w:tcPr>
            <w:tcW w:w="935" w:type="pct"/>
            <w:vAlign w:val="center"/>
          </w:tcPr>
          <w:p w14:paraId="09E48E35">
            <w:pPr>
              <w:widowControl/>
              <w:spacing w:line="320" w:lineRule="exact"/>
              <w:ind w:firstLine="0" w:firstLineChars="0"/>
              <w:jc w:val="center"/>
              <w:rPr>
                <w:rFonts w:hint="eastAsia"/>
                <w:kern w:val="0"/>
                <w:sz w:val="24"/>
                <w:szCs w:val="24"/>
              </w:rPr>
            </w:pPr>
            <w:r>
              <w:rPr>
                <w:rFonts w:hint="eastAsia"/>
                <w:kern w:val="0"/>
                <w:sz w:val="24"/>
                <w:szCs w:val="24"/>
              </w:rPr>
              <w:t>市发改委、</w:t>
            </w:r>
          </w:p>
          <w:p w14:paraId="20303842">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74EB0DDF">
            <w:pPr>
              <w:widowControl/>
              <w:spacing w:line="320" w:lineRule="exact"/>
              <w:ind w:firstLine="0" w:firstLineChars="0"/>
              <w:jc w:val="center"/>
              <w:rPr>
                <w:rFonts w:hint="eastAsia"/>
                <w:kern w:val="0"/>
                <w:sz w:val="24"/>
                <w:szCs w:val="24"/>
              </w:rPr>
            </w:pPr>
            <w:r>
              <w:rPr>
                <w:rFonts w:hint="eastAsia"/>
                <w:kern w:val="0"/>
                <w:sz w:val="24"/>
                <w:szCs w:val="24"/>
              </w:rPr>
              <w:t>市供电公司、</w:t>
            </w:r>
          </w:p>
          <w:p w14:paraId="7880124E">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644B228F">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3179BB44">
            <w:pPr>
              <w:widowControl/>
              <w:spacing w:line="320" w:lineRule="exact"/>
              <w:ind w:firstLine="0" w:firstLineChars="0"/>
              <w:jc w:val="center"/>
              <w:rPr>
                <w:rFonts w:hint="eastAsia"/>
                <w:kern w:val="0"/>
                <w:sz w:val="24"/>
                <w:szCs w:val="24"/>
              </w:rPr>
            </w:pPr>
            <w:r>
              <w:rPr>
                <w:rFonts w:hint="eastAsia"/>
                <w:kern w:val="0"/>
                <w:sz w:val="24"/>
                <w:szCs w:val="24"/>
              </w:rPr>
              <w:t>开发区管委会、</w:t>
            </w:r>
            <w:r>
              <w:rPr>
                <w:rFonts w:hint="eastAsia"/>
                <w:kern w:val="0"/>
                <w:sz w:val="24"/>
                <w:szCs w:val="24"/>
              </w:rPr>
              <w:br w:type="textWrapping"/>
            </w:r>
            <w:r>
              <w:rPr>
                <w:rFonts w:hint="eastAsia"/>
                <w:kern w:val="0"/>
                <w:sz w:val="24"/>
                <w:szCs w:val="24"/>
              </w:rPr>
              <w:t>小区物业</w:t>
            </w:r>
          </w:p>
        </w:tc>
      </w:tr>
      <w:tr w14:paraId="4134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 w:type="pct"/>
            <w:vAlign w:val="center"/>
          </w:tcPr>
          <w:p w14:paraId="1801594E">
            <w:pPr>
              <w:widowControl/>
              <w:spacing w:line="320" w:lineRule="exact"/>
              <w:ind w:firstLine="0" w:firstLineChars="0"/>
              <w:jc w:val="center"/>
              <w:rPr>
                <w:rFonts w:hint="eastAsia"/>
                <w:kern w:val="0"/>
                <w:sz w:val="24"/>
                <w:szCs w:val="24"/>
              </w:rPr>
            </w:pPr>
            <w:r>
              <w:rPr>
                <w:rFonts w:hint="eastAsia"/>
                <w:kern w:val="0"/>
                <w:sz w:val="24"/>
                <w:szCs w:val="24"/>
              </w:rPr>
              <w:t>12</w:t>
            </w:r>
          </w:p>
        </w:tc>
        <w:tc>
          <w:tcPr>
            <w:tcW w:w="816" w:type="pct"/>
            <w:vAlign w:val="center"/>
          </w:tcPr>
          <w:p w14:paraId="06CBB97D">
            <w:pPr>
              <w:widowControl/>
              <w:spacing w:line="320" w:lineRule="exact"/>
              <w:ind w:firstLine="0" w:firstLineChars="0"/>
              <w:jc w:val="center"/>
              <w:rPr>
                <w:rFonts w:hint="eastAsia"/>
                <w:kern w:val="0"/>
                <w:sz w:val="24"/>
                <w:szCs w:val="24"/>
              </w:rPr>
            </w:pPr>
            <w:r>
              <w:rPr>
                <w:rFonts w:hint="eastAsia"/>
                <w:kern w:val="0"/>
                <w:sz w:val="24"/>
                <w:szCs w:val="24"/>
              </w:rPr>
              <w:t>未配建电动自行车充电设施的小区数量（个）</w:t>
            </w:r>
          </w:p>
        </w:tc>
        <w:tc>
          <w:tcPr>
            <w:tcW w:w="504" w:type="pct"/>
            <w:vAlign w:val="center"/>
          </w:tcPr>
          <w:p w14:paraId="5097B412">
            <w:pPr>
              <w:widowControl/>
              <w:spacing w:line="320" w:lineRule="exact"/>
              <w:ind w:firstLine="0" w:firstLineChars="0"/>
              <w:jc w:val="center"/>
              <w:rPr>
                <w:rFonts w:hint="eastAsia"/>
                <w:kern w:val="0"/>
                <w:sz w:val="24"/>
                <w:szCs w:val="24"/>
              </w:rPr>
            </w:pPr>
            <w:r>
              <w:rPr>
                <w:rFonts w:hint="eastAsia"/>
                <w:kern w:val="0"/>
                <w:sz w:val="24"/>
                <w:szCs w:val="24"/>
              </w:rPr>
              <w:t>254</w:t>
            </w:r>
          </w:p>
        </w:tc>
        <w:tc>
          <w:tcPr>
            <w:tcW w:w="1999" w:type="pct"/>
            <w:vAlign w:val="center"/>
          </w:tcPr>
          <w:p w14:paraId="66E3F133">
            <w:pPr>
              <w:widowControl/>
              <w:spacing w:line="320" w:lineRule="exact"/>
              <w:ind w:firstLine="0" w:firstLineChars="0"/>
              <w:jc w:val="center"/>
              <w:rPr>
                <w:rFonts w:hint="eastAsia"/>
                <w:kern w:val="0"/>
                <w:sz w:val="24"/>
                <w:szCs w:val="24"/>
              </w:rPr>
            </w:pPr>
            <w:r>
              <w:rPr>
                <w:rFonts w:hint="eastAsia"/>
                <w:kern w:val="0"/>
                <w:sz w:val="24"/>
                <w:szCs w:val="24"/>
              </w:rPr>
              <w:t>有电动自行车充电设施缺口的社区占比48.9%，有电动自行车充电设施缺口的小区有254个，占全部小区总数的32.5%，居民对电动自行车充电设施需求较大，但缺少设施。老旧小区还存在电容不够、无空间安装、缺少雨棚、飞线充电的问题。</w:t>
            </w:r>
          </w:p>
        </w:tc>
        <w:tc>
          <w:tcPr>
            <w:tcW w:w="458" w:type="pct"/>
            <w:vAlign w:val="center"/>
          </w:tcPr>
          <w:p w14:paraId="51A9297D">
            <w:pPr>
              <w:widowControl/>
              <w:spacing w:line="320" w:lineRule="exact"/>
              <w:ind w:firstLine="0" w:firstLineChars="0"/>
              <w:jc w:val="center"/>
              <w:rPr>
                <w:rFonts w:hint="eastAsia"/>
                <w:kern w:val="0"/>
                <w:sz w:val="24"/>
                <w:szCs w:val="24"/>
              </w:rPr>
            </w:pPr>
            <w:r>
              <w:rPr>
                <w:kern w:val="0"/>
                <w:sz w:val="24"/>
                <w:szCs w:val="24"/>
              </w:rPr>
              <w:t>II</w:t>
            </w:r>
          </w:p>
        </w:tc>
        <w:tc>
          <w:tcPr>
            <w:tcW w:w="935" w:type="pct"/>
            <w:vAlign w:val="center"/>
          </w:tcPr>
          <w:p w14:paraId="61A972D4">
            <w:pPr>
              <w:widowControl/>
              <w:spacing w:line="320" w:lineRule="exact"/>
              <w:ind w:firstLine="0" w:firstLineChars="0"/>
              <w:jc w:val="center"/>
              <w:rPr>
                <w:rFonts w:hint="eastAsia"/>
                <w:kern w:val="0"/>
                <w:sz w:val="24"/>
                <w:szCs w:val="24"/>
              </w:rPr>
            </w:pPr>
            <w:r>
              <w:rPr>
                <w:rFonts w:hint="eastAsia"/>
                <w:kern w:val="0"/>
                <w:sz w:val="24"/>
                <w:szCs w:val="24"/>
              </w:rPr>
              <w:t>市发改委、</w:t>
            </w:r>
          </w:p>
          <w:p w14:paraId="3CA727BA">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73ABD5F2">
            <w:pPr>
              <w:widowControl/>
              <w:spacing w:line="320" w:lineRule="exact"/>
              <w:ind w:firstLine="0" w:firstLineChars="0"/>
              <w:jc w:val="center"/>
              <w:rPr>
                <w:rFonts w:hint="eastAsia"/>
                <w:kern w:val="0"/>
                <w:sz w:val="24"/>
                <w:szCs w:val="24"/>
              </w:rPr>
            </w:pPr>
            <w:r>
              <w:rPr>
                <w:rFonts w:hint="eastAsia"/>
                <w:kern w:val="0"/>
                <w:sz w:val="24"/>
                <w:szCs w:val="24"/>
              </w:rPr>
              <w:t>市供电公司、</w:t>
            </w:r>
          </w:p>
          <w:p w14:paraId="223B9AC7">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63AD937E">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15002264">
            <w:pPr>
              <w:widowControl/>
              <w:spacing w:line="320" w:lineRule="exact"/>
              <w:ind w:firstLine="0" w:firstLineChars="0"/>
              <w:jc w:val="center"/>
              <w:rPr>
                <w:rFonts w:hint="eastAsia"/>
                <w:kern w:val="0"/>
                <w:sz w:val="24"/>
                <w:szCs w:val="24"/>
              </w:rPr>
            </w:pPr>
            <w:r>
              <w:rPr>
                <w:rFonts w:hint="eastAsia"/>
                <w:kern w:val="0"/>
                <w:sz w:val="24"/>
                <w:szCs w:val="24"/>
              </w:rPr>
              <w:t>开发区管委会、</w:t>
            </w:r>
            <w:r>
              <w:rPr>
                <w:rFonts w:hint="eastAsia"/>
                <w:kern w:val="0"/>
                <w:sz w:val="24"/>
                <w:szCs w:val="24"/>
              </w:rPr>
              <w:br w:type="textWrapping"/>
            </w:r>
            <w:r>
              <w:rPr>
                <w:rFonts w:hint="eastAsia"/>
                <w:kern w:val="0"/>
                <w:sz w:val="24"/>
                <w:szCs w:val="24"/>
              </w:rPr>
              <w:t>小区物业</w:t>
            </w:r>
          </w:p>
        </w:tc>
      </w:tr>
      <w:tr w14:paraId="22070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 w:type="pct"/>
            <w:vAlign w:val="center"/>
          </w:tcPr>
          <w:p w14:paraId="05CD657A">
            <w:pPr>
              <w:widowControl/>
              <w:spacing w:line="320" w:lineRule="exact"/>
              <w:ind w:firstLine="0" w:firstLineChars="0"/>
              <w:jc w:val="center"/>
              <w:rPr>
                <w:rFonts w:hint="eastAsia"/>
                <w:kern w:val="0"/>
                <w:sz w:val="24"/>
                <w:szCs w:val="24"/>
              </w:rPr>
            </w:pPr>
            <w:r>
              <w:rPr>
                <w:rFonts w:hint="eastAsia"/>
                <w:kern w:val="0"/>
                <w:sz w:val="24"/>
                <w:szCs w:val="24"/>
              </w:rPr>
              <w:t>13</w:t>
            </w:r>
          </w:p>
        </w:tc>
        <w:tc>
          <w:tcPr>
            <w:tcW w:w="816" w:type="pct"/>
            <w:vAlign w:val="center"/>
          </w:tcPr>
          <w:p w14:paraId="33BAA00F">
            <w:pPr>
              <w:widowControl/>
              <w:spacing w:line="320" w:lineRule="exact"/>
              <w:ind w:firstLine="0" w:firstLineChars="0"/>
              <w:jc w:val="center"/>
              <w:rPr>
                <w:rFonts w:hint="eastAsia"/>
                <w:kern w:val="0"/>
                <w:sz w:val="24"/>
                <w:szCs w:val="24"/>
              </w:rPr>
            </w:pPr>
            <w:r>
              <w:rPr>
                <w:rFonts w:hint="eastAsia"/>
                <w:kern w:val="0"/>
                <w:sz w:val="24"/>
                <w:szCs w:val="24"/>
              </w:rPr>
              <w:t>☆未实施物业管理的小区数量（个）</w:t>
            </w:r>
          </w:p>
        </w:tc>
        <w:tc>
          <w:tcPr>
            <w:tcW w:w="504" w:type="pct"/>
            <w:vAlign w:val="center"/>
          </w:tcPr>
          <w:p w14:paraId="199B35C5">
            <w:pPr>
              <w:widowControl/>
              <w:spacing w:line="320" w:lineRule="exact"/>
              <w:ind w:firstLine="0" w:firstLineChars="0"/>
              <w:jc w:val="center"/>
              <w:rPr>
                <w:rFonts w:hint="eastAsia"/>
                <w:kern w:val="0"/>
                <w:sz w:val="24"/>
                <w:szCs w:val="24"/>
              </w:rPr>
            </w:pPr>
            <w:r>
              <w:rPr>
                <w:rFonts w:hint="eastAsia"/>
                <w:kern w:val="0"/>
                <w:sz w:val="24"/>
                <w:szCs w:val="24"/>
              </w:rPr>
              <w:t>182</w:t>
            </w:r>
          </w:p>
        </w:tc>
        <w:tc>
          <w:tcPr>
            <w:tcW w:w="1999" w:type="pct"/>
            <w:vAlign w:val="center"/>
          </w:tcPr>
          <w:p w14:paraId="726A83A1">
            <w:pPr>
              <w:widowControl/>
              <w:spacing w:line="320" w:lineRule="exact"/>
              <w:ind w:firstLine="0" w:firstLineChars="0"/>
              <w:jc w:val="center"/>
              <w:rPr>
                <w:rFonts w:hint="eastAsia"/>
                <w:kern w:val="0"/>
                <w:sz w:val="24"/>
                <w:szCs w:val="24"/>
              </w:rPr>
            </w:pPr>
            <w:r>
              <w:rPr>
                <w:rFonts w:hint="eastAsia"/>
                <w:kern w:val="0"/>
                <w:sz w:val="24"/>
                <w:szCs w:val="24"/>
              </w:rPr>
              <w:t>未实施物业管理的社区占比42.3%，未实施物业管理的小区有182个，占全部小区总数的23.3%，主要为小区自治，由门卫负责安全或社区代为管理，找专人做卫生清洁。</w:t>
            </w:r>
          </w:p>
        </w:tc>
        <w:tc>
          <w:tcPr>
            <w:tcW w:w="458" w:type="pct"/>
            <w:vAlign w:val="center"/>
          </w:tcPr>
          <w:p w14:paraId="7B48B91C">
            <w:pPr>
              <w:widowControl/>
              <w:spacing w:line="320" w:lineRule="exact"/>
              <w:ind w:firstLine="0" w:firstLineChars="0"/>
              <w:jc w:val="center"/>
              <w:rPr>
                <w:rFonts w:hint="eastAsia"/>
                <w:kern w:val="0"/>
                <w:sz w:val="24"/>
                <w:szCs w:val="24"/>
              </w:rPr>
            </w:pPr>
            <w:r>
              <w:rPr>
                <w:kern w:val="0"/>
                <w:sz w:val="24"/>
                <w:szCs w:val="24"/>
              </w:rPr>
              <w:t>III</w:t>
            </w:r>
          </w:p>
        </w:tc>
        <w:tc>
          <w:tcPr>
            <w:tcW w:w="935" w:type="pct"/>
            <w:vAlign w:val="center"/>
          </w:tcPr>
          <w:p w14:paraId="2FF270AB">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02D90F97">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5C37C18F">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62098382">
            <w:pPr>
              <w:widowControl/>
              <w:spacing w:line="320" w:lineRule="exact"/>
              <w:ind w:firstLine="0" w:firstLineChars="0"/>
              <w:jc w:val="center"/>
              <w:rPr>
                <w:rFonts w:hint="eastAsia"/>
                <w:kern w:val="0"/>
                <w:sz w:val="24"/>
                <w:szCs w:val="24"/>
              </w:rPr>
            </w:pPr>
            <w:r>
              <w:rPr>
                <w:rFonts w:hint="eastAsia"/>
                <w:kern w:val="0"/>
                <w:sz w:val="24"/>
                <w:szCs w:val="24"/>
              </w:rPr>
              <w:t>开发区管委会</w:t>
            </w:r>
          </w:p>
        </w:tc>
      </w:tr>
    </w:tbl>
    <w:p w14:paraId="038BE0F3">
      <w:pPr>
        <w:ind w:firstLine="640"/>
        <w:rPr>
          <w:rFonts w:hint="eastAsia"/>
        </w:rPr>
      </w:pPr>
      <w:r>
        <w:rPr>
          <w:rFonts w:hint="eastAsia"/>
        </w:rPr>
        <w:br w:type="page"/>
      </w:r>
    </w:p>
    <w:p w14:paraId="2841731D">
      <w:pPr>
        <w:pStyle w:val="48"/>
        <w:outlineLvl w:val="2"/>
        <w:rPr>
          <w:rFonts w:hint="eastAsia"/>
        </w:rPr>
      </w:pPr>
      <w:r>
        <w:rPr>
          <w:rFonts w:hint="eastAsia"/>
        </w:rPr>
        <w:t>街区维度体检问题清单</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2"/>
        <w:gridCol w:w="4377"/>
        <w:gridCol w:w="2132"/>
        <w:gridCol w:w="6934"/>
      </w:tblGrid>
      <w:tr w14:paraId="7A126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58" w:type="pct"/>
            <w:shd w:val="clear" w:color="auto" w:fill="auto"/>
            <w:noWrap/>
            <w:vAlign w:val="center"/>
          </w:tcPr>
          <w:p w14:paraId="71E9F926">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序号</w:t>
            </w:r>
          </w:p>
        </w:tc>
        <w:tc>
          <w:tcPr>
            <w:tcW w:w="1543" w:type="pct"/>
            <w:shd w:val="clear" w:color="auto" w:fill="auto"/>
            <w:noWrap/>
            <w:vAlign w:val="center"/>
          </w:tcPr>
          <w:p w14:paraId="380809F0">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指标名称</w:t>
            </w:r>
          </w:p>
        </w:tc>
        <w:tc>
          <w:tcPr>
            <w:tcW w:w="752" w:type="pct"/>
            <w:shd w:val="clear" w:color="auto" w:fill="auto"/>
            <w:noWrap/>
            <w:vAlign w:val="center"/>
          </w:tcPr>
          <w:p w14:paraId="2771FBA7">
            <w:pPr>
              <w:pStyle w:val="41"/>
              <w:rPr>
                <w:rFonts w:hint="eastAsia" w:ascii="方正黑体_GBK" w:hAnsi="方正黑体_GBK" w:eastAsia="方正黑体_GBK" w:cs="方正黑体_GBK"/>
              </w:rPr>
            </w:pPr>
            <w:r>
              <w:rPr>
                <w:rFonts w:hint="eastAsia" w:ascii="方正黑体_GBK" w:hAnsi="方正黑体_GBK" w:eastAsia="方正黑体_GBK" w:cs="方正黑体_GBK"/>
              </w:rPr>
              <w:t>指标结果</w:t>
            </w:r>
          </w:p>
        </w:tc>
        <w:tc>
          <w:tcPr>
            <w:tcW w:w="2445" w:type="pct"/>
            <w:shd w:val="clear" w:color="auto" w:fill="auto"/>
            <w:noWrap/>
            <w:vAlign w:val="center"/>
          </w:tcPr>
          <w:p w14:paraId="5AD009BC">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存在问题</w:t>
            </w:r>
          </w:p>
        </w:tc>
      </w:tr>
      <w:tr w14:paraId="380A6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58" w:type="pct"/>
            <w:shd w:val="clear" w:color="auto" w:fill="auto"/>
            <w:vAlign w:val="center"/>
          </w:tcPr>
          <w:p w14:paraId="2F73DA5D">
            <w:pPr>
              <w:pStyle w:val="41"/>
              <w:rPr>
                <w:rFonts w:hint="eastAsia" w:cs="方正仿宋_GBK"/>
              </w:rPr>
            </w:pPr>
            <w:r>
              <w:rPr>
                <w:rFonts w:hint="eastAsia" w:cs="方正仿宋_GBK"/>
              </w:rPr>
              <w:t>14</w:t>
            </w:r>
          </w:p>
        </w:tc>
        <w:tc>
          <w:tcPr>
            <w:tcW w:w="1543" w:type="pct"/>
            <w:shd w:val="clear" w:color="auto" w:fill="auto"/>
            <w:vAlign w:val="center"/>
          </w:tcPr>
          <w:p w14:paraId="0A8CF988">
            <w:pPr>
              <w:pStyle w:val="41"/>
              <w:rPr>
                <w:rFonts w:hint="eastAsia" w:cs="方正仿宋_GBK"/>
              </w:rPr>
            </w:pPr>
            <w:r>
              <w:rPr>
                <w:rFonts w:hint="eastAsia" w:cs="方正仿宋_GBK"/>
              </w:rPr>
              <w:t>中学服务半径覆盖率（%）</w:t>
            </w:r>
          </w:p>
        </w:tc>
        <w:tc>
          <w:tcPr>
            <w:tcW w:w="752" w:type="pct"/>
            <w:shd w:val="clear" w:color="auto" w:fill="auto"/>
            <w:noWrap/>
            <w:vAlign w:val="center"/>
          </w:tcPr>
          <w:p w14:paraId="5D4D7E6B">
            <w:pPr>
              <w:pStyle w:val="41"/>
              <w:rPr>
                <w:rFonts w:hint="eastAsia" w:cs="方正仿宋_GBK"/>
              </w:rPr>
            </w:pPr>
            <w:r>
              <w:rPr>
                <w:rFonts w:hint="eastAsia" w:cs="方正仿宋_GBK"/>
              </w:rPr>
              <w:t>48.85%</w:t>
            </w:r>
          </w:p>
        </w:tc>
        <w:tc>
          <w:tcPr>
            <w:tcW w:w="2445" w:type="pct"/>
            <w:shd w:val="clear" w:color="auto" w:fill="auto"/>
            <w:noWrap/>
            <w:vAlign w:val="center"/>
          </w:tcPr>
          <w:p w14:paraId="00F7A890">
            <w:pPr>
              <w:pStyle w:val="41"/>
              <w:rPr>
                <w:rFonts w:hint="eastAsia" w:cs="方正仿宋_GBK"/>
              </w:rPr>
            </w:pPr>
            <w:r>
              <w:rPr>
                <w:rFonts w:hint="eastAsia" w:cs="方正仿宋_GBK"/>
              </w:rPr>
              <w:t>廊坊市建成区中学服务半径未覆盖区域主要集中于廊万路沿线两侧、南尖塔镇西北部、杨税务镇北部、北旺镇及开发区大部分区域。</w:t>
            </w:r>
          </w:p>
        </w:tc>
      </w:tr>
      <w:tr w14:paraId="2FCE9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58" w:type="pct"/>
            <w:shd w:val="clear" w:color="auto" w:fill="auto"/>
            <w:vAlign w:val="center"/>
          </w:tcPr>
          <w:p w14:paraId="01138DFF">
            <w:pPr>
              <w:pStyle w:val="41"/>
              <w:rPr>
                <w:rFonts w:hint="eastAsia" w:cs="方正仿宋_GBK"/>
              </w:rPr>
            </w:pPr>
            <w:r>
              <w:rPr>
                <w:rFonts w:hint="eastAsia" w:cs="方正仿宋_GBK"/>
              </w:rPr>
              <w:t>15</w:t>
            </w:r>
          </w:p>
        </w:tc>
        <w:tc>
          <w:tcPr>
            <w:tcW w:w="1543" w:type="pct"/>
            <w:shd w:val="clear" w:color="auto" w:fill="auto"/>
            <w:vAlign w:val="center"/>
          </w:tcPr>
          <w:p w14:paraId="663B2236">
            <w:pPr>
              <w:pStyle w:val="41"/>
              <w:rPr>
                <w:rFonts w:hint="eastAsia" w:cs="方正仿宋_GBK"/>
              </w:rPr>
            </w:pPr>
            <w:r>
              <w:rPr>
                <w:rFonts w:hint="eastAsia" w:cs="方正仿宋_GBK"/>
              </w:rPr>
              <w:t>未达标配建多功能运动场地的数量（个）</w:t>
            </w:r>
          </w:p>
        </w:tc>
        <w:tc>
          <w:tcPr>
            <w:tcW w:w="752" w:type="pct"/>
            <w:shd w:val="clear" w:color="auto" w:fill="auto"/>
            <w:noWrap/>
            <w:vAlign w:val="center"/>
          </w:tcPr>
          <w:p w14:paraId="059C62C4">
            <w:pPr>
              <w:pStyle w:val="41"/>
              <w:rPr>
                <w:rFonts w:hint="eastAsia" w:cs="方正仿宋_GBK"/>
              </w:rPr>
            </w:pPr>
            <w:r>
              <w:rPr>
                <w:rFonts w:hint="eastAsia" w:cs="方正仿宋_GBK"/>
              </w:rPr>
              <w:t>8</w:t>
            </w:r>
          </w:p>
        </w:tc>
        <w:tc>
          <w:tcPr>
            <w:tcW w:w="2445" w:type="pct"/>
            <w:shd w:val="clear" w:color="auto" w:fill="auto"/>
            <w:noWrap/>
            <w:vAlign w:val="center"/>
          </w:tcPr>
          <w:p w14:paraId="5B859C6B">
            <w:pPr>
              <w:pStyle w:val="41"/>
              <w:rPr>
                <w:rFonts w:hint="eastAsia" w:cs="方正仿宋_GBK"/>
              </w:rPr>
            </w:pPr>
            <w:r>
              <w:rPr>
                <w:rFonts w:hint="eastAsia" w:cs="方正仿宋_GBK"/>
              </w:rPr>
              <w:t>廊坊市建成区未达标配建多功能运动场地均匀分布于各个街道，主要为未向社会开放的中小学多功能运动场地。</w:t>
            </w:r>
          </w:p>
        </w:tc>
      </w:tr>
      <w:tr w14:paraId="41FD6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58" w:type="pct"/>
            <w:shd w:val="clear" w:color="auto" w:fill="auto"/>
            <w:vAlign w:val="center"/>
          </w:tcPr>
          <w:p w14:paraId="2467D538">
            <w:pPr>
              <w:pStyle w:val="41"/>
              <w:rPr>
                <w:rFonts w:hint="eastAsia" w:cs="方正仿宋_GBK"/>
              </w:rPr>
            </w:pPr>
            <w:r>
              <w:rPr>
                <w:rFonts w:hint="eastAsia" w:cs="方正仿宋_GBK"/>
              </w:rPr>
              <w:t>16</w:t>
            </w:r>
          </w:p>
        </w:tc>
        <w:tc>
          <w:tcPr>
            <w:tcW w:w="1543" w:type="pct"/>
            <w:shd w:val="clear" w:color="auto" w:fill="auto"/>
            <w:vAlign w:val="center"/>
          </w:tcPr>
          <w:p w14:paraId="3E6B8F00">
            <w:pPr>
              <w:pStyle w:val="41"/>
              <w:rPr>
                <w:rFonts w:hint="eastAsia" w:cs="方正仿宋_GBK"/>
              </w:rPr>
            </w:pPr>
            <w:r>
              <w:rPr>
                <w:rFonts w:hint="eastAsia" w:cs="方正仿宋_GBK"/>
              </w:rPr>
              <w:t>未达标配建文化活动中心的数量（个）</w:t>
            </w:r>
          </w:p>
        </w:tc>
        <w:tc>
          <w:tcPr>
            <w:tcW w:w="752" w:type="pct"/>
            <w:shd w:val="clear" w:color="auto" w:fill="auto"/>
            <w:noWrap/>
            <w:vAlign w:val="center"/>
          </w:tcPr>
          <w:p w14:paraId="3F59BBAE">
            <w:pPr>
              <w:pStyle w:val="41"/>
              <w:rPr>
                <w:rFonts w:hint="eastAsia" w:cs="方正仿宋_GBK"/>
              </w:rPr>
            </w:pPr>
            <w:r>
              <w:rPr>
                <w:rFonts w:hint="eastAsia" w:cs="方正仿宋_GBK"/>
              </w:rPr>
              <w:t>10</w:t>
            </w:r>
          </w:p>
        </w:tc>
        <w:tc>
          <w:tcPr>
            <w:tcW w:w="2445" w:type="pct"/>
            <w:shd w:val="clear" w:color="auto" w:fill="auto"/>
            <w:noWrap/>
            <w:vAlign w:val="center"/>
          </w:tcPr>
          <w:p w14:paraId="7081E364">
            <w:pPr>
              <w:pStyle w:val="41"/>
              <w:rPr>
                <w:rFonts w:hint="eastAsia" w:cs="方正仿宋_GBK"/>
              </w:rPr>
            </w:pPr>
            <w:r>
              <w:rPr>
                <w:rFonts w:hint="eastAsia" w:cs="方正仿宋_GBK"/>
              </w:rPr>
              <w:t>光明西道街道大部分区域、龙河高新区大部分区域以及永华道街道西部、爱民东道北部、新源道西北部以及南尖塔镇大部分区域、龙河高新区、开发区文化活动中心服务覆盖不足。</w:t>
            </w:r>
          </w:p>
        </w:tc>
      </w:tr>
      <w:tr w14:paraId="77FEA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58" w:type="pct"/>
            <w:shd w:val="clear" w:color="auto" w:fill="auto"/>
            <w:vAlign w:val="center"/>
          </w:tcPr>
          <w:p w14:paraId="30E7755E">
            <w:pPr>
              <w:pStyle w:val="41"/>
              <w:rPr>
                <w:rFonts w:hint="eastAsia" w:cs="方正仿宋_GBK"/>
              </w:rPr>
            </w:pPr>
            <w:r>
              <w:rPr>
                <w:rFonts w:hint="eastAsia" w:cs="方正仿宋_GBK"/>
              </w:rPr>
              <w:t>17</w:t>
            </w:r>
          </w:p>
        </w:tc>
        <w:tc>
          <w:tcPr>
            <w:tcW w:w="1543" w:type="pct"/>
            <w:shd w:val="clear" w:color="auto" w:fill="auto"/>
            <w:vAlign w:val="center"/>
          </w:tcPr>
          <w:p w14:paraId="3A8E63BA">
            <w:pPr>
              <w:pStyle w:val="41"/>
              <w:rPr>
                <w:rFonts w:hint="eastAsia" w:cs="方正仿宋_GBK"/>
              </w:rPr>
            </w:pPr>
            <w:r>
              <w:rPr>
                <w:rFonts w:hint="eastAsia" w:cs="方正仿宋_GBK"/>
              </w:rPr>
              <w:t>公园绿化活动场地服务半径覆盖率（%）</w:t>
            </w:r>
          </w:p>
        </w:tc>
        <w:tc>
          <w:tcPr>
            <w:tcW w:w="752" w:type="pct"/>
            <w:shd w:val="clear" w:color="auto" w:fill="auto"/>
            <w:noWrap/>
            <w:vAlign w:val="center"/>
          </w:tcPr>
          <w:p w14:paraId="0394A27A">
            <w:pPr>
              <w:pStyle w:val="41"/>
              <w:rPr>
                <w:rFonts w:hint="eastAsia" w:cs="方正仿宋_GBK"/>
              </w:rPr>
            </w:pPr>
            <w:r>
              <w:rPr>
                <w:rFonts w:hint="eastAsia" w:cs="方正仿宋_GBK"/>
              </w:rPr>
              <w:t>75.33%</w:t>
            </w:r>
            <w:r>
              <w:rPr>
                <w:rStyle w:val="65"/>
                <w:rFonts w:hint="eastAsia"/>
              </w:rPr>
              <w:t>（非建成区综合结果）</w:t>
            </w:r>
          </w:p>
        </w:tc>
        <w:tc>
          <w:tcPr>
            <w:tcW w:w="2445" w:type="pct"/>
            <w:shd w:val="clear" w:color="auto" w:fill="auto"/>
            <w:noWrap/>
            <w:vAlign w:val="center"/>
          </w:tcPr>
          <w:p w14:paraId="7829D5DE">
            <w:pPr>
              <w:pStyle w:val="41"/>
              <w:rPr>
                <w:rFonts w:hint="eastAsia" w:cs="方正仿宋_GBK"/>
              </w:rPr>
            </w:pPr>
            <w:r>
              <w:rPr>
                <w:rFonts w:hint="eastAsia"/>
              </w:rPr>
              <w:t>广阳区北旺镇东部、安次区龙河高新区东北部、开发区北部大部分区域缺乏公园绿化活动场地。</w:t>
            </w:r>
          </w:p>
        </w:tc>
      </w:tr>
      <w:tr w14:paraId="7BE2F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58" w:type="pct"/>
            <w:shd w:val="clear" w:color="auto" w:fill="auto"/>
            <w:vAlign w:val="center"/>
          </w:tcPr>
          <w:p w14:paraId="7EFF7002">
            <w:pPr>
              <w:pStyle w:val="41"/>
              <w:rPr>
                <w:rFonts w:hint="eastAsia" w:cs="方正仿宋_GBK"/>
              </w:rPr>
            </w:pPr>
            <w:r>
              <w:rPr>
                <w:rFonts w:hint="eastAsia" w:cs="方正仿宋_GBK"/>
              </w:rPr>
              <w:t>18</w:t>
            </w:r>
          </w:p>
        </w:tc>
        <w:tc>
          <w:tcPr>
            <w:tcW w:w="1543" w:type="pct"/>
            <w:shd w:val="clear" w:color="auto" w:fill="auto"/>
            <w:vAlign w:val="center"/>
          </w:tcPr>
          <w:p w14:paraId="2878F8BC">
            <w:pPr>
              <w:pStyle w:val="41"/>
              <w:rPr>
                <w:rFonts w:hint="eastAsia" w:cs="方正仿宋_GBK"/>
              </w:rPr>
            </w:pPr>
            <w:r>
              <w:rPr>
                <w:rFonts w:hint="eastAsia" w:cs="方正仿宋_GBK"/>
              </w:rPr>
              <w:t>存在乱停放车辆问题的道路数量（条）</w:t>
            </w:r>
          </w:p>
        </w:tc>
        <w:tc>
          <w:tcPr>
            <w:tcW w:w="752" w:type="pct"/>
            <w:shd w:val="clear" w:color="auto" w:fill="auto"/>
            <w:noWrap/>
            <w:vAlign w:val="center"/>
          </w:tcPr>
          <w:p w14:paraId="43EB0F73">
            <w:pPr>
              <w:pStyle w:val="41"/>
              <w:rPr>
                <w:rFonts w:hint="eastAsia" w:cs="方正仿宋_GBK"/>
              </w:rPr>
            </w:pPr>
            <w:r>
              <w:rPr>
                <w:rFonts w:hint="eastAsia" w:cs="方正仿宋_GBK"/>
              </w:rPr>
              <w:t>27</w:t>
            </w:r>
          </w:p>
        </w:tc>
        <w:tc>
          <w:tcPr>
            <w:tcW w:w="2445" w:type="pct"/>
            <w:shd w:val="clear" w:color="auto" w:fill="auto"/>
            <w:noWrap/>
            <w:vAlign w:val="center"/>
          </w:tcPr>
          <w:p w14:paraId="2BBC8FBC">
            <w:pPr>
              <w:pStyle w:val="41"/>
              <w:rPr>
                <w:rFonts w:hint="eastAsia" w:cs="方正仿宋_GBK"/>
              </w:rPr>
            </w:pPr>
            <w:r>
              <w:rPr>
                <w:rFonts w:hint="eastAsia" w:cs="方正仿宋_GBK"/>
              </w:rPr>
              <w:t>一是居住区停车位供给不足，导致停车需求外溢至附近道路；二是学校附近接送学生导致的潮汐式乱停放车辆问题。解放道街道、光明西路街道、银河北路街道、开发区乱停放车辆问题较为突出。</w:t>
            </w:r>
          </w:p>
        </w:tc>
      </w:tr>
    </w:tbl>
    <w:p w14:paraId="4DBBC28A">
      <w:pPr>
        <w:pStyle w:val="48"/>
        <w:outlineLvl w:val="2"/>
        <w:rPr>
          <w:rFonts w:hint="eastAsia"/>
        </w:rPr>
        <w:sectPr>
          <w:pgSz w:w="16838" w:h="11900" w:orient="landscape"/>
          <w:pgMar w:top="1803" w:right="1440" w:bottom="1803" w:left="1440" w:header="600" w:footer="360" w:gutter="0"/>
          <w:pgNumType w:fmt="decimal"/>
          <w:cols w:space="720" w:num="1"/>
        </w:sectPr>
      </w:pPr>
    </w:p>
    <w:p w14:paraId="372319F3">
      <w:pPr>
        <w:pStyle w:val="48"/>
        <w:outlineLvl w:val="2"/>
        <w:rPr>
          <w:rFonts w:hint="eastAsia"/>
        </w:rPr>
      </w:pPr>
      <w:r>
        <w:rPr>
          <w:rFonts w:hint="eastAsia"/>
        </w:rPr>
        <w:t>城区维度体检问题清单</w:t>
      </w:r>
    </w:p>
    <w:tbl>
      <w:tblPr>
        <w:tblStyle w:val="3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760"/>
        <w:gridCol w:w="1998"/>
        <w:gridCol w:w="1545"/>
        <w:gridCol w:w="5121"/>
        <w:gridCol w:w="1117"/>
        <w:gridCol w:w="2868"/>
      </w:tblGrid>
      <w:tr w14:paraId="6F695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68" w:type="pct"/>
            <w:vAlign w:val="center"/>
          </w:tcPr>
          <w:p w14:paraId="58A755BE">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维度</w:t>
            </w:r>
          </w:p>
        </w:tc>
        <w:tc>
          <w:tcPr>
            <w:tcW w:w="268" w:type="pct"/>
            <w:vAlign w:val="center"/>
          </w:tcPr>
          <w:p w14:paraId="26914B64">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序号</w:t>
            </w:r>
          </w:p>
        </w:tc>
        <w:tc>
          <w:tcPr>
            <w:tcW w:w="705" w:type="pct"/>
            <w:vAlign w:val="center"/>
          </w:tcPr>
          <w:p w14:paraId="2F060E5A">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指标项</w:t>
            </w:r>
          </w:p>
        </w:tc>
        <w:tc>
          <w:tcPr>
            <w:tcW w:w="545" w:type="pct"/>
            <w:vAlign w:val="center"/>
          </w:tcPr>
          <w:p w14:paraId="16615010">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指标值</w:t>
            </w:r>
          </w:p>
        </w:tc>
        <w:tc>
          <w:tcPr>
            <w:tcW w:w="1807" w:type="pct"/>
            <w:vAlign w:val="center"/>
          </w:tcPr>
          <w:p w14:paraId="2E494696">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问题分析</w:t>
            </w:r>
          </w:p>
        </w:tc>
        <w:tc>
          <w:tcPr>
            <w:tcW w:w="394" w:type="pct"/>
            <w:vAlign w:val="center"/>
          </w:tcPr>
          <w:p w14:paraId="4C25BAFD">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问题分级</w:t>
            </w:r>
          </w:p>
        </w:tc>
        <w:tc>
          <w:tcPr>
            <w:tcW w:w="1012" w:type="pct"/>
            <w:vAlign w:val="center"/>
          </w:tcPr>
          <w:p w14:paraId="5E835539">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责任单位</w:t>
            </w:r>
          </w:p>
        </w:tc>
      </w:tr>
      <w:tr w14:paraId="789EA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 w:type="pct"/>
            <w:vAlign w:val="center"/>
          </w:tcPr>
          <w:p w14:paraId="3794BB64">
            <w:pPr>
              <w:widowControl/>
              <w:spacing w:line="320" w:lineRule="exact"/>
              <w:ind w:firstLine="0" w:firstLineChars="0"/>
              <w:jc w:val="center"/>
              <w:rPr>
                <w:rFonts w:hint="eastAsia"/>
                <w:kern w:val="0"/>
                <w:sz w:val="24"/>
                <w:szCs w:val="24"/>
              </w:rPr>
            </w:pPr>
            <w:r>
              <w:rPr>
                <w:rFonts w:hint="eastAsia"/>
                <w:kern w:val="0"/>
                <w:sz w:val="24"/>
                <w:szCs w:val="24"/>
              </w:rPr>
              <w:t>生态宜居</w:t>
            </w:r>
          </w:p>
        </w:tc>
        <w:tc>
          <w:tcPr>
            <w:tcW w:w="268" w:type="pct"/>
            <w:vAlign w:val="center"/>
          </w:tcPr>
          <w:p w14:paraId="5FE5B714">
            <w:pPr>
              <w:widowControl/>
              <w:spacing w:line="320" w:lineRule="exact"/>
              <w:ind w:firstLine="0" w:firstLineChars="0"/>
              <w:jc w:val="center"/>
              <w:rPr>
                <w:rFonts w:hint="eastAsia"/>
                <w:kern w:val="0"/>
                <w:sz w:val="24"/>
                <w:szCs w:val="24"/>
              </w:rPr>
            </w:pPr>
            <w:r>
              <w:rPr>
                <w:rFonts w:hint="eastAsia"/>
                <w:kern w:val="0"/>
                <w:sz w:val="24"/>
                <w:szCs w:val="24"/>
              </w:rPr>
              <w:t>19</w:t>
            </w:r>
          </w:p>
        </w:tc>
        <w:tc>
          <w:tcPr>
            <w:tcW w:w="705" w:type="pct"/>
            <w:vAlign w:val="center"/>
          </w:tcPr>
          <w:p w14:paraId="0AAD6C9C">
            <w:pPr>
              <w:widowControl/>
              <w:spacing w:line="320" w:lineRule="exact"/>
              <w:ind w:firstLine="0" w:firstLineChars="0"/>
              <w:jc w:val="center"/>
              <w:rPr>
                <w:rFonts w:hint="eastAsia"/>
                <w:kern w:val="0"/>
                <w:sz w:val="24"/>
                <w:szCs w:val="24"/>
              </w:rPr>
            </w:pPr>
            <w:r>
              <w:rPr>
                <w:kern w:val="0"/>
                <w:sz w:val="24"/>
                <w:szCs w:val="24"/>
              </w:rPr>
              <w:t>未达标配建的妇幼保健机构数量（个）</w:t>
            </w:r>
          </w:p>
        </w:tc>
        <w:tc>
          <w:tcPr>
            <w:tcW w:w="545" w:type="pct"/>
            <w:vAlign w:val="center"/>
          </w:tcPr>
          <w:p w14:paraId="3A2C5731">
            <w:pPr>
              <w:widowControl/>
              <w:spacing w:line="320" w:lineRule="exact"/>
              <w:ind w:firstLine="0" w:firstLineChars="0"/>
              <w:jc w:val="center"/>
              <w:rPr>
                <w:rFonts w:hint="eastAsia"/>
                <w:kern w:val="0"/>
                <w:sz w:val="24"/>
                <w:szCs w:val="24"/>
              </w:rPr>
            </w:pPr>
            <w:r>
              <w:rPr>
                <w:rFonts w:hint="eastAsia"/>
                <w:kern w:val="0"/>
                <w:sz w:val="24"/>
                <w:szCs w:val="24"/>
              </w:rPr>
              <w:t>1</w:t>
            </w:r>
          </w:p>
        </w:tc>
        <w:tc>
          <w:tcPr>
            <w:tcW w:w="1807" w:type="pct"/>
            <w:vAlign w:val="center"/>
          </w:tcPr>
          <w:p w14:paraId="5219C752">
            <w:pPr>
              <w:widowControl/>
              <w:spacing w:line="320" w:lineRule="exact"/>
              <w:ind w:firstLine="0" w:firstLineChars="0"/>
              <w:jc w:val="center"/>
              <w:rPr>
                <w:rFonts w:hint="eastAsia"/>
                <w:kern w:val="0"/>
                <w:sz w:val="24"/>
                <w:szCs w:val="24"/>
              </w:rPr>
            </w:pPr>
            <w:r>
              <w:rPr>
                <w:rFonts w:hint="eastAsia"/>
                <w:kern w:val="0"/>
                <w:sz w:val="24"/>
                <w:szCs w:val="24"/>
              </w:rPr>
              <w:t>资源分配不均，对妇幼保健的投入不足，安次区没有独立设置妇幼保健机构。</w:t>
            </w:r>
          </w:p>
        </w:tc>
        <w:tc>
          <w:tcPr>
            <w:tcW w:w="394" w:type="pct"/>
            <w:vAlign w:val="center"/>
          </w:tcPr>
          <w:p w14:paraId="42006A6F">
            <w:pPr>
              <w:widowControl/>
              <w:spacing w:line="320" w:lineRule="exact"/>
              <w:ind w:firstLine="0" w:firstLineChars="0"/>
              <w:jc w:val="center"/>
              <w:rPr>
                <w:rFonts w:hint="eastAsia"/>
                <w:kern w:val="0"/>
                <w:sz w:val="24"/>
                <w:szCs w:val="24"/>
              </w:rPr>
            </w:pPr>
            <w:r>
              <w:rPr>
                <w:kern w:val="0"/>
                <w:sz w:val="24"/>
                <w:szCs w:val="24"/>
              </w:rPr>
              <w:t>I</w:t>
            </w:r>
          </w:p>
        </w:tc>
        <w:tc>
          <w:tcPr>
            <w:tcW w:w="1012" w:type="pct"/>
            <w:vAlign w:val="center"/>
          </w:tcPr>
          <w:p w14:paraId="24FFEF68">
            <w:pPr>
              <w:widowControl/>
              <w:spacing w:line="320" w:lineRule="exact"/>
              <w:ind w:firstLine="0" w:firstLineChars="0"/>
              <w:jc w:val="center"/>
              <w:rPr>
                <w:rFonts w:hint="eastAsia"/>
                <w:kern w:val="0"/>
                <w:sz w:val="24"/>
                <w:szCs w:val="24"/>
              </w:rPr>
            </w:pPr>
            <w:r>
              <w:rPr>
                <w:rFonts w:hint="eastAsia"/>
                <w:kern w:val="0"/>
                <w:sz w:val="24"/>
                <w:szCs w:val="24"/>
              </w:rPr>
              <w:t>市卫健委</w:t>
            </w:r>
          </w:p>
          <w:p w14:paraId="09901C69">
            <w:pPr>
              <w:widowControl/>
              <w:spacing w:line="320" w:lineRule="exact"/>
              <w:ind w:firstLine="0" w:firstLineChars="0"/>
              <w:jc w:val="center"/>
              <w:rPr>
                <w:rFonts w:hint="eastAsia"/>
                <w:kern w:val="0"/>
                <w:sz w:val="24"/>
                <w:szCs w:val="24"/>
              </w:rPr>
            </w:pPr>
            <w:r>
              <w:rPr>
                <w:rFonts w:hint="eastAsia"/>
                <w:kern w:val="0"/>
                <w:sz w:val="24"/>
                <w:szCs w:val="24"/>
              </w:rPr>
              <w:t>安次区政府</w:t>
            </w:r>
          </w:p>
        </w:tc>
      </w:tr>
      <w:tr w14:paraId="133E6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 w:type="pct"/>
            <w:vAlign w:val="center"/>
          </w:tcPr>
          <w:p w14:paraId="78A24A79">
            <w:pPr>
              <w:widowControl/>
              <w:spacing w:line="320" w:lineRule="exact"/>
              <w:ind w:firstLine="0" w:firstLineChars="0"/>
              <w:jc w:val="center"/>
              <w:rPr>
                <w:rFonts w:hint="eastAsia"/>
                <w:kern w:val="0"/>
                <w:sz w:val="24"/>
                <w:szCs w:val="24"/>
              </w:rPr>
            </w:pPr>
            <w:r>
              <w:rPr>
                <w:rFonts w:hint="eastAsia"/>
                <w:kern w:val="0"/>
                <w:sz w:val="24"/>
                <w:szCs w:val="24"/>
              </w:rPr>
              <w:t>产城融合职住平衡</w:t>
            </w:r>
          </w:p>
        </w:tc>
        <w:tc>
          <w:tcPr>
            <w:tcW w:w="268" w:type="pct"/>
            <w:vAlign w:val="center"/>
          </w:tcPr>
          <w:p w14:paraId="050FF960">
            <w:pPr>
              <w:widowControl/>
              <w:spacing w:line="320" w:lineRule="exact"/>
              <w:ind w:firstLine="0" w:firstLineChars="0"/>
              <w:jc w:val="center"/>
              <w:rPr>
                <w:rFonts w:hint="eastAsia"/>
                <w:kern w:val="0"/>
                <w:sz w:val="24"/>
                <w:szCs w:val="24"/>
              </w:rPr>
            </w:pPr>
            <w:r>
              <w:rPr>
                <w:rFonts w:hint="eastAsia"/>
                <w:kern w:val="0"/>
                <w:sz w:val="24"/>
                <w:szCs w:val="24"/>
              </w:rPr>
              <w:t>20</w:t>
            </w:r>
          </w:p>
        </w:tc>
        <w:tc>
          <w:tcPr>
            <w:tcW w:w="705" w:type="pct"/>
            <w:vAlign w:val="center"/>
          </w:tcPr>
          <w:p w14:paraId="50DE7D43">
            <w:pPr>
              <w:widowControl/>
              <w:spacing w:line="320" w:lineRule="exact"/>
              <w:ind w:firstLine="0" w:firstLineChars="0"/>
              <w:jc w:val="center"/>
              <w:rPr>
                <w:rFonts w:hint="eastAsia"/>
                <w:kern w:val="0"/>
                <w:sz w:val="24"/>
                <w:szCs w:val="24"/>
              </w:rPr>
            </w:pPr>
            <w:r>
              <w:rPr>
                <w:kern w:val="0"/>
                <w:sz w:val="24"/>
                <w:szCs w:val="24"/>
              </w:rPr>
              <w:t>☆年度保障性住房占比（%）</w:t>
            </w:r>
          </w:p>
        </w:tc>
        <w:tc>
          <w:tcPr>
            <w:tcW w:w="545" w:type="pct"/>
            <w:vAlign w:val="center"/>
          </w:tcPr>
          <w:p w14:paraId="027865AF">
            <w:pPr>
              <w:widowControl/>
              <w:spacing w:line="320" w:lineRule="exact"/>
              <w:ind w:firstLine="0" w:firstLineChars="0"/>
              <w:jc w:val="center"/>
              <w:rPr>
                <w:rFonts w:hint="eastAsia"/>
                <w:kern w:val="0"/>
                <w:sz w:val="24"/>
                <w:szCs w:val="24"/>
              </w:rPr>
            </w:pPr>
            <w:r>
              <w:rPr>
                <w:rFonts w:hint="eastAsia"/>
                <w:kern w:val="0"/>
                <w:sz w:val="24"/>
                <w:szCs w:val="24"/>
              </w:rPr>
              <w:t>24%</w:t>
            </w:r>
          </w:p>
        </w:tc>
        <w:tc>
          <w:tcPr>
            <w:tcW w:w="1807" w:type="pct"/>
            <w:vAlign w:val="center"/>
          </w:tcPr>
          <w:p w14:paraId="5FE1A517">
            <w:pPr>
              <w:widowControl/>
              <w:spacing w:line="320" w:lineRule="exact"/>
              <w:ind w:firstLine="0" w:firstLineChars="0"/>
              <w:jc w:val="center"/>
              <w:rPr>
                <w:rFonts w:hint="eastAsia"/>
                <w:kern w:val="0"/>
                <w:sz w:val="24"/>
                <w:szCs w:val="24"/>
              </w:rPr>
            </w:pPr>
            <w:r>
              <w:rPr>
                <w:rFonts w:hint="eastAsia"/>
                <w:kern w:val="0"/>
                <w:sz w:val="24"/>
                <w:szCs w:val="24"/>
              </w:rPr>
              <w:t>2022年才开展保障性租赁住房分配工作，工作尚在起步阶段</w:t>
            </w:r>
          </w:p>
        </w:tc>
        <w:tc>
          <w:tcPr>
            <w:tcW w:w="394" w:type="pct"/>
            <w:vAlign w:val="center"/>
          </w:tcPr>
          <w:p w14:paraId="6E875E3D">
            <w:pPr>
              <w:widowControl/>
              <w:spacing w:line="320" w:lineRule="exact"/>
              <w:ind w:firstLine="0" w:firstLineChars="0"/>
              <w:jc w:val="center"/>
              <w:rPr>
                <w:rFonts w:hint="eastAsia"/>
                <w:kern w:val="0"/>
                <w:sz w:val="24"/>
                <w:szCs w:val="24"/>
              </w:rPr>
            </w:pPr>
            <w:r>
              <w:rPr>
                <w:kern w:val="0"/>
                <w:sz w:val="24"/>
                <w:szCs w:val="24"/>
              </w:rPr>
              <w:t>III</w:t>
            </w:r>
          </w:p>
        </w:tc>
        <w:tc>
          <w:tcPr>
            <w:tcW w:w="1012" w:type="pct"/>
            <w:vAlign w:val="center"/>
          </w:tcPr>
          <w:p w14:paraId="5A3736CE">
            <w:pPr>
              <w:widowControl/>
              <w:spacing w:line="320" w:lineRule="exact"/>
              <w:ind w:firstLine="0" w:firstLineChars="0"/>
              <w:jc w:val="center"/>
              <w:rPr>
                <w:rFonts w:hint="eastAsia"/>
                <w:kern w:val="0"/>
                <w:sz w:val="24"/>
                <w:szCs w:val="24"/>
              </w:rPr>
            </w:pPr>
            <w:r>
              <w:rPr>
                <w:rFonts w:hint="eastAsia"/>
                <w:kern w:val="0"/>
                <w:sz w:val="24"/>
                <w:szCs w:val="24"/>
              </w:rPr>
              <w:t>市住建局</w:t>
            </w:r>
          </w:p>
        </w:tc>
      </w:tr>
      <w:tr w14:paraId="60F27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 w:type="pct"/>
            <w:vMerge w:val="restart"/>
            <w:vAlign w:val="center"/>
          </w:tcPr>
          <w:p w14:paraId="5BC3632C">
            <w:pPr>
              <w:widowControl/>
              <w:spacing w:line="320" w:lineRule="exact"/>
              <w:ind w:firstLine="0" w:firstLineChars="0"/>
              <w:jc w:val="center"/>
              <w:rPr>
                <w:rFonts w:hint="eastAsia"/>
                <w:kern w:val="0"/>
                <w:sz w:val="24"/>
                <w:szCs w:val="24"/>
              </w:rPr>
            </w:pPr>
            <w:r>
              <w:rPr>
                <w:rFonts w:hint="eastAsia"/>
                <w:kern w:val="0"/>
                <w:sz w:val="24"/>
                <w:szCs w:val="24"/>
              </w:rPr>
              <w:t>智慧高效</w:t>
            </w:r>
          </w:p>
        </w:tc>
        <w:tc>
          <w:tcPr>
            <w:tcW w:w="268" w:type="pct"/>
            <w:vAlign w:val="center"/>
          </w:tcPr>
          <w:p w14:paraId="71C06646">
            <w:pPr>
              <w:widowControl/>
              <w:spacing w:line="320" w:lineRule="exact"/>
              <w:ind w:firstLine="0" w:firstLineChars="0"/>
              <w:jc w:val="center"/>
              <w:rPr>
                <w:rFonts w:hint="eastAsia"/>
                <w:kern w:val="0"/>
                <w:sz w:val="24"/>
                <w:szCs w:val="24"/>
              </w:rPr>
            </w:pPr>
            <w:r>
              <w:rPr>
                <w:rFonts w:hint="eastAsia"/>
                <w:kern w:val="0"/>
                <w:sz w:val="24"/>
                <w:szCs w:val="24"/>
              </w:rPr>
              <w:t>21</w:t>
            </w:r>
          </w:p>
        </w:tc>
        <w:tc>
          <w:tcPr>
            <w:tcW w:w="705" w:type="pct"/>
            <w:vAlign w:val="center"/>
          </w:tcPr>
          <w:p w14:paraId="7D207CB8">
            <w:pPr>
              <w:widowControl/>
              <w:spacing w:line="320" w:lineRule="exact"/>
              <w:ind w:firstLine="0" w:firstLineChars="0"/>
              <w:jc w:val="center"/>
              <w:rPr>
                <w:rFonts w:hint="eastAsia"/>
                <w:kern w:val="0"/>
                <w:sz w:val="24"/>
                <w:szCs w:val="24"/>
              </w:rPr>
            </w:pPr>
            <w:r>
              <w:rPr>
                <w:kern w:val="0"/>
                <w:sz w:val="24"/>
                <w:szCs w:val="24"/>
              </w:rPr>
              <w:t>☆市政管网管线智能化监测管理率（%）</w:t>
            </w:r>
          </w:p>
        </w:tc>
        <w:tc>
          <w:tcPr>
            <w:tcW w:w="545" w:type="pct"/>
            <w:vAlign w:val="center"/>
          </w:tcPr>
          <w:p w14:paraId="625D9142">
            <w:pPr>
              <w:widowControl/>
              <w:spacing w:line="320" w:lineRule="exact"/>
              <w:ind w:firstLine="0" w:firstLineChars="0"/>
              <w:jc w:val="center"/>
              <w:rPr>
                <w:rFonts w:hint="eastAsia"/>
                <w:kern w:val="0"/>
                <w:sz w:val="24"/>
                <w:szCs w:val="24"/>
              </w:rPr>
            </w:pPr>
            <w:r>
              <w:rPr>
                <w:rFonts w:hint="eastAsia"/>
                <w:kern w:val="0"/>
                <w:sz w:val="24"/>
                <w:szCs w:val="24"/>
              </w:rPr>
              <w:t>供水100%，供热100%，燃气84.1%，排水：0</w:t>
            </w:r>
          </w:p>
        </w:tc>
        <w:tc>
          <w:tcPr>
            <w:tcW w:w="1807" w:type="pct"/>
            <w:vAlign w:val="center"/>
          </w:tcPr>
          <w:p w14:paraId="3A9A78E7">
            <w:pPr>
              <w:widowControl/>
              <w:spacing w:line="320" w:lineRule="exact"/>
              <w:ind w:firstLine="0" w:firstLineChars="0"/>
              <w:jc w:val="center"/>
              <w:rPr>
                <w:rFonts w:hint="eastAsia"/>
                <w:kern w:val="0"/>
                <w:sz w:val="24"/>
                <w:szCs w:val="24"/>
              </w:rPr>
            </w:pPr>
            <w:r>
              <w:rPr>
                <w:rFonts w:hint="eastAsia"/>
                <w:kern w:val="0"/>
                <w:sz w:val="24"/>
                <w:szCs w:val="24"/>
              </w:rPr>
              <w:t>智能化技术应用和基础设施建设滞后，排水设施智能化检测缺失。</w:t>
            </w:r>
          </w:p>
        </w:tc>
        <w:tc>
          <w:tcPr>
            <w:tcW w:w="394" w:type="pct"/>
            <w:vAlign w:val="center"/>
          </w:tcPr>
          <w:p w14:paraId="531D0D49">
            <w:pPr>
              <w:widowControl/>
              <w:spacing w:line="320" w:lineRule="exact"/>
              <w:ind w:firstLine="0" w:firstLineChars="0"/>
              <w:jc w:val="center"/>
              <w:rPr>
                <w:rFonts w:hint="eastAsia"/>
                <w:kern w:val="0"/>
                <w:sz w:val="24"/>
                <w:szCs w:val="24"/>
              </w:rPr>
            </w:pPr>
            <w:r>
              <w:rPr>
                <w:kern w:val="0"/>
                <w:sz w:val="24"/>
                <w:szCs w:val="24"/>
              </w:rPr>
              <w:t>III</w:t>
            </w:r>
          </w:p>
        </w:tc>
        <w:tc>
          <w:tcPr>
            <w:tcW w:w="1012" w:type="pct"/>
            <w:vAlign w:val="center"/>
          </w:tcPr>
          <w:p w14:paraId="1C937B6B">
            <w:pPr>
              <w:widowControl/>
              <w:spacing w:line="320" w:lineRule="exact"/>
              <w:ind w:firstLine="0" w:firstLineChars="0"/>
              <w:jc w:val="center"/>
              <w:rPr>
                <w:rFonts w:hint="eastAsia"/>
                <w:kern w:val="0"/>
                <w:sz w:val="24"/>
                <w:szCs w:val="24"/>
              </w:rPr>
            </w:pPr>
            <w:r>
              <w:rPr>
                <w:rFonts w:hint="eastAsia"/>
                <w:kern w:val="0"/>
                <w:sz w:val="24"/>
                <w:szCs w:val="24"/>
              </w:rPr>
              <w:t>市执法局</w:t>
            </w:r>
          </w:p>
        </w:tc>
      </w:tr>
      <w:tr w14:paraId="05156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 w:type="pct"/>
            <w:vMerge w:val="continue"/>
            <w:vAlign w:val="center"/>
          </w:tcPr>
          <w:p w14:paraId="521DC3B2">
            <w:pPr>
              <w:widowControl/>
              <w:spacing w:line="320" w:lineRule="exact"/>
              <w:ind w:firstLine="0" w:firstLineChars="0"/>
              <w:jc w:val="center"/>
              <w:rPr>
                <w:rFonts w:hint="eastAsia"/>
                <w:kern w:val="0"/>
                <w:sz w:val="24"/>
                <w:szCs w:val="24"/>
              </w:rPr>
            </w:pPr>
          </w:p>
        </w:tc>
        <w:tc>
          <w:tcPr>
            <w:tcW w:w="268" w:type="pct"/>
            <w:vAlign w:val="center"/>
          </w:tcPr>
          <w:p w14:paraId="5AE976E7">
            <w:pPr>
              <w:widowControl/>
              <w:spacing w:line="320" w:lineRule="exact"/>
              <w:ind w:firstLine="0" w:firstLineChars="0"/>
              <w:jc w:val="center"/>
              <w:rPr>
                <w:rFonts w:hint="eastAsia"/>
                <w:kern w:val="0"/>
                <w:sz w:val="24"/>
                <w:szCs w:val="24"/>
              </w:rPr>
            </w:pPr>
            <w:r>
              <w:rPr>
                <w:rFonts w:hint="eastAsia"/>
                <w:kern w:val="0"/>
                <w:sz w:val="24"/>
                <w:szCs w:val="24"/>
              </w:rPr>
              <w:t>22</w:t>
            </w:r>
          </w:p>
        </w:tc>
        <w:tc>
          <w:tcPr>
            <w:tcW w:w="705" w:type="pct"/>
            <w:vAlign w:val="center"/>
          </w:tcPr>
          <w:p w14:paraId="498363B2">
            <w:pPr>
              <w:widowControl/>
              <w:spacing w:line="320" w:lineRule="exact"/>
              <w:ind w:firstLine="0" w:firstLineChars="0"/>
              <w:jc w:val="center"/>
              <w:rPr>
                <w:rFonts w:hint="eastAsia"/>
                <w:kern w:val="0"/>
                <w:sz w:val="24"/>
                <w:szCs w:val="24"/>
              </w:rPr>
            </w:pPr>
            <w:r>
              <w:rPr>
                <w:rFonts w:hint="eastAsia"/>
                <w:kern w:val="0"/>
                <w:sz w:val="24"/>
                <w:szCs w:val="24"/>
              </w:rPr>
              <w:t>城市运行管理服务平台覆盖率（%）</w:t>
            </w:r>
          </w:p>
        </w:tc>
        <w:tc>
          <w:tcPr>
            <w:tcW w:w="545" w:type="pct"/>
            <w:vAlign w:val="center"/>
          </w:tcPr>
          <w:p w14:paraId="50946D18">
            <w:pPr>
              <w:widowControl/>
              <w:spacing w:line="320" w:lineRule="exact"/>
              <w:ind w:firstLine="0" w:firstLineChars="0"/>
              <w:jc w:val="center"/>
              <w:rPr>
                <w:rFonts w:hint="eastAsia"/>
                <w:kern w:val="0"/>
                <w:sz w:val="24"/>
                <w:szCs w:val="24"/>
              </w:rPr>
            </w:pPr>
            <w:r>
              <w:rPr>
                <w:rFonts w:hint="eastAsia"/>
                <w:kern w:val="0"/>
                <w:sz w:val="24"/>
                <w:szCs w:val="24"/>
              </w:rPr>
              <w:t>0</w:t>
            </w:r>
          </w:p>
        </w:tc>
        <w:tc>
          <w:tcPr>
            <w:tcW w:w="1807" w:type="pct"/>
            <w:vAlign w:val="center"/>
          </w:tcPr>
          <w:p w14:paraId="692A0BDB">
            <w:pPr>
              <w:widowControl/>
              <w:spacing w:line="320" w:lineRule="exact"/>
              <w:ind w:firstLine="0" w:firstLineChars="0"/>
              <w:jc w:val="center"/>
              <w:rPr>
                <w:rFonts w:hint="eastAsia"/>
                <w:kern w:val="0"/>
                <w:sz w:val="24"/>
                <w:szCs w:val="24"/>
              </w:rPr>
            </w:pPr>
            <w:r>
              <w:rPr>
                <w:rFonts w:hint="eastAsia"/>
                <w:kern w:val="0"/>
                <w:sz w:val="24"/>
                <w:szCs w:val="24"/>
              </w:rPr>
              <w:t>因市级城市运行管理服务平台建成资金迟迟无法落实，城市运行管理服务平台建设工作尚未正式开展。</w:t>
            </w:r>
          </w:p>
        </w:tc>
        <w:tc>
          <w:tcPr>
            <w:tcW w:w="394" w:type="pct"/>
            <w:vAlign w:val="center"/>
          </w:tcPr>
          <w:p w14:paraId="0D15BE1B">
            <w:pPr>
              <w:widowControl/>
              <w:spacing w:line="320" w:lineRule="exact"/>
              <w:ind w:firstLine="0" w:firstLineChars="0"/>
              <w:jc w:val="center"/>
              <w:rPr>
                <w:rFonts w:hint="eastAsia"/>
                <w:kern w:val="0"/>
                <w:sz w:val="24"/>
                <w:szCs w:val="24"/>
              </w:rPr>
            </w:pPr>
            <w:r>
              <w:rPr>
                <w:kern w:val="0"/>
                <w:sz w:val="24"/>
                <w:szCs w:val="24"/>
              </w:rPr>
              <w:t>III</w:t>
            </w:r>
          </w:p>
        </w:tc>
        <w:tc>
          <w:tcPr>
            <w:tcW w:w="1012" w:type="pct"/>
            <w:vAlign w:val="center"/>
          </w:tcPr>
          <w:p w14:paraId="162ADAB7">
            <w:pPr>
              <w:widowControl/>
              <w:spacing w:line="320" w:lineRule="exact"/>
              <w:ind w:firstLine="0" w:firstLineChars="0"/>
              <w:jc w:val="center"/>
              <w:rPr>
                <w:rFonts w:hint="eastAsia"/>
                <w:kern w:val="0"/>
                <w:sz w:val="24"/>
                <w:szCs w:val="24"/>
              </w:rPr>
            </w:pPr>
            <w:r>
              <w:rPr>
                <w:rFonts w:hint="eastAsia"/>
                <w:kern w:val="0"/>
                <w:sz w:val="24"/>
                <w:szCs w:val="24"/>
              </w:rPr>
              <w:t>市执法局</w:t>
            </w:r>
          </w:p>
        </w:tc>
      </w:tr>
    </w:tbl>
    <w:p w14:paraId="2231A4EC">
      <w:pPr>
        <w:pStyle w:val="28"/>
        <w:ind w:left="640" w:firstLine="640"/>
        <w:outlineLvl w:val="1"/>
        <w:rPr>
          <w:rFonts w:hint="eastAsia" w:ascii="方正黑体_GBK" w:hAnsi="方正黑体_GBK" w:eastAsia="方正黑体_GBK" w:cs="方正黑体_GBK"/>
          <w:bCs/>
          <w:szCs w:val="32"/>
        </w:rPr>
        <w:sectPr>
          <w:pgSz w:w="16838" w:h="11900" w:orient="landscape"/>
          <w:pgMar w:top="1803" w:right="1440" w:bottom="1803" w:left="1440" w:header="600" w:footer="360" w:gutter="0"/>
          <w:pgNumType w:fmt="decimal"/>
          <w:cols w:space="720" w:num="1"/>
        </w:sectPr>
      </w:pPr>
    </w:p>
    <w:p w14:paraId="6590B804">
      <w:pPr>
        <w:ind w:firstLine="0" w:firstLineChars="0"/>
        <w:jc w:val="left"/>
        <w:outlineLvl w:val="0"/>
        <w:rPr>
          <w:rFonts w:hint="eastAsia" w:ascii="方正黑体_GBK" w:hAnsi="方正黑体_GBK" w:eastAsia="方正黑体_GBK" w:cs="方正黑体_GBK"/>
          <w:bCs/>
        </w:rPr>
      </w:pPr>
      <w:bookmarkStart w:id="68" w:name="_Toc2126"/>
      <w:r>
        <w:rPr>
          <w:rFonts w:hint="eastAsia" w:ascii="方正黑体_GBK" w:hAnsi="方正黑体_GBK" w:eastAsia="方正黑体_GBK" w:cs="方正黑体_GBK"/>
          <w:bCs/>
        </w:rPr>
        <w:t>附件4：城市体检整治清单</w:t>
      </w:r>
      <w:bookmarkEnd w:id="68"/>
    </w:p>
    <w:p w14:paraId="7BF059D3">
      <w:pPr>
        <w:pStyle w:val="48"/>
        <w:outlineLvl w:val="2"/>
        <w:rPr>
          <w:rFonts w:hint="eastAsia"/>
        </w:rPr>
      </w:pPr>
      <w:r>
        <w:t>住房维度</w:t>
      </w:r>
      <w:r>
        <w:rPr>
          <w:rFonts w:hint="eastAsia"/>
        </w:rPr>
        <w:t>体检整治建议</w:t>
      </w:r>
      <w:r>
        <w:t>清</w:t>
      </w:r>
      <w:r>
        <w:rPr>
          <w:rFonts w:hint="eastAsia"/>
        </w:rPr>
        <w:t>单表</w:t>
      </w:r>
    </w:p>
    <w:tbl>
      <w:tblPr>
        <w:tblStyle w:val="2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7"/>
        <w:gridCol w:w="1308"/>
        <w:gridCol w:w="608"/>
        <w:gridCol w:w="3524"/>
        <w:gridCol w:w="4356"/>
        <w:gridCol w:w="1193"/>
        <w:gridCol w:w="973"/>
        <w:gridCol w:w="1752"/>
      </w:tblGrid>
      <w:tr w14:paraId="73319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blHeader/>
        </w:trPr>
        <w:tc>
          <w:tcPr>
            <w:tcW w:w="161" w:type="pct"/>
            <w:shd w:val="clear" w:color="auto" w:fill="auto"/>
            <w:noWrap/>
            <w:vAlign w:val="center"/>
          </w:tcPr>
          <w:p w14:paraId="4EB2F4D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序号</w:t>
            </w:r>
          </w:p>
        </w:tc>
        <w:tc>
          <w:tcPr>
            <w:tcW w:w="461" w:type="pct"/>
            <w:shd w:val="clear" w:color="auto" w:fill="auto"/>
            <w:noWrap/>
            <w:vAlign w:val="center"/>
          </w:tcPr>
          <w:p w14:paraId="4267488D">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指标名称</w:t>
            </w:r>
          </w:p>
        </w:tc>
        <w:tc>
          <w:tcPr>
            <w:tcW w:w="214" w:type="pct"/>
            <w:shd w:val="clear" w:color="auto" w:fill="auto"/>
            <w:noWrap/>
            <w:vAlign w:val="center"/>
          </w:tcPr>
          <w:p w14:paraId="0F571368">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数量（栋）</w:t>
            </w:r>
          </w:p>
        </w:tc>
        <w:tc>
          <w:tcPr>
            <w:tcW w:w="1242" w:type="pct"/>
            <w:shd w:val="clear" w:color="auto" w:fill="auto"/>
            <w:noWrap/>
            <w:vAlign w:val="center"/>
          </w:tcPr>
          <w:p w14:paraId="1A90298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存在问题</w:t>
            </w:r>
          </w:p>
        </w:tc>
        <w:tc>
          <w:tcPr>
            <w:tcW w:w="1536" w:type="pct"/>
            <w:shd w:val="clear" w:color="auto" w:fill="auto"/>
            <w:noWrap/>
            <w:vAlign w:val="center"/>
          </w:tcPr>
          <w:p w14:paraId="2795714A">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整治建议</w:t>
            </w:r>
          </w:p>
        </w:tc>
        <w:tc>
          <w:tcPr>
            <w:tcW w:w="421" w:type="pct"/>
            <w:shd w:val="clear" w:color="auto" w:fill="auto"/>
            <w:noWrap/>
            <w:vAlign w:val="center"/>
          </w:tcPr>
          <w:p w14:paraId="2B27F089">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整治区域</w:t>
            </w:r>
          </w:p>
        </w:tc>
        <w:tc>
          <w:tcPr>
            <w:tcW w:w="343" w:type="pct"/>
            <w:shd w:val="clear" w:color="auto" w:fill="auto"/>
            <w:noWrap/>
            <w:vAlign w:val="center"/>
          </w:tcPr>
          <w:p w14:paraId="36438AA4">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整治类型</w:t>
            </w:r>
          </w:p>
        </w:tc>
        <w:tc>
          <w:tcPr>
            <w:tcW w:w="618" w:type="pct"/>
            <w:shd w:val="clear" w:color="auto" w:fill="auto"/>
            <w:noWrap/>
            <w:vAlign w:val="center"/>
          </w:tcPr>
          <w:p w14:paraId="582A8B5F">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责任单位</w:t>
            </w:r>
          </w:p>
        </w:tc>
      </w:tr>
      <w:tr w14:paraId="776FF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501BD0CA">
            <w:pPr>
              <w:widowControl/>
              <w:spacing w:line="320" w:lineRule="exact"/>
              <w:ind w:firstLine="0" w:firstLineChars="0"/>
              <w:jc w:val="center"/>
              <w:rPr>
                <w:rFonts w:hint="eastAsia"/>
                <w:kern w:val="0"/>
                <w:sz w:val="24"/>
                <w:szCs w:val="24"/>
              </w:rPr>
            </w:pPr>
            <w:r>
              <w:rPr>
                <w:rFonts w:hint="eastAsia"/>
                <w:kern w:val="0"/>
                <w:sz w:val="24"/>
                <w:szCs w:val="24"/>
              </w:rPr>
              <w:t>1</w:t>
            </w:r>
          </w:p>
        </w:tc>
        <w:tc>
          <w:tcPr>
            <w:tcW w:w="461" w:type="pct"/>
            <w:vMerge w:val="restart"/>
            <w:shd w:val="clear" w:color="auto" w:fill="auto"/>
            <w:noWrap/>
            <w:vAlign w:val="center"/>
          </w:tcPr>
          <w:p w14:paraId="5625B5D1">
            <w:pPr>
              <w:widowControl/>
              <w:spacing w:line="320" w:lineRule="exact"/>
              <w:ind w:firstLine="0" w:firstLineChars="0"/>
              <w:jc w:val="center"/>
              <w:rPr>
                <w:rFonts w:hint="eastAsia"/>
                <w:kern w:val="0"/>
                <w:sz w:val="24"/>
                <w:szCs w:val="24"/>
              </w:rPr>
            </w:pPr>
            <w:r>
              <w:rPr>
                <w:rFonts w:hint="eastAsia"/>
                <w:kern w:val="0"/>
                <w:sz w:val="24"/>
                <w:szCs w:val="24"/>
              </w:rPr>
              <w:t>存在楼道安全隐患的住宅数量</w:t>
            </w:r>
          </w:p>
        </w:tc>
        <w:tc>
          <w:tcPr>
            <w:tcW w:w="214" w:type="pct"/>
            <w:vMerge w:val="restart"/>
            <w:shd w:val="clear" w:color="auto" w:fill="auto"/>
            <w:noWrap/>
            <w:vAlign w:val="center"/>
          </w:tcPr>
          <w:p w14:paraId="7FBCE3FF">
            <w:pPr>
              <w:widowControl/>
              <w:spacing w:line="320" w:lineRule="exact"/>
              <w:ind w:firstLine="0" w:firstLineChars="0"/>
              <w:jc w:val="center"/>
              <w:rPr>
                <w:rFonts w:hint="eastAsia"/>
                <w:kern w:val="0"/>
                <w:sz w:val="24"/>
                <w:szCs w:val="24"/>
              </w:rPr>
            </w:pPr>
            <w:r>
              <w:rPr>
                <w:rFonts w:hint="eastAsia"/>
                <w:kern w:val="0"/>
                <w:sz w:val="24"/>
                <w:szCs w:val="24"/>
              </w:rPr>
              <w:t>1278</w:t>
            </w:r>
          </w:p>
        </w:tc>
        <w:tc>
          <w:tcPr>
            <w:tcW w:w="1242" w:type="pct"/>
            <w:shd w:val="clear" w:color="auto" w:fill="auto"/>
            <w:noWrap/>
            <w:vAlign w:val="center"/>
          </w:tcPr>
          <w:p w14:paraId="0C839C02">
            <w:pPr>
              <w:widowControl/>
              <w:spacing w:line="320" w:lineRule="exact"/>
              <w:ind w:firstLine="0" w:firstLineChars="0"/>
              <w:jc w:val="center"/>
              <w:rPr>
                <w:rFonts w:hint="eastAsia"/>
                <w:kern w:val="0"/>
                <w:sz w:val="24"/>
                <w:szCs w:val="24"/>
              </w:rPr>
            </w:pPr>
            <w:r>
              <w:rPr>
                <w:rFonts w:hint="eastAsia"/>
                <w:kern w:val="0"/>
                <w:sz w:val="24"/>
                <w:szCs w:val="24"/>
              </w:rPr>
              <w:t>楼梯间内楼梯踏步缺损、楼梯扶手松动损坏、照明损坏缺失、安全护栏松动损坏或缺失</w:t>
            </w:r>
          </w:p>
        </w:tc>
        <w:tc>
          <w:tcPr>
            <w:tcW w:w="1536" w:type="pct"/>
            <w:vMerge w:val="restart"/>
            <w:shd w:val="clear" w:color="auto" w:fill="auto"/>
            <w:noWrap/>
            <w:vAlign w:val="center"/>
          </w:tcPr>
          <w:p w14:paraId="3004C1A2">
            <w:pPr>
              <w:widowControl/>
              <w:spacing w:line="320" w:lineRule="exact"/>
              <w:ind w:firstLine="0" w:firstLineChars="0"/>
              <w:jc w:val="center"/>
              <w:rPr>
                <w:rFonts w:hint="eastAsia"/>
                <w:kern w:val="0"/>
                <w:sz w:val="24"/>
                <w:szCs w:val="24"/>
              </w:rPr>
            </w:pPr>
            <w:r>
              <w:rPr>
                <w:rFonts w:hint="eastAsia"/>
                <w:kern w:val="0"/>
                <w:sz w:val="24"/>
                <w:szCs w:val="24"/>
              </w:rPr>
              <w:t>一是建议定期进行楼梯间设施的检查和维护，及时修复。二是加强监管，确保楼梯间设施的使用符合相关规定和标准，防止人为损坏和不当使用。</w:t>
            </w:r>
          </w:p>
          <w:p w14:paraId="41853393">
            <w:pPr>
              <w:widowControl/>
              <w:spacing w:line="320" w:lineRule="exact"/>
              <w:ind w:firstLine="0" w:firstLineChars="0"/>
              <w:jc w:val="center"/>
              <w:rPr>
                <w:rFonts w:hint="eastAsia"/>
                <w:kern w:val="0"/>
                <w:sz w:val="24"/>
                <w:szCs w:val="24"/>
              </w:rPr>
            </w:pPr>
          </w:p>
        </w:tc>
        <w:tc>
          <w:tcPr>
            <w:tcW w:w="421" w:type="pct"/>
            <w:vMerge w:val="restart"/>
            <w:shd w:val="clear" w:color="auto" w:fill="auto"/>
            <w:noWrap/>
            <w:vAlign w:val="center"/>
          </w:tcPr>
          <w:p w14:paraId="2E18726F">
            <w:pPr>
              <w:widowControl/>
              <w:spacing w:line="320" w:lineRule="exact"/>
              <w:ind w:firstLine="0" w:firstLineChars="0"/>
              <w:jc w:val="center"/>
              <w:rPr>
                <w:rFonts w:hint="eastAsia"/>
                <w:kern w:val="0"/>
                <w:sz w:val="24"/>
                <w:szCs w:val="24"/>
              </w:rPr>
            </w:pPr>
            <w:r>
              <w:rPr>
                <w:rFonts w:hint="eastAsia"/>
                <w:kern w:val="0"/>
                <w:sz w:val="24"/>
                <w:szCs w:val="24"/>
              </w:rPr>
              <w:t>1278栋楼</w:t>
            </w:r>
          </w:p>
        </w:tc>
        <w:tc>
          <w:tcPr>
            <w:tcW w:w="343" w:type="pct"/>
            <w:vMerge w:val="restart"/>
            <w:shd w:val="clear" w:color="auto" w:fill="auto"/>
            <w:noWrap/>
            <w:vAlign w:val="center"/>
          </w:tcPr>
          <w:p w14:paraId="7AEAD29B">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1D9E6CB0">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61BC5076">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1067A55F">
            <w:pPr>
              <w:widowControl/>
              <w:spacing w:line="320" w:lineRule="exact"/>
              <w:ind w:firstLine="0" w:firstLineChars="0"/>
              <w:jc w:val="center"/>
              <w:rPr>
                <w:rFonts w:hint="eastAsia"/>
                <w:kern w:val="0"/>
                <w:sz w:val="24"/>
                <w:szCs w:val="24"/>
              </w:rPr>
            </w:pPr>
            <w:r>
              <w:rPr>
                <w:rFonts w:hint="eastAsia"/>
                <w:kern w:val="0"/>
                <w:sz w:val="24"/>
                <w:szCs w:val="24"/>
              </w:rPr>
              <w:t>住建局</w:t>
            </w:r>
          </w:p>
          <w:p w14:paraId="733FF391">
            <w:pPr>
              <w:widowControl/>
              <w:spacing w:line="320" w:lineRule="exact"/>
              <w:ind w:firstLine="0" w:firstLineChars="0"/>
              <w:jc w:val="center"/>
              <w:rPr>
                <w:rFonts w:hint="eastAsia"/>
                <w:kern w:val="0"/>
                <w:sz w:val="24"/>
                <w:szCs w:val="24"/>
              </w:rPr>
            </w:pPr>
            <w:r>
              <w:rPr>
                <w:rFonts w:hint="eastAsia"/>
                <w:kern w:val="0"/>
                <w:sz w:val="24"/>
                <w:szCs w:val="24"/>
              </w:rPr>
              <w:t>所有街道</w:t>
            </w:r>
          </w:p>
        </w:tc>
      </w:tr>
      <w:tr w14:paraId="3BF2F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1E10918E">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7CACBAA4">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09811F6A">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399EE679">
            <w:pPr>
              <w:widowControl/>
              <w:spacing w:line="320" w:lineRule="exact"/>
              <w:ind w:firstLine="0" w:firstLineChars="0"/>
              <w:jc w:val="center"/>
              <w:rPr>
                <w:rFonts w:hint="eastAsia"/>
                <w:kern w:val="0"/>
                <w:sz w:val="24"/>
                <w:szCs w:val="24"/>
              </w:rPr>
            </w:pPr>
            <w:r>
              <w:rPr>
                <w:rFonts w:hint="eastAsia"/>
                <w:kern w:val="0"/>
                <w:sz w:val="24"/>
                <w:szCs w:val="24"/>
              </w:rPr>
              <w:t>通风井道、排风烟道等堵塞，造成通风不畅、异味串味</w:t>
            </w:r>
          </w:p>
        </w:tc>
        <w:tc>
          <w:tcPr>
            <w:tcW w:w="1536" w:type="pct"/>
            <w:vMerge w:val="continue"/>
            <w:shd w:val="clear" w:color="auto" w:fill="auto"/>
            <w:noWrap/>
            <w:vAlign w:val="center"/>
          </w:tcPr>
          <w:p w14:paraId="1FFC75F1">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33456B0E">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0928BD06">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7AE846D9">
            <w:pPr>
              <w:widowControl/>
              <w:spacing w:line="320" w:lineRule="exact"/>
              <w:ind w:firstLine="0" w:firstLineChars="0"/>
              <w:jc w:val="center"/>
              <w:rPr>
                <w:rFonts w:hint="eastAsia"/>
                <w:kern w:val="0"/>
                <w:sz w:val="24"/>
                <w:szCs w:val="24"/>
              </w:rPr>
            </w:pPr>
          </w:p>
        </w:tc>
      </w:tr>
      <w:tr w14:paraId="230AD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722614CE">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39F913FA">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23804273">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0A820D72">
            <w:pPr>
              <w:widowControl/>
              <w:spacing w:line="320" w:lineRule="exact"/>
              <w:ind w:firstLine="0" w:firstLineChars="0"/>
              <w:jc w:val="center"/>
              <w:rPr>
                <w:rFonts w:hint="eastAsia"/>
                <w:kern w:val="0"/>
                <w:sz w:val="24"/>
                <w:szCs w:val="24"/>
              </w:rPr>
            </w:pPr>
            <w:r>
              <w:rPr>
                <w:rFonts w:hint="eastAsia"/>
                <w:kern w:val="0"/>
                <w:sz w:val="24"/>
                <w:szCs w:val="24"/>
              </w:rPr>
              <w:t>防火门缺失、损坏、无法关闭</w:t>
            </w:r>
          </w:p>
        </w:tc>
        <w:tc>
          <w:tcPr>
            <w:tcW w:w="1536" w:type="pct"/>
            <w:vMerge w:val="continue"/>
            <w:shd w:val="clear" w:color="auto" w:fill="auto"/>
            <w:noWrap/>
            <w:vAlign w:val="center"/>
          </w:tcPr>
          <w:p w14:paraId="3A4A95D2">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5A627719">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0E7FE3CF">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5B533AFD">
            <w:pPr>
              <w:widowControl/>
              <w:spacing w:line="320" w:lineRule="exact"/>
              <w:ind w:firstLine="0" w:firstLineChars="0"/>
              <w:jc w:val="center"/>
              <w:rPr>
                <w:rFonts w:hint="eastAsia"/>
                <w:kern w:val="0"/>
                <w:sz w:val="24"/>
                <w:szCs w:val="24"/>
              </w:rPr>
            </w:pPr>
          </w:p>
        </w:tc>
      </w:tr>
      <w:tr w14:paraId="247F9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72F32A31">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75A6A098">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46BDEBB">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094C7AFD">
            <w:pPr>
              <w:widowControl/>
              <w:spacing w:line="320" w:lineRule="exact"/>
              <w:ind w:firstLine="0" w:firstLineChars="0"/>
              <w:jc w:val="center"/>
              <w:rPr>
                <w:rFonts w:hint="eastAsia"/>
                <w:kern w:val="0"/>
                <w:sz w:val="24"/>
                <w:szCs w:val="24"/>
              </w:rPr>
            </w:pPr>
            <w:r>
              <w:rPr>
                <w:rFonts w:hint="eastAsia"/>
                <w:kern w:val="0"/>
                <w:sz w:val="24"/>
                <w:szCs w:val="24"/>
              </w:rPr>
              <w:t>消火栓无日常维护、老化损坏</w:t>
            </w:r>
          </w:p>
        </w:tc>
        <w:tc>
          <w:tcPr>
            <w:tcW w:w="1536" w:type="pct"/>
            <w:vMerge w:val="continue"/>
            <w:shd w:val="clear" w:color="auto" w:fill="auto"/>
            <w:noWrap/>
            <w:vAlign w:val="center"/>
          </w:tcPr>
          <w:p w14:paraId="5616E139">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46CB3314">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7C736B44">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72E70A35">
            <w:pPr>
              <w:widowControl/>
              <w:spacing w:line="320" w:lineRule="exact"/>
              <w:ind w:firstLine="0" w:firstLineChars="0"/>
              <w:jc w:val="center"/>
              <w:rPr>
                <w:rFonts w:hint="eastAsia"/>
                <w:kern w:val="0"/>
                <w:sz w:val="24"/>
                <w:szCs w:val="24"/>
              </w:rPr>
            </w:pPr>
          </w:p>
        </w:tc>
      </w:tr>
      <w:tr w14:paraId="343C4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4D31C249">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08F7457C">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1316D28">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30355978">
            <w:pPr>
              <w:widowControl/>
              <w:spacing w:line="320" w:lineRule="exact"/>
              <w:ind w:firstLine="0" w:firstLineChars="0"/>
              <w:jc w:val="center"/>
              <w:rPr>
                <w:rFonts w:hint="eastAsia"/>
                <w:kern w:val="0"/>
                <w:sz w:val="24"/>
                <w:szCs w:val="24"/>
              </w:rPr>
            </w:pPr>
            <w:r>
              <w:rPr>
                <w:rFonts w:hint="eastAsia"/>
                <w:kern w:val="0"/>
                <w:sz w:val="24"/>
                <w:szCs w:val="24"/>
              </w:rPr>
              <w:t>灭火器缺失、未设置灭火器保护设施</w:t>
            </w:r>
          </w:p>
        </w:tc>
        <w:tc>
          <w:tcPr>
            <w:tcW w:w="1536" w:type="pct"/>
            <w:vMerge w:val="continue"/>
            <w:shd w:val="clear" w:color="auto" w:fill="auto"/>
            <w:noWrap/>
            <w:vAlign w:val="center"/>
          </w:tcPr>
          <w:p w14:paraId="09B62471">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2BA0C058">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50FFB9C6">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7D86B78B">
            <w:pPr>
              <w:widowControl/>
              <w:spacing w:line="320" w:lineRule="exact"/>
              <w:ind w:firstLine="0" w:firstLineChars="0"/>
              <w:jc w:val="center"/>
              <w:rPr>
                <w:rFonts w:hint="eastAsia"/>
                <w:kern w:val="0"/>
                <w:sz w:val="24"/>
                <w:szCs w:val="24"/>
              </w:rPr>
            </w:pPr>
          </w:p>
        </w:tc>
      </w:tr>
      <w:tr w14:paraId="76E3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08A7D954">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2A49309A">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54DA498E">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55449C9C">
            <w:pPr>
              <w:widowControl/>
              <w:spacing w:line="320" w:lineRule="exact"/>
              <w:ind w:firstLine="0" w:firstLineChars="0"/>
              <w:jc w:val="center"/>
              <w:rPr>
                <w:rFonts w:hint="eastAsia"/>
                <w:kern w:val="0"/>
                <w:sz w:val="24"/>
                <w:szCs w:val="24"/>
              </w:rPr>
            </w:pPr>
            <w:r>
              <w:rPr>
                <w:rFonts w:hint="eastAsia"/>
                <w:kern w:val="0"/>
                <w:sz w:val="24"/>
                <w:szCs w:val="24"/>
              </w:rPr>
              <w:t>消防安全出口指示灯损坏或者缺失</w:t>
            </w:r>
          </w:p>
        </w:tc>
        <w:tc>
          <w:tcPr>
            <w:tcW w:w="1536" w:type="pct"/>
            <w:vMerge w:val="continue"/>
            <w:shd w:val="clear" w:color="auto" w:fill="auto"/>
            <w:noWrap/>
            <w:vAlign w:val="center"/>
          </w:tcPr>
          <w:p w14:paraId="4438E636">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55E481C7">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3A53992B">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3427D359">
            <w:pPr>
              <w:widowControl/>
              <w:spacing w:line="320" w:lineRule="exact"/>
              <w:ind w:firstLine="0" w:firstLineChars="0"/>
              <w:jc w:val="center"/>
              <w:rPr>
                <w:rFonts w:hint="eastAsia"/>
                <w:kern w:val="0"/>
                <w:sz w:val="24"/>
                <w:szCs w:val="24"/>
              </w:rPr>
            </w:pPr>
          </w:p>
        </w:tc>
      </w:tr>
      <w:tr w14:paraId="0523D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1DC284A9">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4A67FA92">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2048F34">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53F68166">
            <w:pPr>
              <w:widowControl/>
              <w:spacing w:line="320" w:lineRule="exact"/>
              <w:ind w:firstLine="0" w:firstLineChars="0"/>
              <w:jc w:val="center"/>
              <w:rPr>
                <w:rFonts w:hint="eastAsia"/>
                <w:kern w:val="0"/>
                <w:sz w:val="24"/>
                <w:szCs w:val="24"/>
              </w:rPr>
            </w:pPr>
            <w:r>
              <w:rPr>
                <w:rFonts w:hint="eastAsia"/>
                <w:kern w:val="0"/>
                <w:sz w:val="24"/>
                <w:szCs w:val="24"/>
              </w:rPr>
              <w:t>违规占用疏散楼梯、楼道、管道井等公共空间，用于堆放杂物</w:t>
            </w:r>
          </w:p>
        </w:tc>
        <w:tc>
          <w:tcPr>
            <w:tcW w:w="1536" w:type="pct"/>
            <w:vMerge w:val="continue"/>
            <w:shd w:val="clear" w:color="auto" w:fill="auto"/>
            <w:noWrap/>
            <w:vAlign w:val="center"/>
          </w:tcPr>
          <w:p w14:paraId="32CF1925">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4E047A48">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1CD3EDD5">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0957B769">
            <w:pPr>
              <w:widowControl/>
              <w:spacing w:line="320" w:lineRule="exact"/>
              <w:ind w:firstLine="0" w:firstLineChars="0"/>
              <w:jc w:val="center"/>
              <w:rPr>
                <w:rFonts w:hint="eastAsia"/>
                <w:kern w:val="0"/>
                <w:sz w:val="24"/>
                <w:szCs w:val="24"/>
              </w:rPr>
            </w:pPr>
          </w:p>
        </w:tc>
      </w:tr>
      <w:tr w14:paraId="59B34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4C2F1B7B">
            <w:pPr>
              <w:widowControl/>
              <w:spacing w:line="320" w:lineRule="exact"/>
              <w:ind w:firstLine="0" w:firstLineChars="0"/>
              <w:jc w:val="center"/>
              <w:rPr>
                <w:rFonts w:hint="eastAsia"/>
                <w:kern w:val="0"/>
                <w:sz w:val="24"/>
                <w:szCs w:val="24"/>
              </w:rPr>
            </w:pPr>
            <w:r>
              <w:rPr>
                <w:rFonts w:hint="eastAsia"/>
                <w:kern w:val="0"/>
                <w:sz w:val="24"/>
                <w:szCs w:val="24"/>
              </w:rPr>
              <w:t>2</w:t>
            </w:r>
          </w:p>
        </w:tc>
        <w:tc>
          <w:tcPr>
            <w:tcW w:w="461" w:type="pct"/>
            <w:vMerge w:val="restart"/>
            <w:shd w:val="clear" w:color="auto" w:fill="auto"/>
            <w:noWrap/>
            <w:vAlign w:val="center"/>
          </w:tcPr>
          <w:p w14:paraId="463E09A9">
            <w:pPr>
              <w:widowControl/>
              <w:spacing w:line="320" w:lineRule="exact"/>
              <w:ind w:firstLine="0" w:firstLineChars="0"/>
              <w:jc w:val="center"/>
              <w:rPr>
                <w:rFonts w:hint="eastAsia"/>
                <w:kern w:val="0"/>
                <w:sz w:val="24"/>
                <w:szCs w:val="24"/>
              </w:rPr>
            </w:pPr>
            <w:r>
              <w:rPr>
                <w:rFonts w:hint="eastAsia"/>
                <w:kern w:val="0"/>
                <w:sz w:val="24"/>
                <w:szCs w:val="24"/>
              </w:rPr>
              <w:t>存在围护安全隐患的住宅数量（可选指标）</w:t>
            </w:r>
          </w:p>
        </w:tc>
        <w:tc>
          <w:tcPr>
            <w:tcW w:w="214" w:type="pct"/>
            <w:vMerge w:val="restart"/>
            <w:shd w:val="clear" w:color="auto" w:fill="auto"/>
            <w:noWrap/>
            <w:vAlign w:val="center"/>
          </w:tcPr>
          <w:p w14:paraId="55057947">
            <w:pPr>
              <w:widowControl/>
              <w:spacing w:line="320" w:lineRule="exact"/>
              <w:ind w:firstLine="0" w:firstLineChars="0"/>
              <w:jc w:val="center"/>
              <w:rPr>
                <w:rFonts w:hint="eastAsia"/>
                <w:kern w:val="0"/>
                <w:sz w:val="24"/>
                <w:szCs w:val="24"/>
              </w:rPr>
            </w:pPr>
            <w:r>
              <w:rPr>
                <w:rFonts w:hint="eastAsia"/>
                <w:kern w:val="0"/>
                <w:sz w:val="24"/>
                <w:szCs w:val="24"/>
              </w:rPr>
              <w:t>958</w:t>
            </w:r>
          </w:p>
        </w:tc>
        <w:tc>
          <w:tcPr>
            <w:tcW w:w="1242" w:type="pct"/>
            <w:shd w:val="clear" w:color="auto" w:fill="auto"/>
            <w:noWrap/>
            <w:vAlign w:val="center"/>
          </w:tcPr>
          <w:p w14:paraId="4E0A6D50">
            <w:pPr>
              <w:widowControl/>
              <w:spacing w:line="320" w:lineRule="exact"/>
              <w:ind w:firstLine="0" w:firstLineChars="0"/>
              <w:jc w:val="center"/>
              <w:rPr>
                <w:rFonts w:hint="eastAsia"/>
                <w:kern w:val="0"/>
                <w:sz w:val="24"/>
                <w:szCs w:val="24"/>
              </w:rPr>
            </w:pPr>
            <w:r>
              <w:rPr>
                <w:rFonts w:hint="eastAsia"/>
                <w:kern w:val="0"/>
                <w:sz w:val="24"/>
                <w:szCs w:val="24"/>
              </w:rPr>
              <w:t>外墙装饰材料和保温材料开裂、损坏、脱落</w:t>
            </w:r>
          </w:p>
        </w:tc>
        <w:tc>
          <w:tcPr>
            <w:tcW w:w="1536" w:type="pct"/>
            <w:vMerge w:val="restart"/>
            <w:shd w:val="clear" w:color="auto" w:fill="auto"/>
            <w:noWrap/>
            <w:vAlign w:val="center"/>
          </w:tcPr>
          <w:p w14:paraId="01106BB6">
            <w:pPr>
              <w:widowControl/>
              <w:spacing w:line="320" w:lineRule="exact"/>
              <w:ind w:firstLine="0" w:firstLineChars="0"/>
              <w:jc w:val="center"/>
              <w:rPr>
                <w:rFonts w:hint="eastAsia"/>
                <w:kern w:val="0"/>
                <w:sz w:val="24"/>
                <w:szCs w:val="24"/>
              </w:rPr>
            </w:pPr>
            <w:r>
              <w:rPr>
                <w:rFonts w:hint="eastAsia"/>
                <w:kern w:val="0"/>
                <w:sz w:val="24"/>
                <w:szCs w:val="24"/>
              </w:rPr>
              <w:t>一是建议选择经过质量认证的高质量装饰材料和保温材料，确保材料具有良好的耐候性能、抗老化性能和稳定性。二是采用规范的施工工艺和技术，确保装饰材料和保温材料的安装和固定符合要求，避免出现黏结不牢固、固定不规范等问题。三是定期对外墙装饰材料和保温材料进行检查和维护，及时发现和处理可能出现的问题，延长材料的使用寿命。</w:t>
            </w:r>
          </w:p>
          <w:p w14:paraId="6E00C9D4">
            <w:pPr>
              <w:widowControl/>
              <w:spacing w:line="320" w:lineRule="exact"/>
              <w:ind w:firstLine="0" w:firstLineChars="0"/>
              <w:jc w:val="center"/>
              <w:rPr>
                <w:rFonts w:hint="eastAsia"/>
                <w:kern w:val="0"/>
                <w:sz w:val="24"/>
                <w:szCs w:val="24"/>
              </w:rPr>
            </w:pPr>
          </w:p>
        </w:tc>
        <w:tc>
          <w:tcPr>
            <w:tcW w:w="421" w:type="pct"/>
            <w:vMerge w:val="restart"/>
            <w:shd w:val="clear" w:color="auto" w:fill="auto"/>
            <w:noWrap/>
            <w:vAlign w:val="center"/>
          </w:tcPr>
          <w:p w14:paraId="2F4BCA5F">
            <w:pPr>
              <w:widowControl/>
              <w:spacing w:line="320" w:lineRule="exact"/>
              <w:ind w:firstLine="0" w:firstLineChars="0"/>
              <w:jc w:val="center"/>
              <w:rPr>
                <w:rFonts w:hint="eastAsia"/>
                <w:kern w:val="0"/>
                <w:sz w:val="24"/>
                <w:szCs w:val="24"/>
              </w:rPr>
            </w:pPr>
            <w:r>
              <w:rPr>
                <w:rFonts w:hint="eastAsia"/>
                <w:kern w:val="0"/>
                <w:sz w:val="24"/>
                <w:szCs w:val="24"/>
              </w:rPr>
              <w:t>958栋楼</w:t>
            </w:r>
          </w:p>
        </w:tc>
        <w:tc>
          <w:tcPr>
            <w:tcW w:w="343" w:type="pct"/>
            <w:vMerge w:val="restart"/>
            <w:shd w:val="clear" w:color="auto" w:fill="auto"/>
            <w:noWrap/>
            <w:vAlign w:val="center"/>
          </w:tcPr>
          <w:p w14:paraId="099F6360">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42B40A94">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1006AC28">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6B072C95">
            <w:pPr>
              <w:widowControl/>
              <w:spacing w:line="320" w:lineRule="exact"/>
              <w:ind w:firstLine="0" w:firstLineChars="0"/>
              <w:jc w:val="center"/>
              <w:rPr>
                <w:rFonts w:hint="eastAsia"/>
                <w:kern w:val="0"/>
                <w:sz w:val="24"/>
                <w:szCs w:val="24"/>
              </w:rPr>
            </w:pPr>
            <w:r>
              <w:rPr>
                <w:rFonts w:hint="eastAsia"/>
                <w:kern w:val="0"/>
                <w:sz w:val="24"/>
                <w:szCs w:val="24"/>
              </w:rPr>
              <w:t>住建局</w:t>
            </w:r>
          </w:p>
          <w:p w14:paraId="0D4636DC">
            <w:pPr>
              <w:widowControl/>
              <w:spacing w:line="320" w:lineRule="exact"/>
              <w:ind w:firstLine="0" w:firstLineChars="0"/>
              <w:jc w:val="center"/>
              <w:rPr>
                <w:rFonts w:hint="eastAsia"/>
                <w:kern w:val="0"/>
                <w:sz w:val="24"/>
                <w:szCs w:val="24"/>
              </w:rPr>
            </w:pPr>
            <w:r>
              <w:rPr>
                <w:rFonts w:hint="eastAsia"/>
                <w:kern w:val="0"/>
                <w:sz w:val="24"/>
                <w:szCs w:val="24"/>
              </w:rPr>
              <w:t>所有街道</w:t>
            </w:r>
          </w:p>
        </w:tc>
      </w:tr>
      <w:tr w14:paraId="15DC8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4E419DA8">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464A1A36">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23DC5DD7">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5808BAE0">
            <w:pPr>
              <w:widowControl/>
              <w:spacing w:line="320" w:lineRule="exact"/>
              <w:ind w:firstLine="0" w:firstLineChars="0"/>
              <w:jc w:val="center"/>
              <w:rPr>
                <w:rFonts w:hint="eastAsia"/>
                <w:kern w:val="0"/>
                <w:sz w:val="24"/>
                <w:szCs w:val="24"/>
              </w:rPr>
            </w:pPr>
            <w:r>
              <w:rPr>
                <w:rFonts w:hint="eastAsia"/>
                <w:kern w:val="0"/>
                <w:sz w:val="24"/>
                <w:szCs w:val="24"/>
              </w:rPr>
              <w:t>外墙悬挂设施不规范（如过大、过高）或损坏松脱的情况</w:t>
            </w:r>
          </w:p>
        </w:tc>
        <w:tc>
          <w:tcPr>
            <w:tcW w:w="1536" w:type="pct"/>
            <w:vMerge w:val="continue"/>
            <w:shd w:val="clear" w:color="auto" w:fill="auto"/>
            <w:noWrap/>
            <w:vAlign w:val="center"/>
          </w:tcPr>
          <w:p w14:paraId="61F5FEF0">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354215AE">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43467B8B">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01FE5A58">
            <w:pPr>
              <w:widowControl/>
              <w:spacing w:line="320" w:lineRule="exact"/>
              <w:ind w:firstLine="0" w:firstLineChars="0"/>
              <w:jc w:val="center"/>
              <w:rPr>
                <w:rFonts w:hint="eastAsia"/>
                <w:kern w:val="0"/>
                <w:sz w:val="24"/>
                <w:szCs w:val="24"/>
              </w:rPr>
            </w:pPr>
          </w:p>
        </w:tc>
      </w:tr>
      <w:tr w14:paraId="70078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479DC7C6">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0B05CD2D">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789CED71">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374E0DCC">
            <w:pPr>
              <w:widowControl/>
              <w:spacing w:line="320" w:lineRule="exact"/>
              <w:ind w:firstLine="0" w:firstLineChars="0"/>
              <w:jc w:val="center"/>
              <w:rPr>
                <w:rFonts w:hint="eastAsia"/>
                <w:kern w:val="0"/>
                <w:sz w:val="24"/>
                <w:szCs w:val="24"/>
              </w:rPr>
            </w:pPr>
            <w:r>
              <w:rPr>
                <w:rFonts w:hint="eastAsia"/>
                <w:kern w:val="0"/>
                <w:sz w:val="24"/>
                <w:szCs w:val="24"/>
              </w:rPr>
              <w:t>门窗玻璃存在破损、脱落等情况</w:t>
            </w:r>
          </w:p>
        </w:tc>
        <w:tc>
          <w:tcPr>
            <w:tcW w:w="1536" w:type="pct"/>
            <w:vMerge w:val="continue"/>
            <w:shd w:val="clear" w:color="auto" w:fill="auto"/>
            <w:noWrap/>
            <w:vAlign w:val="center"/>
          </w:tcPr>
          <w:p w14:paraId="48742DCA">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2C0D80B1">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1D0EC5C4">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5AC5C445">
            <w:pPr>
              <w:widowControl/>
              <w:spacing w:line="320" w:lineRule="exact"/>
              <w:ind w:firstLine="0" w:firstLineChars="0"/>
              <w:jc w:val="center"/>
              <w:rPr>
                <w:rFonts w:hint="eastAsia"/>
                <w:kern w:val="0"/>
                <w:sz w:val="24"/>
                <w:szCs w:val="24"/>
              </w:rPr>
            </w:pPr>
          </w:p>
        </w:tc>
      </w:tr>
      <w:tr w14:paraId="5E02E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6B5174ED">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2EFFA634">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2097E758">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E92D542">
            <w:pPr>
              <w:widowControl/>
              <w:spacing w:line="320" w:lineRule="exact"/>
              <w:ind w:firstLine="0" w:firstLineChars="0"/>
              <w:jc w:val="center"/>
              <w:rPr>
                <w:rFonts w:hint="eastAsia"/>
                <w:kern w:val="0"/>
                <w:sz w:val="24"/>
                <w:szCs w:val="24"/>
              </w:rPr>
            </w:pPr>
            <w:r>
              <w:rPr>
                <w:rFonts w:hint="eastAsia"/>
                <w:kern w:val="0"/>
                <w:sz w:val="24"/>
                <w:szCs w:val="24"/>
              </w:rPr>
              <w:t>屋面排水不畅、漏水</w:t>
            </w:r>
          </w:p>
        </w:tc>
        <w:tc>
          <w:tcPr>
            <w:tcW w:w="1536" w:type="pct"/>
            <w:vMerge w:val="continue"/>
            <w:shd w:val="clear" w:color="auto" w:fill="auto"/>
            <w:noWrap/>
            <w:vAlign w:val="center"/>
          </w:tcPr>
          <w:p w14:paraId="620C5151">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0D987283">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2C6DB627">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07F1B03E">
            <w:pPr>
              <w:widowControl/>
              <w:spacing w:line="320" w:lineRule="exact"/>
              <w:ind w:firstLine="0" w:firstLineChars="0"/>
              <w:jc w:val="center"/>
              <w:rPr>
                <w:rFonts w:hint="eastAsia"/>
                <w:kern w:val="0"/>
                <w:sz w:val="24"/>
                <w:szCs w:val="24"/>
              </w:rPr>
            </w:pPr>
          </w:p>
        </w:tc>
      </w:tr>
      <w:tr w14:paraId="71CE5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3020F6CE">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7BA905AA">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E4B39E1">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46F82E9A">
            <w:pPr>
              <w:widowControl/>
              <w:spacing w:line="320" w:lineRule="exact"/>
              <w:ind w:firstLine="0" w:firstLineChars="0"/>
              <w:jc w:val="center"/>
              <w:rPr>
                <w:rFonts w:hint="eastAsia"/>
                <w:kern w:val="0"/>
                <w:sz w:val="24"/>
                <w:szCs w:val="24"/>
              </w:rPr>
            </w:pPr>
            <w:r>
              <w:rPr>
                <w:rFonts w:hint="eastAsia"/>
                <w:kern w:val="0"/>
                <w:sz w:val="24"/>
                <w:szCs w:val="24"/>
              </w:rPr>
              <w:t>外墙内侧或地下室渗水漏水</w:t>
            </w:r>
          </w:p>
        </w:tc>
        <w:tc>
          <w:tcPr>
            <w:tcW w:w="1536" w:type="pct"/>
            <w:vMerge w:val="continue"/>
            <w:shd w:val="clear" w:color="auto" w:fill="auto"/>
            <w:noWrap/>
            <w:vAlign w:val="center"/>
          </w:tcPr>
          <w:p w14:paraId="3A2096D3">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0F46DE11">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2CC1FB9B">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28DE4373">
            <w:pPr>
              <w:widowControl/>
              <w:spacing w:line="320" w:lineRule="exact"/>
              <w:ind w:firstLine="0" w:firstLineChars="0"/>
              <w:jc w:val="center"/>
              <w:rPr>
                <w:rFonts w:hint="eastAsia"/>
                <w:kern w:val="0"/>
                <w:sz w:val="24"/>
                <w:szCs w:val="24"/>
              </w:rPr>
            </w:pPr>
          </w:p>
        </w:tc>
      </w:tr>
      <w:tr w14:paraId="2DF49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145DFB47">
            <w:pPr>
              <w:widowControl/>
              <w:spacing w:line="320" w:lineRule="exact"/>
              <w:ind w:firstLine="0" w:firstLineChars="0"/>
              <w:jc w:val="center"/>
              <w:rPr>
                <w:rFonts w:hint="eastAsia"/>
                <w:kern w:val="0"/>
                <w:sz w:val="24"/>
                <w:szCs w:val="24"/>
              </w:rPr>
            </w:pPr>
            <w:r>
              <w:rPr>
                <w:rFonts w:hint="eastAsia"/>
                <w:kern w:val="0"/>
                <w:sz w:val="24"/>
                <w:szCs w:val="24"/>
              </w:rPr>
              <w:t>3</w:t>
            </w:r>
          </w:p>
        </w:tc>
        <w:tc>
          <w:tcPr>
            <w:tcW w:w="461" w:type="pct"/>
            <w:vMerge w:val="restart"/>
            <w:shd w:val="clear" w:color="auto" w:fill="auto"/>
            <w:noWrap/>
            <w:vAlign w:val="center"/>
          </w:tcPr>
          <w:p w14:paraId="747D7C3A">
            <w:pPr>
              <w:widowControl/>
              <w:spacing w:line="320" w:lineRule="exact"/>
              <w:ind w:firstLine="0" w:firstLineChars="0"/>
              <w:jc w:val="center"/>
              <w:rPr>
                <w:rFonts w:hint="eastAsia"/>
                <w:kern w:val="0"/>
                <w:sz w:val="24"/>
                <w:szCs w:val="24"/>
              </w:rPr>
            </w:pPr>
            <w:r>
              <w:rPr>
                <w:rFonts w:hint="eastAsia"/>
                <w:kern w:val="0"/>
                <w:sz w:val="24"/>
                <w:szCs w:val="24"/>
              </w:rPr>
              <w:t>存在管线管道破损的住宅数量</w:t>
            </w:r>
          </w:p>
        </w:tc>
        <w:tc>
          <w:tcPr>
            <w:tcW w:w="214" w:type="pct"/>
            <w:vMerge w:val="restart"/>
            <w:shd w:val="clear" w:color="auto" w:fill="auto"/>
            <w:noWrap/>
            <w:vAlign w:val="center"/>
          </w:tcPr>
          <w:p w14:paraId="0D13A812">
            <w:pPr>
              <w:widowControl/>
              <w:spacing w:line="320" w:lineRule="exact"/>
              <w:ind w:firstLine="0" w:firstLineChars="0"/>
              <w:jc w:val="center"/>
              <w:rPr>
                <w:rFonts w:hint="eastAsia"/>
                <w:kern w:val="0"/>
                <w:sz w:val="24"/>
                <w:szCs w:val="24"/>
              </w:rPr>
            </w:pPr>
            <w:r>
              <w:rPr>
                <w:rFonts w:hint="eastAsia"/>
                <w:kern w:val="0"/>
                <w:sz w:val="24"/>
                <w:szCs w:val="24"/>
              </w:rPr>
              <w:t>387</w:t>
            </w:r>
          </w:p>
        </w:tc>
        <w:tc>
          <w:tcPr>
            <w:tcW w:w="1242" w:type="pct"/>
            <w:shd w:val="clear" w:color="auto" w:fill="auto"/>
            <w:noWrap/>
            <w:vAlign w:val="center"/>
          </w:tcPr>
          <w:p w14:paraId="46237CB3">
            <w:pPr>
              <w:widowControl/>
              <w:spacing w:line="320" w:lineRule="exact"/>
              <w:ind w:firstLine="0" w:firstLineChars="0"/>
              <w:jc w:val="center"/>
              <w:rPr>
                <w:rFonts w:hint="eastAsia"/>
                <w:kern w:val="0"/>
                <w:sz w:val="24"/>
                <w:szCs w:val="24"/>
              </w:rPr>
            </w:pPr>
            <w:r>
              <w:rPr>
                <w:rFonts w:hint="eastAsia"/>
                <w:kern w:val="0"/>
                <w:sz w:val="24"/>
                <w:szCs w:val="24"/>
              </w:rPr>
              <w:t>存在给水管线跑冒滴漏、排水管线老化破损、渗漏堵塞的问题</w:t>
            </w:r>
          </w:p>
        </w:tc>
        <w:tc>
          <w:tcPr>
            <w:tcW w:w="1536" w:type="pct"/>
            <w:vMerge w:val="restart"/>
            <w:shd w:val="clear" w:color="auto" w:fill="auto"/>
            <w:noWrap/>
            <w:vAlign w:val="center"/>
          </w:tcPr>
          <w:p w14:paraId="5A73C7C7">
            <w:pPr>
              <w:widowControl/>
              <w:spacing w:line="320" w:lineRule="exact"/>
              <w:ind w:firstLine="0" w:firstLineChars="0"/>
              <w:jc w:val="center"/>
              <w:rPr>
                <w:rFonts w:hint="eastAsia"/>
                <w:kern w:val="0"/>
                <w:sz w:val="24"/>
                <w:szCs w:val="24"/>
              </w:rPr>
            </w:pPr>
            <w:r>
              <w:rPr>
                <w:rFonts w:hint="eastAsia"/>
                <w:kern w:val="0"/>
                <w:sz w:val="24"/>
                <w:szCs w:val="24"/>
              </w:rPr>
              <w:t>一是加强管理和维护，定期检查设施的使用状况，及时发现和处理问题；二是对用户私自搭接电线、电话线等行为进行制止和教育；三是更新和改造老旧设施，提高设施的技术水平和安全性。四是制定相关政策和法规，加强对电力电信设施建设和管理的规范和监管，确保设施的安全和正常运行。</w:t>
            </w:r>
          </w:p>
        </w:tc>
        <w:tc>
          <w:tcPr>
            <w:tcW w:w="421" w:type="pct"/>
            <w:vMerge w:val="restart"/>
            <w:shd w:val="clear" w:color="auto" w:fill="auto"/>
            <w:noWrap/>
            <w:vAlign w:val="center"/>
          </w:tcPr>
          <w:p w14:paraId="26C3F496">
            <w:pPr>
              <w:widowControl/>
              <w:spacing w:line="320" w:lineRule="exact"/>
              <w:ind w:firstLine="0" w:firstLineChars="0"/>
              <w:jc w:val="center"/>
              <w:rPr>
                <w:rFonts w:hint="eastAsia"/>
                <w:kern w:val="0"/>
                <w:sz w:val="24"/>
                <w:szCs w:val="24"/>
              </w:rPr>
            </w:pPr>
            <w:r>
              <w:rPr>
                <w:rFonts w:hint="eastAsia"/>
                <w:kern w:val="0"/>
                <w:sz w:val="24"/>
                <w:szCs w:val="24"/>
              </w:rPr>
              <w:t>387栋楼</w:t>
            </w:r>
          </w:p>
        </w:tc>
        <w:tc>
          <w:tcPr>
            <w:tcW w:w="343" w:type="pct"/>
            <w:vMerge w:val="restart"/>
            <w:shd w:val="clear" w:color="auto" w:fill="auto"/>
            <w:noWrap/>
            <w:vAlign w:val="center"/>
          </w:tcPr>
          <w:p w14:paraId="468AE96C">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5A29A049">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09F6F860">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62A324E8">
            <w:pPr>
              <w:widowControl/>
              <w:spacing w:line="320" w:lineRule="exact"/>
              <w:ind w:firstLine="0" w:firstLineChars="0"/>
              <w:jc w:val="center"/>
              <w:rPr>
                <w:rFonts w:hint="eastAsia"/>
                <w:kern w:val="0"/>
                <w:sz w:val="24"/>
                <w:szCs w:val="24"/>
              </w:rPr>
            </w:pPr>
            <w:r>
              <w:rPr>
                <w:rFonts w:hint="eastAsia"/>
                <w:kern w:val="0"/>
                <w:sz w:val="24"/>
                <w:szCs w:val="24"/>
              </w:rPr>
              <w:t>住建局</w:t>
            </w:r>
          </w:p>
          <w:p w14:paraId="27CBD4AA">
            <w:pPr>
              <w:widowControl/>
              <w:spacing w:line="320" w:lineRule="exact"/>
              <w:ind w:firstLine="0" w:firstLineChars="0"/>
              <w:jc w:val="center"/>
              <w:rPr>
                <w:rFonts w:hint="eastAsia"/>
                <w:kern w:val="0"/>
                <w:sz w:val="24"/>
                <w:szCs w:val="24"/>
              </w:rPr>
            </w:pPr>
            <w:r>
              <w:rPr>
                <w:rFonts w:hint="eastAsia"/>
                <w:kern w:val="0"/>
                <w:sz w:val="24"/>
                <w:szCs w:val="24"/>
              </w:rPr>
              <w:t>新源道街道</w:t>
            </w:r>
          </w:p>
          <w:p w14:paraId="51AA4550">
            <w:pPr>
              <w:widowControl/>
              <w:spacing w:line="320" w:lineRule="exact"/>
              <w:ind w:firstLine="0" w:firstLineChars="0"/>
              <w:jc w:val="center"/>
              <w:rPr>
                <w:rFonts w:hint="eastAsia"/>
                <w:kern w:val="0"/>
                <w:sz w:val="24"/>
                <w:szCs w:val="24"/>
              </w:rPr>
            </w:pPr>
            <w:r>
              <w:rPr>
                <w:rFonts w:hint="eastAsia"/>
                <w:kern w:val="0"/>
                <w:sz w:val="24"/>
                <w:szCs w:val="24"/>
              </w:rPr>
              <w:t>南尖塔镇</w:t>
            </w:r>
          </w:p>
          <w:p w14:paraId="0C31F9D0">
            <w:pPr>
              <w:widowControl/>
              <w:spacing w:line="320" w:lineRule="exact"/>
              <w:ind w:firstLine="0" w:firstLineChars="0"/>
              <w:jc w:val="center"/>
              <w:rPr>
                <w:rFonts w:hint="eastAsia"/>
                <w:kern w:val="0"/>
                <w:sz w:val="24"/>
                <w:szCs w:val="24"/>
              </w:rPr>
            </w:pPr>
            <w:r>
              <w:rPr>
                <w:rFonts w:hint="eastAsia"/>
                <w:kern w:val="0"/>
                <w:sz w:val="24"/>
                <w:szCs w:val="24"/>
              </w:rPr>
              <w:t>爱民东道街道</w:t>
            </w:r>
          </w:p>
          <w:p w14:paraId="74495BAE">
            <w:pPr>
              <w:widowControl/>
              <w:spacing w:line="320" w:lineRule="exact"/>
              <w:ind w:firstLine="0" w:firstLineChars="0"/>
              <w:jc w:val="center"/>
              <w:rPr>
                <w:rFonts w:hint="eastAsia"/>
                <w:kern w:val="0"/>
                <w:sz w:val="24"/>
                <w:szCs w:val="24"/>
              </w:rPr>
            </w:pPr>
            <w:r>
              <w:rPr>
                <w:rFonts w:hint="eastAsia"/>
                <w:kern w:val="0"/>
                <w:sz w:val="24"/>
                <w:szCs w:val="24"/>
              </w:rPr>
              <w:t>银河北路街道</w:t>
            </w:r>
          </w:p>
          <w:p w14:paraId="3D4F081D">
            <w:pPr>
              <w:widowControl/>
              <w:spacing w:line="320" w:lineRule="exact"/>
              <w:ind w:firstLine="0" w:firstLineChars="0"/>
              <w:jc w:val="center"/>
              <w:rPr>
                <w:rFonts w:hint="eastAsia"/>
                <w:kern w:val="0"/>
                <w:sz w:val="24"/>
                <w:szCs w:val="24"/>
              </w:rPr>
            </w:pPr>
            <w:r>
              <w:rPr>
                <w:rFonts w:hint="eastAsia"/>
                <w:kern w:val="0"/>
                <w:sz w:val="24"/>
                <w:szCs w:val="24"/>
              </w:rPr>
              <w:t>解放道街道</w:t>
            </w:r>
          </w:p>
          <w:p w14:paraId="1BF71B93">
            <w:pPr>
              <w:widowControl/>
              <w:spacing w:line="320" w:lineRule="exact"/>
              <w:ind w:firstLine="0" w:firstLineChars="0"/>
              <w:jc w:val="center"/>
              <w:rPr>
                <w:rFonts w:hint="eastAsia"/>
                <w:kern w:val="0"/>
                <w:sz w:val="24"/>
                <w:szCs w:val="24"/>
              </w:rPr>
            </w:pPr>
            <w:r>
              <w:rPr>
                <w:rFonts w:hint="eastAsia"/>
                <w:kern w:val="0"/>
                <w:sz w:val="24"/>
                <w:szCs w:val="24"/>
              </w:rPr>
              <w:t>新开路街道</w:t>
            </w:r>
          </w:p>
          <w:p w14:paraId="71E9A47A">
            <w:pPr>
              <w:widowControl/>
              <w:spacing w:line="320" w:lineRule="exact"/>
              <w:ind w:firstLine="0" w:firstLineChars="0"/>
              <w:jc w:val="center"/>
              <w:rPr>
                <w:rFonts w:hint="eastAsia"/>
                <w:kern w:val="0"/>
                <w:sz w:val="24"/>
                <w:szCs w:val="24"/>
              </w:rPr>
            </w:pPr>
            <w:r>
              <w:rPr>
                <w:rFonts w:hint="eastAsia"/>
                <w:kern w:val="0"/>
                <w:sz w:val="24"/>
                <w:szCs w:val="24"/>
              </w:rPr>
              <w:t>北旺镇</w:t>
            </w:r>
          </w:p>
          <w:p w14:paraId="2B57C080">
            <w:pPr>
              <w:widowControl/>
              <w:spacing w:line="320" w:lineRule="exact"/>
              <w:ind w:firstLine="0" w:firstLineChars="0"/>
              <w:jc w:val="center"/>
              <w:rPr>
                <w:rFonts w:hint="eastAsia"/>
                <w:kern w:val="0"/>
                <w:sz w:val="24"/>
                <w:szCs w:val="24"/>
              </w:rPr>
            </w:pPr>
            <w:r>
              <w:rPr>
                <w:rFonts w:hint="eastAsia"/>
                <w:kern w:val="0"/>
                <w:sz w:val="24"/>
                <w:szCs w:val="24"/>
              </w:rPr>
              <w:t>光明西路街道</w:t>
            </w:r>
          </w:p>
          <w:p w14:paraId="6080C2CB">
            <w:pPr>
              <w:widowControl/>
              <w:spacing w:line="320" w:lineRule="exact"/>
              <w:ind w:firstLine="0" w:firstLineChars="0"/>
              <w:jc w:val="center"/>
              <w:rPr>
                <w:rFonts w:hint="eastAsia"/>
                <w:kern w:val="0"/>
                <w:sz w:val="24"/>
                <w:szCs w:val="24"/>
              </w:rPr>
            </w:pPr>
            <w:r>
              <w:rPr>
                <w:rFonts w:hint="eastAsia"/>
                <w:kern w:val="0"/>
                <w:sz w:val="24"/>
                <w:szCs w:val="24"/>
              </w:rPr>
              <w:t>永华道街道</w:t>
            </w:r>
          </w:p>
          <w:p w14:paraId="46BDCCD9">
            <w:pPr>
              <w:widowControl/>
              <w:spacing w:line="320" w:lineRule="exact"/>
              <w:ind w:firstLine="0" w:firstLineChars="0"/>
              <w:jc w:val="center"/>
              <w:rPr>
                <w:rFonts w:hint="eastAsia"/>
                <w:kern w:val="0"/>
                <w:sz w:val="24"/>
                <w:szCs w:val="24"/>
              </w:rPr>
            </w:pPr>
            <w:r>
              <w:rPr>
                <w:rFonts w:hint="eastAsia"/>
                <w:kern w:val="0"/>
                <w:sz w:val="24"/>
                <w:szCs w:val="24"/>
              </w:rPr>
              <w:t>银河南路街道</w:t>
            </w:r>
          </w:p>
          <w:p w14:paraId="7A687845">
            <w:pPr>
              <w:widowControl/>
              <w:spacing w:line="320" w:lineRule="exact"/>
              <w:ind w:firstLine="0" w:firstLineChars="0"/>
              <w:jc w:val="center"/>
              <w:rPr>
                <w:rFonts w:hint="eastAsia"/>
                <w:kern w:val="0"/>
                <w:sz w:val="24"/>
                <w:szCs w:val="24"/>
              </w:rPr>
            </w:pPr>
            <w:r>
              <w:rPr>
                <w:rFonts w:hint="eastAsia"/>
                <w:kern w:val="0"/>
                <w:sz w:val="24"/>
                <w:szCs w:val="24"/>
              </w:rPr>
              <w:t>杨税务镇</w:t>
            </w:r>
          </w:p>
          <w:p w14:paraId="14DAEE4C">
            <w:pPr>
              <w:widowControl/>
              <w:spacing w:line="320" w:lineRule="exact"/>
              <w:ind w:firstLine="0" w:firstLineChars="0"/>
              <w:jc w:val="center"/>
              <w:rPr>
                <w:rFonts w:hint="eastAsia"/>
                <w:kern w:val="0"/>
                <w:sz w:val="24"/>
                <w:szCs w:val="24"/>
              </w:rPr>
            </w:pPr>
            <w:r>
              <w:rPr>
                <w:rFonts w:hint="eastAsia"/>
                <w:kern w:val="0"/>
                <w:sz w:val="24"/>
                <w:szCs w:val="24"/>
              </w:rPr>
              <w:t>开发区</w:t>
            </w:r>
          </w:p>
        </w:tc>
      </w:tr>
      <w:tr w14:paraId="7394E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1C4DBA37">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6CED9117">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70E419A3">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9B86CD6">
            <w:pPr>
              <w:widowControl/>
              <w:spacing w:line="320" w:lineRule="exact"/>
              <w:ind w:firstLine="0" w:firstLineChars="0"/>
              <w:jc w:val="center"/>
              <w:rPr>
                <w:rFonts w:hint="eastAsia"/>
                <w:kern w:val="0"/>
                <w:sz w:val="24"/>
                <w:szCs w:val="24"/>
              </w:rPr>
            </w:pPr>
            <w:r>
              <w:rPr>
                <w:rFonts w:hint="eastAsia"/>
                <w:kern w:val="0"/>
                <w:sz w:val="24"/>
                <w:szCs w:val="24"/>
              </w:rPr>
              <w:t>存在采暖季温度不达标问题</w:t>
            </w:r>
          </w:p>
        </w:tc>
        <w:tc>
          <w:tcPr>
            <w:tcW w:w="1536" w:type="pct"/>
            <w:vMerge w:val="continue"/>
            <w:shd w:val="clear" w:color="auto" w:fill="auto"/>
            <w:noWrap/>
            <w:vAlign w:val="center"/>
          </w:tcPr>
          <w:p w14:paraId="333439DD">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759CB151">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174B6F0F">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43F04507">
            <w:pPr>
              <w:widowControl/>
              <w:spacing w:line="320" w:lineRule="exact"/>
              <w:ind w:firstLine="0" w:firstLineChars="0"/>
              <w:jc w:val="center"/>
              <w:rPr>
                <w:rFonts w:hint="eastAsia"/>
                <w:kern w:val="0"/>
                <w:sz w:val="24"/>
                <w:szCs w:val="24"/>
              </w:rPr>
            </w:pPr>
          </w:p>
        </w:tc>
      </w:tr>
      <w:tr w14:paraId="25D15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32A17645">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7742FEDE">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603887A1">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3B8046D">
            <w:pPr>
              <w:widowControl/>
              <w:spacing w:line="320" w:lineRule="exact"/>
              <w:ind w:firstLine="0" w:firstLineChars="0"/>
              <w:jc w:val="center"/>
              <w:rPr>
                <w:rFonts w:hint="eastAsia"/>
                <w:kern w:val="0"/>
                <w:sz w:val="24"/>
                <w:szCs w:val="24"/>
              </w:rPr>
            </w:pPr>
            <w:r>
              <w:rPr>
                <w:rFonts w:hint="eastAsia"/>
                <w:kern w:val="0"/>
                <w:sz w:val="24"/>
                <w:szCs w:val="24"/>
              </w:rPr>
              <w:t>存在电力电信管线老化破损及裸露、私搭乱接的问题</w:t>
            </w:r>
          </w:p>
        </w:tc>
        <w:tc>
          <w:tcPr>
            <w:tcW w:w="1536" w:type="pct"/>
            <w:vMerge w:val="continue"/>
            <w:shd w:val="clear" w:color="auto" w:fill="auto"/>
            <w:noWrap/>
            <w:vAlign w:val="center"/>
          </w:tcPr>
          <w:p w14:paraId="758EBABD">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7F9EC949">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099CF3A1">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653B0F93">
            <w:pPr>
              <w:widowControl/>
              <w:spacing w:line="320" w:lineRule="exact"/>
              <w:ind w:firstLine="0" w:firstLineChars="0"/>
              <w:jc w:val="center"/>
              <w:rPr>
                <w:rFonts w:hint="eastAsia"/>
                <w:kern w:val="0"/>
                <w:sz w:val="24"/>
                <w:szCs w:val="24"/>
              </w:rPr>
            </w:pPr>
          </w:p>
        </w:tc>
      </w:tr>
      <w:tr w14:paraId="10A5D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6B9F346D">
            <w:pPr>
              <w:widowControl/>
              <w:spacing w:line="320" w:lineRule="exact"/>
              <w:ind w:firstLine="0" w:firstLineChars="0"/>
              <w:jc w:val="center"/>
              <w:rPr>
                <w:rFonts w:hint="eastAsia"/>
                <w:kern w:val="0"/>
                <w:sz w:val="24"/>
                <w:szCs w:val="24"/>
              </w:rPr>
            </w:pPr>
            <w:r>
              <w:rPr>
                <w:rFonts w:hint="eastAsia"/>
                <w:kern w:val="0"/>
                <w:sz w:val="24"/>
                <w:szCs w:val="24"/>
              </w:rPr>
              <w:t>4</w:t>
            </w:r>
          </w:p>
        </w:tc>
        <w:tc>
          <w:tcPr>
            <w:tcW w:w="461" w:type="pct"/>
            <w:vMerge w:val="restart"/>
            <w:shd w:val="clear" w:color="auto" w:fill="auto"/>
            <w:noWrap/>
            <w:vAlign w:val="center"/>
          </w:tcPr>
          <w:p w14:paraId="55AB1B9A">
            <w:pPr>
              <w:widowControl/>
              <w:spacing w:line="320" w:lineRule="exact"/>
              <w:ind w:firstLine="0" w:firstLineChars="0"/>
              <w:jc w:val="center"/>
              <w:rPr>
                <w:rFonts w:hint="eastAsia"/>
                <w:kern w:val="0"/>
                <w:sz w:val="24"/>
                <w:szCs w:val="24"/>
              </w:rPr>
            </w:pPr>
            <w:r>
              <w:rPr>
                <w:rFonts w:hint="eastAsia"/>
                <w:kern w:val="0"/>
                <w:sz w:val="24"/>
                <w:szCs w:val="24"/>
              </w:rPr>
              <w:t>需要进行适老化改造的住宅数量</w:t>
            </w:r>
          </w:p>
        </w:tc>
        <w:tc>
          <w:tcPr>
            <w:tcW w:w="214" w:type="pct"/>
            <w:vMerge w:val="restart"/>
            <w:shd w:val="clear" w:color="auto" w:fill="auto"/>
            <w:noWrap/>
            <w:vAlign w:val="center"/>
          </w:tcPr>
          <w:p w14:paraId="204ED344">
            <w:pPr>
              <w:widowControl/>
              <w:spacing w:line="320" w:lineRule="exact"/>
              <w:ind w:firstLine="0" w:firstLineChars="0"/>
              <w:jc w:val="center"/>
              <w:rPr>
                <w:rFonts w:hint="eastAsia"/>
                <w:kern w:val="0"/>
                <w:sz w:val="24"/>
                <w:szCs w:val="24"/>
              </w:rPr>
            </w:pPr>
            <w:r>
              <w:rPr>
                <w:rFonts w:hint="eastAsia"/>
                <w:kern w:val="0"/>
                <w:sz w:val="24"/>
                <w:szCs w:val="24"/>
              </w:rPr>
              <w:t>767</w:t>
            </w:r>
          </w:p>
        </w:tc>
        <w:tc>
          <w:tcPr>
            <w:tcW w:w="1242" w:type="pct"/>
            <w:shd w:val="clear" w:color="auto" w:fill="auto"/>
            <w:noWrap/>
            <w:vAlign w:val="center"/>
          </w:tcPr>
          <w:p w14:paraId="0B0B95E6">
            <w:pPr>
              <w:widowControl/>
              <w:spacing w:line="320" w:lineRule="exact"/>
              <w:ind w:firstLine="0" w:firstLineChars="0"/>
              <w:jc w:val="center"/>
              <w:rPr>
                <w:rFonts w:hint="eastAsia"/>
                <w:kern w:val="0"/>
                <w:sz w:val="24"/>
                <w:szCs w:val="24"/>
              </w:rPr>
            </w:pPr>
            <w:r>
              <w:rPr>
                <w:rFonts w:hint="eastAsia"/>
                <w:kern w:val="0"/>
                <w:sz w:val="24"/>
                <w:szCs w:val="24"/>
              </w:rPr>
              <w:t>建成时未安装电梯的多层住宅中具备加装电梯条件，但尚未加装改造</w:t>
            </w:r>
          </w:p>
        </w:tc>
        <w:tc>
          <w:tcPr>
            <w:tcW w:w="1536" w:type="pct"/>
            <w:vMerge w:val="restart"/>
            <w:shd w:val="clear" w:color="auto" w:fill="auto"/>
            <w:noWrap/>
            <w:vAlign w:val="center"/>
          </w:tcPr>
          <w:p w14:paraId="568242E3">
            <w:pPr>
              <w:widowControl/>
              <w:spacing w:line="320" w:lineRule="exact"/>
              <w:ind w:firstLine="0" w:firstLineChars="0"/>
              <w:jc w:val="center"/>
              <w:rPr>
                <w:rFonts w:hint="eastAsia"/>
                <w:kern w:val="0"/>
                <w:sz w:val="24"/>
                <w:szCs w:val="24"/>
              </w:rPr>
            </w:pPr>
            <w:r>
              <w:rPr>
                <w:rFonts w:hint="eastAsia"/>
                <w:kern w:val="0"/>
                <w:sz w:val="24"/>
                <w:szCs w:val="24"/>
              </w:rPr>
              <w:t>一是增加对无障碍改造和地面防滑处理的资金投入，提高建设和维护预算，确保改造和处理的顺利进行；二是加强维护和管理，确保无障碍设施和防滑处理设施的正常运行和使用效果；三是政府可以出台相关的政策和法规，鼓励和规范住宅无障碍改造和地面防滑处理的行为，同时加强对相关建设和维护单位的监管和管理；四是增强居民和社会的意识和认知，加强对无障碍通行和地面防滑重要性的宣传和教育，形成良好的社会氛围。</w:t>
            </w:r>
          </w:p>
          <w:p w14:paraId="5E4CF05B">
            <w:pPr>
              <w:widowControl/>
              <w:spacing w:line="320" w:lineRule="exact"/>
              <w:ind w:firstLine="0" w:firstLineChars="0"/>
              <w:jc w:val="center"/>
              <w:rPr>
                <w:rFonts w:hint="eastAsia"/>
                <w:kern w:val="0"/>
                <w:sz w:val="24"/>
                <w:szCs w:val="24"/>
              </w:rPr>
            </w:pPr>
          </w:p>
        </w:tc>
        <w:tc>
          <w:tcPr>
            <w:tcW w:w="421" w:type="pct"/>
            <w:vMerge w:val="restart"/>
            <w:shd w:val="clear" w:color="auto" w:fill="auto"/>
            <w:noWrap/>
            <w:vAlign w:val="center"/>
          </w:tcPr>
          <w:p w14:paraId="48ADB07E">
            <w:pPr>
              <w:widowControl/>
              <w:spacing w:line="320" w:lineRule="exact"/>
              <w:ind w:firstLine="0" w:firstLineChars="0"/>
              <w:jc w:val="center"/>
              <w:rPr>
                <w:rFonts w:hint="eastAsia"/>
                <w:kern w:val="0"/>
                <w:sz w:val="24"/>
                <w:szCs w:val="24"/>
              </w:rPr>
            </w:pPr>
            <w:r>
              <w:rPr>
                <w:rFonts w:hint="eastAsia"/>
                <w:kern w:val="0"/>
                <w:sz w:val="24"/>
                <w:szCs w:val="24"/>
              </w:rPr>
              <w:t>767栋楼</w:t>
            </w:r>
          </w:p>
        </w:tc>
        <w:tc>
          <w:tcPr>
            <w:tcW w:w="343" w:type="pct"/>
            <w:vMerge w:val="restart"/>
            <w:shd w:val="clear" w:color="auto" w:fill="auto"/>
            <w:noWrap/>
            <w:vAlign w:val="center"/>
          </w:tcPr>
          <w:p w14:paraId="4A58BF05">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49A4F636">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588655D3">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3497622F">
            <w:pPr>
              <w:widowControl/>
              <w:spacing w:line="320" w:lineRule="exact"/>
              <w:ind w:firstLine="0" w:firstLineChars="0"/>
              <w:jc w:val="center"/>
              <w:rPr>
                <w:rFonts w:hint="eastAsia"/>
                <w:kern w:val="0"/>
                <w:sz w:val="24"/>
                <w:szCs w:val="24"/>
              </w:rPr>
            </w:pPr>
            <w:r>
              <w:rPr>
                <w:rFonts w:hint="eastAsia"/>
                <w:kern w:val="0"/>
                <w:sz w:val="24"/>
                <w:szCs w:val="24"/>
              </w:rPr>
              <w:t>住建局</w:t>
            </w:r>
          </w:p>
          <w:p w14:paraId="2E9E7972">
            <w:pPr>
              <w:widowControl/>
              <w:spacing w:line="320" w:lineRule="exact"/>
              <w:ind w:firstLine="0" w:firstLineChars="0"/>
              <w:jc w:val="center"/>
              <w:rPr>
                <w:rFonts w:hint="eastAsia"/>
                <w:kern w:val="0"/>
                <w:sz w:val="24"/>
                <w:szCs w:val="24"/>
              </w:rPr>
            </w:pPr>
            <w:r>
              <w:rPr>
                <w:rFonts w:hint="eastAsia"/>
                <w:kern w:val="0"/>
                <w:sz w:val="24"/>
                <w:szCs w:val="24"/>
              </w:rPr>
              <w:t>所有街道</w:t>
            </w:r>
          </w:p>
        </w:tc>
      </w:tr>
      <w:tr w14:paraId="61691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447AC295">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3487A75F">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532CA7CD">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32E3777">
            <w:pPr>
              <w:widowControl/>
              <w:spacing w:line="320" w:lineRule="exact"/>
              <w:ind w:firstLine="0" w:firstLineChars="0"/>
              <w:jc w:val="center"/>
              <w:rPr>
                <w:rFonts w:hint="eastAsia"/>
                <w:kern w:val="0"/>
                <w:sz w:val="24"/>
                <w:szCs w:val="24"/>
              </w:rPr>
            </w:pPr>
            <w:r>
              <w:rPr>
                <w:rFonts w:hint="eastAsia"/>
                <w:kern w:val="0"/>
                <w:sz w:val="24"/>
                <w:szCs w:val="24"/>
              </w:rPr>
              <w:t>住宅单元出入口和通道未进行无障碍改造、地面防滑处理</w:t>
            </w:r>
          </w:p>
        </w:tc>
        <w:tc>
          <w:tcPr>
            <w:tcW w:w="1536" w:type="pct"/>
            <w:vMerge w:val="continue"/>
            <w:shd w:val="clear" w:color="auto" w:fill="auto"/>
            <w:noWrap/>
            <w:vAlign w:val="center"/>
          </w:tcPr>
          <w:p w14:paraId="4F12C1D2">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1DA27D38">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7DAA7E58">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10BDEE3B">
            <w:pPr>
              <w:widowControl/>
              <w:spacing w:line="320" w:lineRule="exact"/>
              <w:ind w:firstLine="0" w:firstLineChars="0"/>
              <w:jc w:val="center"/>
              <w:rPr>
                <w:rFonts w:hint="eastAsia"/>
                <w:kern w:val="0"/>
                <w:sz w:val="24"/>
                <w:szCs w:val="24"/>
              </w:rPr>
            </w:pPr>
          </w:p>
        </w:tc>
      </w:tr>
      <w:tr w14:paraId="1892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176858E2">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19269EDC">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79A91FB5">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68324F06">
            <w:pPr>
              <w:widowControl/>
              <w:spacing w:line="320" w:lineRule="exact"/>
              <w:ind w:firstLine="0" w:firstLineChars="0"/>
              <w:jc w:val="center"/>
              <w:rPr>
                <w:rFonts w:hint="eastAsia"/>
                <w:kern w:val="0"/>
                <w:sz w:val="24"/>
                <w:szCs w:val="24"/>
              </w:rPr>
            </w:pPr>
            <w:r>
              <w:rPr>
                <w:rFonts w:hint="eastAsia"/>
                <w:kern w:val="0"/>
                <w:sz w:val="24"/>
                <w:szCs w:val="24"/>
              </w:rPr>
              <w:t>楼梯间未沿墙加装扶手</w:t>
            </w:r>
          </w:p>
        </w:tc>
        <w:tc>
          <w:tcPr>
            <w:tcW w:w="1536" w:type="pct"/>
            <w:vMerge w:val="continue"/>
            <w:shd w:val="clear" w:color="auto" w:fill="auto"/>
            <w:noWrap/>
            <w:vAlign w:val="center"/>
          </w:tcPr>
          <w:p w14:paraId="6D0E8526">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6116F931">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4962A657">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689433C4">
            <w:pPr>
              <w:widowControl/>
              <w:spacing w:line="320" w:lineRule="exact"/>
              <w:ind w:firstLine="0" w:firstLineChars="0"/>
              <w:jc w:val="center"/>
              <w:rPr>
                <w:rFonts w:hint="eastAsia"/>
                <w:kern w:val="0"/>
                <w:sz w:val="24"/>
                <w:szCs w:val="24"/>
              </w:rPr>
            </w:pPr>
          </w:p>
        </w:tc>
      </w:tr>
      <w:tr w14:paraId="05428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53455BFE">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26E6F91D">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05EF9F36">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54BB8DA4">
            <w:pPr>
              <w:widowControl/>
              <w:spacing w:line="320" w:lineRule="exact"/>
              <w:ind w:firstLine="0" w:firstLineChars="0"/>
              <w:jc w:val="center"/>
              <w:rPr>
                <w:rFonts w:hint="eastAsia"/>
                <w:kern w:val="0"/>
                <w:sz w:val="24"/>
                <w:szCs w:val="24"/>
              </w:rPr>
            </w:pPr>
            <w:r>
              <w:rPr>
                <w:rFonts w:hint="eastAsia"/>
                <w:kern w:val="0"/>
                <w:sz w:val="24"/>
                <w:szCs w:val="24"/>
              </w:rPr>
              <w:t>纳入分散供养特困人员和建档立卡贫困人口范围的高龄、失能、残疾老年人等特殊困难老年人家庭未实施适老化改造</w:t>
            </w:r>
          </w:p>
        </w:tc>
        <w:tc>
          <w:tcPr>
            <w:tcW w:w="1536" w:type="pct"/>
            <w:vMerge w:val="continue"/>
            <w:shd w:val="clear" w:color="auto" w:fill="auto"/>
            <w:noWrap/>
            <w:vAlign w:val="center"/>
          </w:tcPr>
          <w:p w14:paraId="3A35C12B">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3B405A60">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2ED7E0DB">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2AD9EC14">
            <w:pPr>
              <w:widowControl/>
              <w:spacing w:line="320" w:lineRule="exact"/>
              <w:ind w:firstLine="0" w:firstLineChars="0"/>
              <w:jc w:val="center"/>
              <w:rPr>
                <w:rFonts w:hint="eastAsia"/>
                <w:kern w:val="0"/>
                <w:sz w:val="24"/>
                <w:szCs w:val="24"/>
              </w:rPr>
            </w:pPr>
          </w:p>
        </w:tc>
      </w:tr>
      <w:tr w14:paraId="55151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shd w:val="clear" w:color="auto" w:fill="auto"/>
            <w:noWrap/>
            <w:vAlign w:val="center"/>
          </w:tcPr>
          <w:p w14:paraId="6592E7A9">
            <w:pPr>
              <w:widowControl/>
              <w:spacing w:line="320" w:lineRule="exact"/>
              <w:ind w:firstLine="0" w:firstLineChars="0"/>
              <w:jc w:val="center"/>
              <w:rPr>
                <w:rFonts w:hint="eastAsia"/>
                <w:kern w:val="0"/>
                <w:sz w:val="24"/>
                <w:szCs w:val="24"/>
              </w:rPr>
            </w:pPr>
            <w:r>
              <w:rPr>
                <w:rFonts w:hint="eastAsia"/>
                <w:kern w:val="0"/>
                <w:sz w:val="24"/>
                <w:szCs w:val="24"/>
              </w:rPr>
              <w:t>5</w:t>
            </w:r>
          </w:p>
        </w:tc>
        <w:tc>
          <w:tcPr>
            <w:tcW w:w="461" w:type="pct"/>
            <w:shd w:val="clear" w:color="auto" w:fill="auto"/>
            <w:noWrap/>
            <w:vAlign w:val="center"/>
          </w:tcPr>
          <w:p w14:paraId="4FCE2FD6">
            <w:pPr>
              <w:widowControl/>
              <w:spacing w:line="320" w:lineRule="exact"/>
              <w:ind w:firstLine="0" w:firstLineChars="0"/>
              <w:jc w:val="center"/>
              <w:rPr>
                <w:rFonts w:hint="eastAsia"/>
                <w:kern w:val="0"/>
                <w:sz w:val="24"/>
                <w:szCs w:val="24"/>
              </w:rPr>
            </w:pPr>
            <w:r>
              <w:rPr>
                <w:rFonts w:hint="eastAsia"/>
                <w:kern w:val="0"/>
                <w:sz w:val="24"/>
                <w:szCs w:val="24"/>
              </w:rPr>
              <w:t>需要进行节能改造的住宅数量</w:t>
            </w:r>
          </w:p>
        </w:tc>
        <w:tc>
          <w:tcPr>
            <w:tcW w:w="214" w:type="pct"/>
            <w:shd w:val="clear" w:color="auto" w:fill="auto"/>
            <w:noWrap/>
            <w:vAlign w:val="center"/>
          </w:tcPr>
          <w:p w14:paraId="340DFEBB">
            <w:pPr>
              <w:widowControl/>
              <w:spacing w:line="320" w:lineRule="exact"/>
              <w:ind w:firstLine="0" w:firstLineChars="0"/>
              <w:jc w:val="center"/>
              <w:rPr>
                <w:rFonts w:hint="eastAsia"/>
                <w:kern w:val="0"/>
                <w:sz w:val="24"/>
                <w:szCs w:val="24"/>
              </w:rPr>
            </w:pPr>
            <w:r>
              <w:rPr>
                <w:rFonts w:hint="eastAsia"/>
                <w:kern w:val="0"/>
                <w:sz w:val="24"/>
                <w:szCs w:val="24"/>
              </w:rPr>
              <w:t>91</w:t>
            </w:r>
          </w:p>
        </w:tc>
        <w:tc>
          <w:tcPr>
            <w:tcW w:w="1242" w:type="pct"/>
            <w:shd w:val="clear" w:color="auto" w:fill="auto"/>
            <w:noWrap/>
            <w:vAlign w:val="center"/>
          </w:tcPr>
          <w:p w14:paraId="17F22B8B">
            <w:pPr>
              <w:widowControl/>
              <w:spacing w:line="320" w:lineRule="exact"/>
              <w:ind w:firstLine="0" w:firstLineChars="0"/>
              <w:jc w:val="center"/>
              <w:rPr>
                <w:rFonts w:hint="eastAsia"/>
                <w:kern w:val="0"/>
                <w:sz w:val="24"/>
                <w:szCs w:val="24"/>
              </w:rPr>
            </w:pPr>
            <w:r>
              <w:rPr>
                <w:rFonts w:hint="eastAsia"/>
                <w:kern w:val="0"/>
                <w:sz w:val="24"/>
                <w:szCs w:val="24"/>
              </w:rPr>
              <w:t>具备节能改造价值但尚未进行节能改造</w:t>
            </w:r>
          </w:p>
        </w:tc>
        <w:tc>
          <w:tcPr>
            <w:tcW w:w="1536" w:type="pct"/>
            <w:shd w:val="clear" w:color="auto" w:fill="auto"/>
            <w:noWrap/>
            <w:vAlign w:val="center"/>
          </w:tcPr>
          <w:p w14:paraId="407D44A5">
            <w:pPr>
              <w:widowControl/>
              <w:spacing w:line="320" w:lineRule="exact"/>
              <w:ind w:firstLine="0" w:firstLineChars="0"/>
              <w:jc w:val="center"/>
              <w:rPr>
                <w:rFonts w:hint="eastAsia"/>
                <w:kern w:val="0"/>
                <w:sz w:val="24"/>
                <w:szCs w:val="24"/>
              </w:rPr>
            </w:pPr>
            <w:r>
              <w:rPr>
                <w:rFonts w:hint="eastAsia"/>
                <w:kern w:val="0"/>
                <w:sz w:val="24"/>
                <w:szCs w:val="24"/>
              </w:rPr>
              <w:t>1）围护结构节能改造：针对现有的屋面、墙体、窗户等围护结构现状，从保温、隔热、遮阳等方面入手研究相应的改造方案。</w:t>
            </w:r>
          </w:p>
          <w:p w14:paraId="20BF3CEB">
            <w:pPr>
              <w:widowControl/>
              <w:spacing w:line="320" w:lineRule="exact"/>
              <w:ind w:firstLine="0" w:firstLineChars="0"/>
              <w:jc w:val="center"/>
              <w:rPr>
                <w:rFonts w:hint="eastAsia"/>
                <w:kern w:val="0"/>
                <w:sz w:val="24"/>
                <w:szCs w:val="24"/>
              </w:rPr>
            </w:pPr>
            <w:r>
              <w:rPr>
                <w:rFonts w:hint="eastAsia"/>
                <w:kern w:val="0"/>
                <w:sz w:val="24"/>
                <w:szCs w:val="24"/>
              </w:rPr>
              <w:t>2）设备系统设计：提高空调设备及系统、照明设备及系统以及其他设备的能效比。</w:t>
            </w:r>
          </w:p>
          <w:p w14:paraId="6390C814">
            <w:pPr>
              <w:widowControl/>
              <w:spacing w:line="320" w:lineRule="exact"/>
              <w:ind w:firstLine="0" w:firstLineChars="0"/>
              <w:jc w:val="center"/>
              <w:rPr>
                <w:rFonts w:hint="eastAsia"/>
                <w:kern w:val="0"/>
                <w:sz w:val="24"/>
                <w:szCs w:val="24"/>
              </w:rPr>
            </w:pPr>
            <w:r>
              <w:rPr>
                <w:rFonts w:hint="eastAsia"/>
                <w:kern w:val="0"/>
                <w:sz w:val="24"/>
                <w:szCs w:val="24"/>
              </w:rPr>
              <w:t>3）可再生能源的利用：太阳能、风能、地能等可再生能源的利用。</w:t>
            </w:r>
          </w:p>
          <w:p w14:paraId="445896C2">
            <w:pPr>
              <w:widowControl/>
              <w:spacing w:line="320" w:lineRule="exact"/>
              <w:ind w:firstLine="0" w:firstLineChars="0"/>
              <w:jc w:val="center"/>
              <w:rPr>
                <w:rFonts w:hint="eastAsia"/>
                <w:kern w:val="0"/>
                <w:sz w:val="24"/>
                <w:szCs w:val="24"/>
              </w:rPr>
            </w:pPr>
            <w:r>
              <w:rPr>
                <w:rFonts w:hint="eastAsia"/>
                <w:kern w:val="0"/>
                <w:sz w:val="24"/>
                <w:szCs w:val="24"/>
              </w:rPr>
              <w:t>4）健全多方协调管理机制，建立居民有效的沟通渠道，定期座谈和问卷调查。统一居民建议和意见，制定可行的住宅节能改造方案。</w:t>
            </w:r>
          </w:p>
        </w:tc>
        <w:tc>
          <w:tcPr>
            <w:tcW w:w="421" w:type="pct"/>
            <w:shd w:val="clear" w:color="auto" w:fill="auto"/>
            <w:noWrap/>
            <w:vAlign w:val="center"/>
          </w:tcPr>
          <w:p w14:paraId="159C751C">
            <w:pPr>
              <w:widowControl/>
              <w:spacing w:line="320" w:lineRule="exact"/>
              <w:ind w:firstLine="0" w:firstLineChars="0"/>
              <w:jc w:val="center"/>
              <w:rPr>
                <w:rFonts w:hint="eastAsia"/>
                <w:kern w:val="0"/>
                <w:sz w:val="24"/>
                <w:szCs w:val="24"/>
              </w:rPr>
            </w:pPr>
            <w:r>
              <w:rPr>
                <w:rFonts w:hint="eastAsia"/>
                <w:kern w:val="0"/>
                <w:sz w:val="24"/>
                <w:szCs w:val="24"/>
              </w:rPr>
              <w:t>91栋楼</w:t>
            </w:r>
          </w:p>
        </w:tc>
        <w:tc>
          <w:tcPr>
            <w:tcW w:w="343" w:type="pct"/>
            <w:shd w:val="clear" w:color="auto" w:fill="auto"/>
            <w:noWrap/>
            <w:vAlign w:val="center"/>
          </w:tcPr>
          <w:p w14:paraId="2E45647A">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372C63BA">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3CFAB462">
            <w:pPr>
              <w:widowControl/>
              <w:spacing w:line="320" w:lineRule="exact"/>
              <w:ind w:firstLine="0" w:firstLineChars="0"/>
              <w:jc w:val="center"/>
              <w:rPr>
                <w:rFonts w:hint="eastAsia"/>
                <w:kern w:val="0"/>
                <w:sz w:val="24"/>
                <w:szCs w:val="24"/>
              </w:rPr>
            </w:pPr>
          </w:p>
        </w:tc>
        <w:tc>
          <w:tcPr>
            <w:tcW w:w="618" w:type="pct"/>
            <w:shd w:val="clear" w:color="auto" w:fill="auto"/>
            <w:noWrap/>
            <w:vAlign w:val="center"/>
          </w:tcPr>
          <w:p w14:paraId="78E6D6F5">
            <w:pPr>
              <w:widowControl/>
              <w:spacing w:line="320" w:lineRule="exact"/>
              <w:ind w:firstLine="0" w:firstLineChars="0"/>
              <w:jc w:val="center"/>
              <w:rPr>
                <w:rFonts w:hint="eastAsia"/>
                <w:kern w:val="0"/>
                <w:sz w:val="24"/>
                <w:szCs w:val="24"/>
              </w:rPr>
            </w:pPr>
            <w:r>
              <w:rPr>
                <w:rFonts w:hint="eastAsia"/>
                <w:kern w:val="0"/>
                <w:sz w:val="24"/>
                <w:szCs w:val="24"/>
              </w:rPr>
              <w:t>住建局</w:t>
            </w:r>
          </w:p>
          <w:p w14:paraId="4AD18085">
            <w:pPr>
              <w:widowControl/>
              <w:spacing w:line="320" w:lineRule="exact"/>
              <w:ind w:firstLine="0" w:firstLineChars="0"/>
              <w:jc w:val="center"/>
              <w:rPr>
                <w:rFonts w:hint="eastAsia"/>
                <w:kern w:val="0"/>
                <w:sz w:val="24"/>
                <w:szCs w:val="24"/>
              </w:rPr>
            </w:pPr>
            <w:r>
              <w:rPr>
                <w:rFonts w:hint="eastAsia"/>
                <w:kern w:val="0"/>
                <w:sz w:val="24"/>
                <w:szCs w:val="24"/>
              </w:rPr>
              <w:t>爱民东道街道</w:t>
            </w:r>
          </w:p>
          <w:p w14:paraId="623C508C">
            <w:pPr>
              <w:widowControl/>
              <w:spacing w:line="320" w:lineRule="exact"/>
              <w:ind w:firstLine="0" w:firstLineChars="0"/>
              <w:jc w:val="center"/>
              <w:rPr>
                <w:rFonts w:hint="eastAsia"/>
                <w:kern w:val="0"/>
                <w:sz w:val="24"/>
                <w:szCs w:val="24"/>
              </w:rPr>
            </w:pPr>
            <w:r>
              <w:rPr>
                <w:rFonts w:hint="eastAsia"/>
                <w:kern w:val="0"/>
                <w:sz w:val="24"/>
                <w:szCs w:val="24"/>
              </w:rPr>
              <w:t>新源道街道</w:t>
            </w:r>
          </w:p>
          <w:p w14:paraId="3EEAE9B8">
            <w:pPr>
              <w:widowControl/>
              <w:spacing w:line="320" w:lineRule="exact"/>
              <w:ind w:firstLine="0" w:firstLineChars="0"/>
              <w:jc w:val="center"/>
              <w:rPr>
                <w:rFonts w:hint="eastAsia"/>
                <w:kern w:val="0"/>
                <w:sz w:val="24"/>
                <w:szCs w:val="24"/>
              </w:rPr>
            </w:pPr>
            <w:r>
              <w:rPr>
                <w:rFonts w:hint="eastAsia"/>
                <w:kern w:val="0"/>
                <w:sz w:val="24"/>
                <w:szCs w:val="24"/>
              </w:rPr>
              <w:t>解放道街道</w:t>
            </w:r>
          </w:p>
        </w:tc>
      </w:tr>
      <w:tr w14:paraId="17D10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2414FB18">
            <w:pPr>
              <w:widowControl/>
              <w:spacing w:line="320" w:lineRule="exact"/>
              <w:ind w:firstLine="0" w:firstLineChars="0"/>
              <w:jc w:val="center"/>
              <w:rPr>
                <w:rFonts w:hint="eastAsia"/>
                <w:kern w:val="0"/>
                <w:sz w:val="24"/>
                <w:szCs w:val="24"/>
              </w:rPr>
            </w:pPr>
            <w:r>
              <w:rPr>
                <w:rFonts w:hint="eastAsia"/>
                <w:kern w:val="0"/>
                <w:sz w:val="24"/>
                <w:szCs w:val="24"/>
              </w:rPr>
              <w:t>6</w:t>
            </w:r>
          </w:p>
        </w:tc>
        <w:tc>
          <w:tcPr>
            <w:tcW w:w="461" w:type="pct"/>
            <w:vMerge w:val="restart"/>
            <w:shd w:val="clear" w:color="auto" w:fill="auto"/>
            <w:noWrap/>
            <w:vAlign w:val="center"/>
          </w:tcPr>
          <w:p w14:paraId="53F188AE">
            <w:pPr>
              <w:widowControl/>
              <w:spacing w:line="320" w:lineRule="exact"/>
              <w:ind w:firstLine="0" w:firstLineChars="0"/>
              <w:jc w:val="center"/>
              <w:rPr>
                <w:rFonts w:hint="eastAsia"/>
                <w:kern w:val="0"/>
                <w:sz w:val="24"/>
                <w:szCs w:val="24"/>
              </w:rPr>
            </w:pPr>
            <w:r>
              <w:rPr>
                <w:rFonts w:hint="eastAsia"/>
                <w:kern w:val="0"/>
                <w:sz w:val="24"/>
                <w:szCs w:val="24"/>
              </w:rPr>
              <w:t>需要进行数字化改造的住宅数量</w:t>
            </w:r>
          </w:p>
        </w:tc>
        <w:tc>
          <w:tcPr>
            <w:tcW w:w="214" w:type="pct"/>
            <w:vMerge w:val="restart"/>
            <w:shd w:val="clear" w:color="auto" w:fill="auto"/>
            <w:noWrap/>
            <w:vAlign w:val="center"/>
          </w:tcPr>
          <w:p w14:paraId="7415678E">
            <w:pPr>
              <w:widowControl/>
              <w:spacing w:line="320" w:lineRule="exact"/>
              <w:ind w:firstLine="0" w:firstLineChars="0"/>
              <w:jc w:val="center"/>
              <w:rPr>
                <w:rFonts w:hint="eastAsia"/>
                <w:kern w:val="0"/>
                <w:sz w:val="24"/>
                <w:szCs w:val="24"/>
              </w:rPr>
            </w:pPr>
            <w:r>
              <w:rPr>
                <w:rFonts w:hint="eastAsia"/>
                <w:kern w:val="0"/>
                <w:sz w:val="24"/>
                <w:szCs w:val="24"/>
              </w:rPr>
              <w:t>1499</w:t>
            </w:r>
          </w:p>
        </w:tc>
        <w:tc>
          <w:tcPr>
            <w:tcW w:w="1242" w:type="pct"/>
            <w:shd w:val="clear" w:color="auto" w:fill="auto"/>
            <w:noWrap/>
            <w:vAlign w:val="center"/>
          </w:tcPr>
          <w:p w14:paraId="7432A573">
            <w:pPr>
              <w:widowControl/>
              <w:spacing w:line="320" w:lineRule="exact"/>
              <w:ind w:firstLine="0" w:firstLineChars="0"/>
              <w:jc w:val="center"/>
              <w:rPr>
                <w:rFonts w:hint="eastAsia"/>
                <w:kern w:val="0"/>
                <w:sz w:val="24"/>
                <w:szCs w:val="24"/>
              </w:rPr>
            </w:pPr>
            <w:r>
              <w:rPr>
                <w:rFonts w:hint="eastAsia"/>
                <w:kern w:val="0"/>
                <w:sz w:val="24"/>
                <w:szCs w:val="24"/>
              </w:rPr>
              <w:t>不具备光纤入户条件</w:t>
            </w:r>
          </w:p>
        </w:tc>
        <w:tc>
          <w:tcPr>
            <w:tcW w:w="1536" w:type="pct"/>
            <w:vMerge w:val="restart"/>
            <w:shd w:val="clear" w:color="auto" w:fill="auto"/>
            <w:noWrap/>
            <w:vAlign w:val="center"/>
          </w:tcPr>
          <w:p w14:paraId="56021826">
            <w:pPr>
              <w:widowControl/>
              <w:spacing w:line="320" w:lineRule="exact"/>
              <w:ind w:firstLine="0" w:firstLineChars="0"/>
              <w:jc w:val="center"/>
              <w:rPr>
                <w:rFonts w:hint="eastAsia"/>
                <w:kern w:val="0"/>
                <w:sz w:val="24"/>
                <w:szCs w:val="24"/>
              </w:rPr>
            </w:pPr>
            <w:r>
              <w:rPr>
                <w:rFonts w:hint="eastAsia"/>
                <w:kern w:val="0"/>
                <w:sz w:val="24"/>
                <w:szCs w:val="24"/>
              </w:rPr>
              <w:t>增加资金投入：政府可以出台相关政策，鼓励企业和个人增加对网络基础设施的投入，推动光纤入户工程的实施、安防检测设备、烟感报警器的安装。</w:t>
            </w:r>
          </w:p>
          <w:p w14:paraId="29654EE2">
            <w:pPr>
              <w:widowControl/>
              <w:spacing w:line="320" w:lineRule="exact"/>
              <w:ind w:firstLine="0" w:firstLineChars="0"/>
              <w:jc w:val="center"/>
              <w:rPr>
                <w:rFonts w:hint="eastAsia"/>
                <w:kern w:val="0"/>
                <w:sz w:val="24"/>
                <w:szCs w:val="24"/>
              </w:rPr>
            </w:pPr>
            <w:r>
              <w:rPr>
                <w:rFonts w:hint="eastAsia"/>
                <w:kern w:val="0"/>
                <w:sz w:val="24"/>
                <w:szCs w:val="24"/>
              </w:rPr>
              <w:t>增强意识：加强家庭健康紧急呼叫系统的宣传和推广，增强公众对它的认识和意识。</w:t>
            </w:r>
          </w:p>
          <w:p w14:paraId="2E900F37">
            <w:pPr>
              <w:widowControl/>
              <w:spacing w:line="320" w:lineRule="exact"/>
              <w:ind w:firstLine="0" w:firstLineChars="0"/>
              <w:jc w:val="center"/>
              <w:rPr>
                <w:rFonts w:hint="eastAsia"/>
                <w:kern w:val="0"/>
                <w:sz w:val="24"/>
                <w:szCs w:val="24"/>
              </w:rPr>
            </w:pPr>
            <w:r>
              <w:rPr>
                <w:rFonts w:hint="eastAsia"/>
                <w:kern w:val="0"/>
                <w:sz w:val="24"/>
                <w:szCs w:val="24"/>
              </w:rPr>
              <w:t>数字社区建设：打造智慧社区和智慧服务生活圈，推动公共服务资源整合，提升专业化、市场化服务水平。这有助于提高社区治理水平，提升居民的生活品质。</w:t>
            </w:r>
          </w:p>
          <w:p w14:paraId="67A48606">
            <w:pPr>
              <w:widowControl/>
              <w:spacing w:line="320" w:lineRule="exact"/>
              <w:ind w:firstLine="0" w:firstLineChars="0"/>
              <w:jc w:val="center"/>
              <w:rPr>
                <w:rFonts w:hint="eastAsia"/>
                <w:kern w:val="0"/>
                <w:sz w:val="24"/>
                <w:szCs w:val="24"/>
              </w:rPr>
            </w:pPr>
            <w:r>
              <w:rPr>
                <w:rFonts w:hint="eastAsia"/>
                <w:kern w:val="0"/>
                <w:sz w:val="24"/>
                <w:szCs w:val="24"/>
              </w:rPr>
              <w:t>降低技术难度：对于老旧住宅区，可以采取一些技术手段和方案，降低光纤入户、安防检测设备、烟感报警器安装的技术难度。</w:t>
            </w:r>
          </w:p>
          <w:p w14:paraId="2DB6743D">
            <w:pPr>
              <w:widowControl/>
              <w:spacing w:line="320" w:lineRule="exact"/>
              <w:ind w:firstLine="0" w:firstLineChars="0"/>
              <w:jc w:val="center"/>
              <w:rPr>
                <w:rFonts w:hint="eastAsia"/>
                <w:kern w:val="0"/>
                <w:sz w:val="24"/>
                <w:szCs w:val="24"/>
              </w:rPr>
            </w:pPr>
          </w:p>
        </w:tc>
        <w:tc>
          <w:tcPr>
            <w:tcW w:w="421" w:type="pct"/>
            <w:vMerge w:val="restart"/>
            <w:shd w:val="clear" w:color="auto" w:fill="auto"/>
            <w:noWrap/>
            <w:vAlign w:val="center"/>
          </w:tcPr>
          <w:p w14:paraId="4B961CC1">
            <w:pPr>
              <w:widowControl/>
              <w:spacing w:line="320" w:lineRule="exact"/>
              <w:ind w:firstLine="0" w:firstLineChars="0"/>
              <w:jc w:val="center"/>
              <w:rPr>
                <w:rFonts w:hint="eastAsia"/>
                <w:kern w:val="0"/>
                <w:sz w:val="24"/>
                <w:szCs w:val="24"/>
              </w:rPr>
            </w:pPr>
            <w:r>
              <w:rPr>
                <w:rFonts w:hint="eastAsia"/>
                <w:kern w:val="0"/>
                <w:sz w:val="24"/>
                <w:szCs w:val="24"/>
              </w:rPr>
              <w:t>1499栋楼</w:t>
            </w:r>
          </w:p>
        </w:tc>
        <w:tc>
          <w:tcPr>
            <w:tcW w:w="343" w:type="pct"/>
            <w:vMerge w:val="restart"/>
            <w:shd w:val="clear" w:color="auto" w:fill="auto"/>
            <w:noWrap/>
            <w:vAlign w:val="center"/>
          </w:tcPr>
          <w:p w14:paraId="58D9F4B9">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3C8E4A87">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39CDF768">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2D992CDF">
            <w:pPr>
              <w:widowControl/>
              <w:spacing w:line="320" w:lineRule="exact"/>
              <w:ind w:firstLine="0" w:firstLineChars="0"/>
              <w:jc w:val="center"/>
              <w:rPr>
                <w:rFonts w:hint="eastAsia"/>
                <w:kern w:val="0"/>
                <w:sz w:val="24"/>
                <w:szCs w:val="24"/>
              </w:rPr>
            </w:pPr>
            <w:r>
              <w:rPr>
                <w:rFonts w:hint="eastAsia"/>
                <w:kern w:val="0"/>
                <w:sz w:val="24"/>
                <w:szCs w:val="24"/>
              </w:rPr>
              <w:t>住建局</w:t>
            </w:r>
          </w:p>
          <w:p w14:paraId="685B238D">
            <w:pPr>
              <w:widowControl/>
              <w:spacing w:line="320" w:lineRule="exact"/>
              <w:ind w:firstLine="0" w:firstLineChars="0"/>
              <w:jc w:val="center"/>
              <w:rPr>
                <w:rFonts w:hint="eastAsia"/>
                <w:kern w:val="0"/>
                <w:sz w:val="24"/>
                <w:szCs w:val="24"/>
              </w:rPr>
            </w:pPr>
            <w:r>
              <w:rPr>
                <w:rFonts w:hint="eastAsia"/>
                <w:kern w:val="0"/>
                <w:sz w:val="24"/>
                <w:szCs w:val="24"/>
              </w:rPr>
              <w:t>新源道街道</w:t>
            </w:r>
          </w:p>
          <w:p w14:paraId="0B6FCF70">
            <w:pPr>
              <w:widowControl/>
              <w:spacing w:line="320" w:lineRule="exact"/>
              <w:ind w:firstLine="0" w:firstLineChars="0"/>
              <w:jc w:val="center"/>
              <w:rPr>
                <w:rFonts w:hint="eastAsia"/>
                <w:kern w:val="0"/>
                <w:sz w:val="24"/>
                <w:szCs w:val="24"/>
              </w:rPr>
            </w:pPr>
            <w:r>
              <w:rPr>
                <w:rFonts w:hint="eastAsia"/>
                <w:kern w:val="0"/>
                <w:sz w:val="24"/>
                <w:szCs w:val="24"/>
              </w:rPr>
              <w:t>南尖塔镇</w:t>
            </w:r>
          </w:p>
          <w:p w14:paraId="5B75AECA">
            <w:pPr>
              <w:widowControl/>
              <w:spacing w:line="320" w:lineRule="exact"/>
              <w:ind w:firstLine="0" w:firstLineChars="0"/>
              <w:jc w:val="center"/>
              <w:rPr>
                <w:rFonts w:hint="eastAsia"/>
                <w:kern w:val="0"/>
                <w:sz w:val="24"/>
                <w:szCs w:val="24"/>
              </w:rPr>
            </w:pPr>
            <w:r>
              <w:rPr>
                <w:rFonts w:hint="eastAsia"/>
                <w:kern w:val="0"/>
                <w:sz w:val="24"/>
                <w:szCs w:val="24"/>
              </w:rPr>
              <w:t>爱民东道街道</w:t>
            </w:r>
          </w:p>
          <w:p w14:paraId="4CBF5093">
            <w:pPr>
              <w:widowControl/>
              <w:spacing w:line="320" w:lineRule="exact"/>
              <w:ind w:firstLine="0" w:firstLineChars="0"/>
              <w:jc w:val="center"/>
              <w:rPr>
                <w:rFonts w:hint="eastAsia"/>
                <w:kern w:val="0"/>
                <w:sz w:val="24"/>
                <w:szCs w:val="24"/>
              </w:rPr>
            </w:pPr>
            <w:r>
              <w:rPr>
                <w:rFonts w:hint="eastAsia"/>
                <w:kern w:val="0"/>
                <w:sz w:val="24"/>
                <w:szCs w:val="24"/>
              </w:rPr>
              <w:t>银河北路街道</w:t>
            </w:r>
          </w:p>
          <w:p w14:paraId="62830565">
            <w:pPr>
              <w:widowControl/>
              <w:spacing w:line="320" w:lineRule="exact"/>
              <w:ind w:firstLine="0" w:firstLineChars="0"/>
              <w:jc w:val="center"/>
              <w:rPr>
                <w:rFonts w:hint="eastAsia"/>
                <w:kern w:val="0"/>
                <w:sz w:val="24"/>
                <w:szCs w:val="24"/>
              </w:rPr>
            </w:pPr>
            <w:r>
              <w:rPr>
                <w:rFonts w:hint="eastAsia"/>
                <w:kern w:val="0"/>
                <w:sz w:val="24"/>
                <w:szCs w:val="24"/>
              </w:rPr>
              <w:t>解放道街道</w:t>
            </w:r>
          </w:p>
          <w:p w14:paraId="5772E668">
            <w:pPr>
              <w:widowControl/>
              <w:spacing w:line="320" w:lineRule="exact"/>
              <w:ind w:firstLine="0" w:firstLineChars="0"/>
              <w:jc w:val="center"/>
              <w:rPr>
                <w:rFonts w:hint="eastAsia"/>
                <w:kern w:val="0"/>
                <w:sz w:val="24"/>
                <w:szCs w:val="24"/>
              </w:rPr>
            </w:pPr>
            <w:r>
              <w:rPr>
                <w:rFonts w:hint="eastAsia"/>
                <w:kern w:val="0"/>
                <w:sz w:val="24"/>
                <w:szCs w:val="24"/>
              </w:rPr>
              <w:t>新开路街道</w:t>
            </w:r>
          </w:p>
          <w:p w14:paraId="6DFE0124">
            <w:pPr>
              <w:widowControl/>
              <w:spacing w:line="320" w:lineRule="exact"/>
              <w:ind w:firstLine="0" w:firstLineChars="0"/>
              <w:jc w:val="center"/>
              <w:rPr>
                <w:rFonts w:hint="eastAsia"/>
                <w:kern w:val="0"/>
                <w:sz w:val="24"/>
                <w:szCs w:val="24"/>
              </w:rPr>
            </w:pPr>
            <w:r>
              <w:rPr>
                <w:rFonts w:hint="eastAsia"/>
                <w:kern w:val="0"/>
                <w:sz w:val="24"/>
                <w:szCs w:val="24"/>
              </w:rPr>
              <w:t>北旺镇</w:t>
            </w:r>
          </w:p>
          <w:p w14:paraId="447EA85B">
            <w:pPr>
              <w:widowControl/>
              <w:spacing w:line="320" w:lineRule="exact"/>
              <w:ind w:firstLine="0" w:firstLineChars="0"/>
              <w:jc w:val="center"/>
              <w:rPr>
                <w:rFonts w:hint="eastAsia"/>
                <w:kern w:val="0"/>
                <w:sz w:val="24"/>
                <w:szCs w:val="24"/>
              </w:rPr>
            </w:pPr>
            <w:r>
              <w:rPr>
                <w:rFonts w:hint="eastAsia"/>
                <w:kern w:val="0"/>
                <w:sz w:val="24"/>
                <w:szCs w:val="24"/>
              </w:rPr>
              <w:t>光明西路街道</w:t>
            </w:r>
          </w:p>
          <w:p w14:paraId="4A0D82A6">
            <w:pPr>
              <w:widowControl/>
              <w:spacing w:line="320" w:lineRule="exact"/>
              <w:ind w:firstLine="0" w:firstLineChars="0"/>
              <w:jc w:val="center"/>
              <w:rPr>
                <w:rFonts w:hint="eastAsia"/>
                <w:kern w:val="0"/>
                <w:sz w:val="24"/>
                <w:szCs w:val="24"/>
              </w:rPr>
            </w:pPr>
            <w:r>
              <w:rPr>
                <w:rFonts w:hint="eastAsia"/>
                <w:kern w:val="0"/>
                <w:sz w:val="24"/>
                <w:szCs w:val="24"/>
              </w:rPr>
              <w:t>永华道街道</w:t>
            </w:r>
          </w:p>
          <w:p w14:paraId="035A011C">
            <w:pPr>
              <w:widowControl/>
              <w:spacing w:line="320" w:lineRule="exact"/>
              <w:ind w:firstLine="0" w:firstLineChars="0"/>
              <w:jc w:val="center"/>
              <w:rPr>
                <w:rFonts w:hint="eastAsia"/>
                <w:kern w:val="0"/>
                <w:sz w:val="24"/>
                <w:szCs w:val="24"/>
              </w:rPr>
            </w:pPr>
            <w:r>
              <w:rPr>
                <w:rFonts w:hint="eastAsia"/>
                <w:kern w:val="0"/>
                <w:sz w:val="24"/>
                <w:szCs w:val="24"/>
              </w:rPr>
              <w:t>银河南路街道</w:t>
            </w:r>
          </w:p>
          <w:p w14:paraId="2EE94ABE">
            <w:pPr>
              <w:widowControl/>
              <w:spacing w:line="320" w:lineRule="exact"/>
              <w:ind w:firstLine="0" w:firstLineChars="0"/>
              <w:jc w:val="center"/>
              <w:rPr>
                <w:rFonts w:hint="eastAsia"/>
                <w:kern w:val="0"/>
                <w:sz w:val="24"/>
                <w:szCs w:val="24"/>
              </w:rPr>
            </w:pPr>
            <w:r>
              <w:rPr>
                <w:rFonts w:hint="eastAsia"/>
                <w:kern w:val="0"/>
                <w:sz w:val="24"/>
                <w:szCs w:val="24"/>
              </w:rPr>
              <w:t>龙河高新区</w:t>
            </w:r>
          </w:p>
          <w:p w14:paraId="46E51E02">
            <w:pPr>
              <w:widowControl/>
              <w:spacing w:line="320" w:lineRule="exact"/>
              <w:ind w:firstLine="0" w:firstLineChars="0"/>
              <w:jc w:val="center"/>
              <w:rPr>
                <w:rFonts w:hint="eastAsia"/>
                <w:kern w:val="0"/>
                <w:sz w:val="24"/>
                <w:szCs w:val="24"/>
              </w:rPr>
            </w:pPr>
            <w:r>
              <w:rPr>
                <w:rFonts w:hint="eastAsia"/>
                <w:kern w:val="0"/>
                <w:sz w:val="24"/>
                <w:szCs w:val="24"/>
              </w:rPr>
              <w:t>杨税务镇</w:t>
            </w:r>
          </w:p>
          <w:p w14:paraId="5EBD1B66">
            <w:pPr>
              <w:widowControl/>
              <w:spacing w:line="320" w:lineRule="exact"/>
              <w:ind w:firstLine="0" w:firstLineChars="0"/>
              <w:jc w:val="center"/>
              <w:rPr>
                <w:rFonts w:hint="eastAsia"/>
                <w:kern w:val="0"/>
                <w:sz w:val="24"/>
                <w:szCs w:val="24"/>
              </w:rPr>
            </w:pPr>
            <w:r>
              <w:rPr>
                <w:rFonts w:hint="eastAsia"/>
                <w:kern w:val="0"/>
                <w:sz w:val="24"/>
                <w:szCs w:val="24"/>
              </w:rPr>
              <w:t>开发区</w:t>
            </w:r>
          </w:p>
        </w:tc>
      </w:tr>
      <w:tr w14:paraId="19E9E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4A2F5E13">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1638CA95">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BC07B24">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4240D2B8">
            <w:pPr>
              <w:widowControl/>
              <w:spacing w:line="320" w:lineRule="exact"/>
              <w:ind w:firstLine="0" w:firstLineChars="0"/>
              <w:jc w:val="center"/>
              <w:rPr>
                <w:rFonts w:hint="eastAsia"/>
                <w:kern w:val="0"/>
                <w:sz w:val="24"/>
                <w:szCs w:val="24"/>
              </w:rPr>
            </w:pPr>
            <w:r>
              <w:rPr>
                <w:rFonts w:hint="eastAsia"/>
                <w:kern w:val="0"/>
                <w:sz w:val="24"/>
                <w:szCs w:val="24"/>
              </w:rPr>
              <w:t>住宅公共空间未安装楼宇入侵报警、视频监控等安防检测设备</w:t>
            </w:r>
          </w:p>
        </w:tc>
        <w:tc>
          <w:tcPr>
            <w:tcW w:w="1536" w:type="pct"/>
            <w:vMerge w:val="continue"/>
            <w:shd w:val="clear" w:color="auto" w:fill="auto"/>
            <w:noWrap/>
            <w:vAlign w:val="center"/>
          </w:tcPr>
          <w:p w14:paraId="4BE0B0FD">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05F2B314">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4ACCBF96">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2BDEB59C">
            <w:pPr>
              <w:widowControl/>
              <w:spacing w:line="320" w:lineRule="exact"/>
              <w:ind w:firstLine="0" w:firstLineChars="0"/>
              <w:jc w:val="center"/>
              <w:rPr>
                <w:rFonts w:hint="eastAsia"/>
                <w:kern w:val="0"/>
                <w:sz w:val="24"/>
                <w:szCs w:val="24"/>
              </w:rPr>
            </w:pPr>
          </w:p>
        </w:tc>
      </w:tr>
      <w:tr w14:paraId="53791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3E23BC21">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7BF50398">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0197D49C">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38C417D9">
            <w:pPr>
              <w:widowControl/>
              <w:spacing w:line="320" w:lineRule="exact"/>
              <w:ind w:firstLine="0" w:firstLineChars="0"/>
              <w:jc w:val="center"/>
              <w:rPr>
                <w:rFonts w:hint="eastAsia"/>
                <w:kern w:val="0"/>
                <w:sz w:val="24"/>
                <w:szCs w:val="24"/>
              </w:rPr>
            </w:pPr>
            <w:r>
              <w:rPr>
                <w:rFonts w:hint="eastAsia"/>
                <w:kern w:val="0"/>
                <w:sz w:val="24"/>
                <w:szCs w:val="24"/>
              </w:rPr>
              <w:t>高层住宅的楼梯间、走道、候梯厅、门厅等公共部位未安装烟感报警器</w:t>
            </w:r>
          </w:p>
        </w:tc>
        <w:tc>
          <w:tcPr>
            <w:tcW w:w="1536" w:type="pct"/>
            <w:vMerge w:val="continue"/>
            <w:shd w:val="clear" w:color="auto" w:fill="auto"/>
            <w:noWrap/>
            <w:vAlign w:val="center"/>
          </w:tcPr>
          <w:p w14:paraId="55D3BBFE">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36DFF49D">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48B7EFBF">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53753B84">
            <w:pPr>
              <w:widowControl/>
              <w:spacing w:line="320" w:lineRule="exact"/>
              <w:ind w:firstLine="0" w:firstLineChars="0"/>
              <w:jc w:val="center"/>
              <w:rPr>
                <w:rFonts w:hint="eastAsia"/>
                <w:kern w:val="0"/>
                <w:sz w:val="24"/>
                <w:szCs w:val="24"/>
              </w:rPr>
            </w:pPr>
          </w:p>
        </w:tc>
      </w:tr>
      <w:tr w14:paraId="01D01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6823FACB">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47592B84">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42E744C3">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3D45D690">
            <w:pPr>
              <w:widowControl/>
              <w:spacing w:line="320" w:lineRule="exact"/>
              <w:ind w:firstLine="0" w:firstLineChars="0"/>
              <w:jc w:val="center"/>
              <w:rPr>
                <w:rFonts w:hint="eastAsia"/>
                <w:kern w:val="0"/>
                <w:sz w:val="24"/>
                <w:szCs w:val="24"/>
              </w:rPr>
            </w:pPr>
            <w:r>
              <w:rPr>
                <w:rFonts w:hint="eastAsia"/>
                <w:kern w:val="0"/>
                <w:sz w:val="24"/>
                <w:szCs w:val="24"/>
              </w:rPr>
              <w:t>未安装家庭健康紧急呼叫系统，无法保障有需要的居家老年人、残疾人安装一键紧急呼叫、安全监护无感化监测等智能产品</w:t>
            </w:r>
          </w:p>
        </w:tc>
        <w:tc>
          <w:tcPr>
            <w:tcW w:w="1536" w:type="pct"/>
            <w:vMerge w:val="continue"/>
            <w:shd w:val="clear" w:color="auto" w:fill="auto"/>
            <w:noWrap/>
            <w:vAlign w:val="center"/>
          </w:tcPr>
          <w:p w14:paraId="3B453777">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696DB24F">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305E77FD">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332DDEFB">
            <w:pPr>
              <w:widowControl/>
              <w:spacing w:line="320" w:lineRule="exact"/>
              <w:ind w:firstLine="0" w:firstLineChars="0"/>
              <w:jc w:val="center"/>
              <w:rPr>
                <w:rFonts w:hint="eastAsia"/>
                <w:kern w:val="0"/>
                <w:sz w:val="24"/>
                <w:szCs w:val="24"/>
              </w:rPr>
            </w:pPr>
          </w:p>
        </w:tc>
      </w:tr>
      <w:tr w14:paraId="71DAC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26A5EFFC">
            <w:pPr>
              <w:widowControl/>
              <w:spacing w:line="320" w:lineRule="exact"/>
              <w:ind w:firstLine="0" w:firstLineChars="0"/>
              <w:jc w:val="center"/>
              <w:rPr>
                <w:rFonts w:hint="eastAsia"/>
                <w:kern w:val="0"/>
                <w:sz w:val="24"/>
                <w:szCs w:val="24"/>
              </w:rPr>
            </w:pPr>
            <w:r>
              <w:rPr>
                <w:rFonts w:hint="eastAsia"/>
                <w:kern w:val="0"/>
                <w:sz w:val="24"/>
                <w:szCs w:val="24"/>
              </w:rPr>
              <w:t>7</w:t>
            </w:r>
          </w:p>
        </w:tc>
        <w:tc>
          <w:tcPr>
            <w:tcW w:w="461" w:type="pct"/>
            <w:vMerge w:val="restart"/>
            <w:shd w:val="clear" w:color="auto" w:fill="auto"/>
            <w:noWrap/>
            <w:vAlign w:val="center"/>
          </w:tcPr>
          <w:p w14:paraId="46F45F61">
            <w:pPr>
              <w:widowControl/>
              <w:spacing w:line="320" w:lineRule="exact"/>
              <w:ind w:firstLine="0" w:firstLineChars="0"/>
              <w:jc w:val="center"/>
              <w:rPr>
                <w:rFonts w:hint="eastAsia"/>
                <w:kern w:val="0"/>
                <w:sz w:val="24"/>
                <w:szCs w:val="24"/>
              </w:rPr>
            </w:pPr>
            <w:r>
              <w:rPr>
                <w:rFonts w:hint="eastAsia"/>
                <w:kern w:val="0"/>
                <w:sz w:val="24"/>
                <w:szCs w:val="24"/>
              </w:rPr>
              <w:t>存在结构安全隐患的住宅数量</w:t>
            </w:r>
          </w:p>
        </w:tc>
        <w:tc>
          <w:tcPr>
            <w:tcW w:w="214" w:type="pct"/>
            <w:vMerge w:val="restart"/>
            <w:shd w:val="clear" w:color="auto" w:fill="auto"/>
            <w:noWrap/>
            <w:vAlign w:val="center"/>
          </w:tcPr>
          <w:p w14:paraId="27FBEC00">
            <w:pPr>
              <w:widowControl/>
              <w:spacing w:line="320" w:lineRule="exact"/>
              <w:ind w:firstLine="0" w:firstLineChars="0"/>
              <w:jc w:val="center"/>
              <w:rPr>
                <w:rFonts w:hint="eastAsia"/>
                <w:kern w:val="0"/>
                <w:sz w:val="24"/>
                <w:szCs w:val="24"/>
              </w:rPr>
            </w:pPr>
            <w:r>
              <w:rPr>
                <w:rFonts w:hint="eastAsia"/>
                <w:kern w:val="0"/>
                <w:sz w:val="24"/>
                <w:szCs w:val="24"/>
              </w:rPr>
              <w:t>140</w:t>
            </w:r>
          </w:p>
        </w:tc>
        <w:tc>
          <w:tcPr>
            <w:tcW w:w="1242" w:type="pct"/>
            <w:shd w:val="clear" w:color="auto" w:fill="auto"/>
            <w:noWrap/>
            <w:vAlign w:val="center"/>
          </w:tcPr>
          <w:p w14:paraId="069974B9">
            <w:pPr>
              <w:widowControl/>
              <w:spacing w:line="320" w:lineRule="exact"/>
              <w:ind w:firstLine="0" w:firstLineChars="0"/>
              <w:jc w:val="center"/>
              <w:rPr>
                <w:rFonts w:hint="eastAsia"/>
                <w:kern w:val="0"/>
                <w:sz w:val="24"/>
                <w:szCs w:val="24"/>
              </w:rPr>
            </w:pPr>
            <w:r>
              <w:rPr>
                <w:rFonts w:hint="eastAsia"/>
                <w:kern w:val="0"/>
                <w:sz w:val="24"/>
                <w:szCs w:val="24"/>
              </w:rPr>
              <w:t>混凝土结构构件存在裂缝</w:t>
            </w:r>
          </w:p>
        </w:tc>
        <w:tc>
          <w:tcPr>
            <w:tcW w:w="1536" w:type="pct"/>
            <w:vMerge w:val="restart"/>
            <w:shd w:val="clear" w:color="auto" w:fill="auto"/>
            <w:noWrap/>
            <w:vAlign w:val="center"/>
          </w:tcPr>
          <w:p w14:paraId="481FA3F0">
            <w:pPr>
              <w:widowControl/>
              <w:spacing w:line="320" w:lineRule="exact"/>
              <w:ind w:firstLine="0" w:firstLineChars="0"/>
              <w:jc w:val="center"/>
              <w:rPr>
                <w:rFonts w:hint="eastAsia"/>
                <w:kern w:val="0"/>
                <w:sz w:val="24"/>
                <w:szCs w:val="24"/>
              </w:rPr>
            </w:pPr>
            <w:r>
              <w:rPr>
                <w:rFonts w:hint="eastAsia"/>
                <w:kern w:val="0"/>
                <w:sz w:val="24"/>
                <w:szCs w:val="24"/>
              </w:rPr>
              <w:t>按照结构安全问题的严重程度分级治理：针对存在非常严重的结构安全隐患的住房，政府应立即依法采取除险措施；对于存在严重结构安全隐患但暂时没有结构倒場风险的住房，应加快完成拆除、加固维修等工程措施整治。对于存在一般结构安全隐患的住房，应加快完成加工维修、修缮等整治措施。</w:t>
            </w:r>
          </w:p>
        </w:tc>
        <w:tc>
          <w:tcPr>
            <w:tcW w:w="421" w:type="pct"/>
            <w:vMerge w:val="restart"/>
            <w:shd w:val="clear" w:color="auto" w:fill="auto"/>
            <w:noWrap/>
            <w:vAlign w:val="center"/>
          </w:tcPr>
          <w:p w14:paraId="00E11A03">
            <w:pPr>
              <w:widowControl/>
              <w:spacing w:line="320" w:lineRule="exact"/>
              <w:ind w:firstLine="0" w:firstLineChars="0"/>
              <w:jc w:val="center"/>
              <w:rPr>
                <w:rFonts w:hint="eastAsia"/>
                <w:kern w:val="0"/>
                <w:sz w:val="24"/>
                <w:szCs w:val="24"/>
              </w:rPr>
            </w:pPr>
            <w:r>
              <w:rPr>
                <w:rFonts w:hint="eastAsia"/>
                <w:kern w:val="0"/>
                <w:sz w:val="24"/>
                <w:szCs w:val="24"/>
              </w:rPr>
              <w:t>140栋楼</w:t>
            </w:r>
          </w:p>
        </w:tc>
        <w:tc>
          <w:tcPr>
            <w:tcW w:w="343" w:type="pct"/>
            <w:vMerge w:val="restart"/>
            <w:shd w:val="clear" w:color="auto" w:fill="auto"/>
            <w:noWrap/>
            <w:vAlign w:val="center"/>
          </w:tcPr>
          <w:p w14:paraId="56AFA72D">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2BAD4B22">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322817DE">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4728622F">
            <w:pPr>
              <w:widowControl/>
              <w:spacing w:line="320" w:lineRule="exact"/>
              <w:ind w:firstLine="0" w:firstLineChars="0"/>
              <w:jc w:val="center"/>
              <w:rPr>
                <w:rFonts w:hint="eastAsia"/>
                <w:kern w:val="0"/>
                <w:sz w:val="24"/>
                <w:szCs w:val="24"/>
              </w:rPr>
            </w:pPr>
            <w:r>
              <w:rPr>
                <w:rFonts w:hint="eastAsia"/>
                <w:kern w:val="0"/>
                <w:sz w:val="24"/>
                <w:szCs w:val="24"/>
              </w:rPr>
              <w:t>住建局</w:t>
            </w:r>
          </w:p>
          <w:p w14:paraId="734B8A4D">
            <w:pPr>
              <w:widowControl/>
              <w:spacing w:line="320" w:lineRule="exact"/>
              <w:ind w:firstLine="0" w:firstLineChars="0"/>
              <w:jc w:val="center"/>
              <w:rPr>
                <w:rFonts w:hint="eastAsia"/>
                <w:kern w:val="0"/>
                <w:sz w:val="24"/>
                <w:szCs w:val="24"/>
              </w:rPr>
            </w:pPr>
            <w:r>
              <w:rPr>
                <w:rFonts w:hint="eastAsia"/>
                <w:kern w:val="0"/>
                <w:sz w:val="24"/>
                <w:szCs w:val="24"/>
              </w:rPr>
              <w:t>新源道街道</w:t>
            </w:r>
          </w:p>
          <w:p w14:paraId="34059506">
            <w:pPr>
              <w:widowControl/>
              <w:spacing w:line="320" w:lineRule="exact"/>
              <w:ind w:firstLine="0" w:firstLineChars="0"/>
              <w:jc w:val="center"/>
              <w:rPr>
                <w:rFonts w:hint="eastAsia"/>
                <w:kern w:val="0"/>
                <w:sz w:val="24"/>
                <w:szCs w:val="24"/>
              </w:rPr>
            </w:pPr>
            <w:r>
              <w:rPr>
                <w:rFonts w:hint="eastAsia"/>
                <w:kern w:val="0"/>
                <w:sz w:val="24"/>
                <w:szCs w:val="24"/>
              </w:rPr>
              <w:t>南尖塔镇</w:t>
            </w:r>
          </w:p>
          <w:p w14:paraId="5532D421">
            <w:pPr>
              <w:widowControl/>
              <w:spacing w:line="320" w:lineRule="exact"/>
              <w:ind w:firstLine="0" w:firstLineChars="0"/>
              <w:jc w:val="center"/>
              <w:rPr>
                <w:rFonts w:hint="eastAsia"/>
                <w:kern w:val="0"/>
                <w:sz w:val="24"/>
                <w:szCs w:val="24"/>
              </w:rPr>
            </w:pPr>
            <w:r>
              <w:rPr>
                <w:rFonts w:hint="eastAsia"/>
                <w:kern w:val="0"/>
                <w:sz w:val="24"/>
                <w:szCs w:val="24"/>
              </w:rPr>
              <w:t>爱民东道街道</w:t>
            </w:r>
          </w:p>
          <w:p w14:paraId="1A00E4BC">
            <w:pPr>
              <w:widowControl/>
              <w:spacing w:line="320" w:lineRule="exact"/>
              <w:ind w:firstLine="0" w:firstLineChars="0"/>
              <w:jc w:val="center"/>
              <w:rPr>
                <w:rFonts w:hint="eastAsia"/>
                <w:kern w:val="0"/>
                <w:sz w:val="24"/>
                <w:szCs w:val="24"/>
              </w:rPr>
            </w:pPr>
            <w:r>
              <w:rPr>
                <w:rFonts w:hint="eastAsia"/>
                <w:kern w:val="0"/>
                <w:sz w:val="24"/>
                <w:szCs w:val="24"/>
              </w:rPr>
              <w:t>银河北路街道</w:t>
            </w:r>
          </w:p>
          <w:p w14:paraId="2F53C59B">
            <w:pPr>
              <w:widowControl/>
              <w:spacing w:line="320" w:lineRule="exact"/>
              <w:ind w:firstLine="0" w:firstLineChars="0"/>
              <w:jc w:val="center"/>
              <w:rPr>
                <w:rFonts w:hint="eastAsia"/>
                <w:kern w:val="0"/>
                <w:sz w:val="24"/>
                <w:szCs w:val="24"/>
              </w:rPr>
            </w:pPr>
            <w:r>
              <w:rPr>
                <w:rFonts w:hint="eastAsia"/>
                <w:kern w:val="0"/>
                <w:sz w:val="24"/>
                <w:szCs w:val="24"/>
              </w:rPr>
              <w:t>解放道街道</w:t>
            </w:r>
          </w:p>
          <w:p w14:paraId="3BD0A5D3">
            <w:pPr>
              <w:widowControl/>
              <w:spacing w:line="320" w:lineRule="exact"/>
              <w:ind w:firstLine="0" w:firstLineChars="0"/>
              <w:jc w:val="center"/>
              <w:rPr>
                <w:rFonts w:hint="eastAsia"/>
                <w:kern w:val="0"/>
                <w:sz w:val="24"/>
                <w:szCs w:val="24"/>
              </w:rPr>
            </w:pPr>
            <w:r>
              <w:rPr>
                <w:rFonts w:hint="eastAsia"/>
                <w:kern w:val="0"/>
                <w:sz w:val="24"/>
                <w:szCs w:val="24"/>
              </w:rPr>
              <w:t>新开路街道</w:t>
            </w:r>
          </w:p>
          <w:p w14:paraId="4E765350">
            <w:pPr>
              <w:widowControl/>
              <w:spacing w:line="320" w:lineRule="exact"/>
              <w:ind w:firstLine="0" w:firstLineChars="0"/>
              <w:jc w:val="center"/>
              <w:rPr>
                <w:rFonts w:hint="eastAsia"/>
                <w:kern w:val="0"/>
                <w:sz w:val="24"/>
                <w:szCs w:val="24"/>
              </w:rPr>
            </w:pPr>
            <w:r>
              <w:rPr>
                <w:rFonts w:hint="eastAsia"/>
                <w:kern w:val="0"/>
                <w:sz w:val="24"/>
                <w:szCs w:val="24"/>
              </w:rPr>
              <w:t>光明西路街道</w:t>
            </w:r>
          </w:p>
          <w:p w14:paraId="2C66FEBA">
            <w:pPr>
              <w:widowControl/>
              <w:spacing w:line="320" w:lineRule="exact"/>
              <w:ind w:firstLine="0" w:firstLineChars="0"/>
              <w:jc w:val="center"/>
              <w:rPr>
                <w:rFonts w:hint="eastAsia"/>
                <w:kern w:val="0"/>
                <w:sz w:val="24"/>
                <w:szCs w:val="24"/>
              </w:rPr>
            </w:pPr>
            <w:r>
              <w:rPr>
                <w:rFonts w:hint="eastAsia"/>
                <w:kern w:val="0"/>
                <w:sz w:val="24"/>
                <w:szCs w:val="24"/>
              </w:rPr>
              <w:t>银河南路街道</w:t>
            </w:r>
          </w:p>
          <w:p w14:paraId="0646F72C">
            <w:pPr>
              <w:widowControl/>
              <w:spacing w:line="320" w:lineRule="exact"/>
              <w:ind w:firstLine="0" w:firstLineChars="0"/>
              <w:jc w:val="center"/>
              <w:rPr>
                <w:rFonts w:hint="eastAsia"/>
                <w:kern w:val="0"/>
                <w:sz w:val="24"/>
                <w:szCs w:val="24"/>
              </w:rPr>
            </w:pPr>
            <w:r>
              <w:rPr>
                <w:rFonts w:hint="eastAsia"/>
                <w:kern w:val="0"/>
                <w:sz w:val="24"/>
                <w:szCs w:val="24"/>
              </w:rPr>
              <w:t>龙河高新区</w:t>
            </w:r>
          </w:p>
          <w:p w14:paraId="6B84FF0A">
            <w:pPr>
              <w:widowControl/>
              <w:spacing w:line="320" w:lineRule="exact"/>
              <w:ind w:firstLine="0" w:firstLineChars="0"/>
              <w:jc w:val="center"/>
              <w:rPr>
                <w:rFonts w:hint="eastAsia"/>
                <w:kern w:val="0"/>
                <w:sz w:val="24"/>
                <w:szCs w:val="24"/>
              </w:rPr>
            </w:pPr>
            <w:r>
              <w:rPr>
                <w:rFonts w:hint="eastAsia"/>
                <w:kern w:val="0"/>
                <w:sz w:val="24"/>
                <w:szCs w:val="24"/>
              </w:rPr>
              <w:t>杨税务镇</w:t>
            </w:r>
          </w:p>
          <w:p w14:paraId="68391B57">
            <w:pPr>
              <w:widowControl/>
              <w:spacing w:line="320" w:lineRule="exact"/>
              <w:ind w:firstLine="0" w:firstLineChars="0"/>
              <w:jc w:val="center"/>
              <w:rPr>
                <w:rFonts w:hint="eastAsia"/>
                <w:kern w:val="0"/>
                <w:sz w:val="24"/>
                <w:szCs w:val="24"/>
              </w:rPr>
            </w:pPr>
            <w:r>
              <w:rPr>
                <w:rFonts w:hint="eastAsia"/>
                <w:kern w:val="0"/>
                <w:sz w:val="24"/>
                <w:szCs w:val="24"/>
              </w:rPr>
              <w:t>开发区</w:t>
            </w:r>
          </w:p>
        </w:tc>
      </w:tr>
      <w:tr w14:paraId="76C8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719467B3">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655B2F8B">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763BC886">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6E88C57F">
            <w:pPr>
              <w:widowControl/>
              <w:spacing w:line="320" w:lineRule="exact"/>
              <w:ind w:firstLine="0" w:firstLineChars="0"/>
              <w:jc w:val="center"/>
              <w:rPr>
                <w:rFonts w:hint="eastAsia"/>
                <w:kern w:val="0"/>
                <w:sz w:val="24"/>
                <w:szCs w:val="24"/>
              </w:rPr>
            </w:pPr>
            <w:r>
              <w:rPr>
                <w:rFonts w:hint="eastAsia"/>
                <w:kern w:val="0"/>
                <w:sz w:val="24"/>
                <w:szCs w:val="24"/>
              </w:rPr>
              <w:t>违规拆除结构承重构件</w:t>
            </w:r>
          </w:p>
        </w:tc>
        <w:tc>
          <w:tcPr>
            <w:tcW w:w="1536" w:type="pct"/>
            <w:vMerge w:val="continue"/>
            <w:shd w:val="clear" w:color="auto" w:fill="auto"/>
            <w:noWrap/>
            <w:vAlign w:val="center"/>
          </w:tcPr>
          <w:p w14:paraId="100D8D0E">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72E9058F">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708736FB">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0E553B17">
            <w:pPr>
              <w:widowControl/>
              <w:spacing w:line="320" w:lineRule="exact"/>
              <w:ind w:firstLine="0" w:firstLineChars="0"/>
              <w:jc w:val="center"/>
              <w:rPr>
                <w:rFonts w:hint="eastAsia"/>
                <w:kern w:val="0"/>
                <w:sz w:val="24"/>
                <w:szCs w:val="24"/>
              </w:rPr>
            </w:pPr>
          </w:p>
        </w:tc>
      </w:tr>
      <w:tr w14:paraId="4220F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085E7CEB">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2BEAE5C4">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6D7D51FD">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BBF432E">
            <w:pPr>
              <w:widowControl/>
              <w:spacing w:line="320" w:lineRule="exact"/>
              <w:ind w:firstLine="0" w:firstLineChars="0"/>
              <w:jc w:val="center"/>
              <w:rPr>
                <w:rFonts w:hint="eastAsia"/>
                <w:kern w:val="0"/>
                <w:sz w:val="24"/>
                <w:szCs w:val="24"/>
              </w:rPr>
            </w:pPr>
            <w:r>
              <w:rPr>
                <w:rFonts w:hint="eastAsia"/>
                <w:kern w:val="0"/>
                <w:sz w:val="24"/>
                <w:szCs w:val="24"/>
              </w:rPr>
              <w:t>砖混结构主体出现砖体缺棱掉角、表面存在裂缝</w:t>
            </w:r>
          </w:p>
        </w:tc>
        <w:tc>
          <w:tcPr>
            <w:tcW w:w="1536" w:type="pct"/>
            <w:vMerge w:val="continue"/>
            <w:shd w:val="clear" w:color="auto" w:fill="auto"/>
            <w:noWrap/>
            <w:vAlign w:val="center"/>
          </w:tcPr>
          <w:p w14:paraId="738127AE">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3CDC34AC">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66DD8B11">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5C2CEA2F">
            <w:pPr>
              <w:widowControl/>
              <w:spacing w:line="320" w:lineRule="exact"/>
              <w:ind w:firstLine="0" w:firstLineChars="0"/>
              <w:jc w:val="center"/>
              <w:rPr>
                <w:rFonts w:hint="eastAsia"/>
                <w:kern w:val="0"/>
                <w:sz w:val="24"/>
                <w:szCs w:val="24"/>
              </w:rPr>
            </w:pPr>
          </w:p>
        </w:tc>
      </w:tr>
      <w:tr w14:paraId="1DED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051EDB79">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0BD672AC">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3CF9EF6D">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5B62F240">
            <w:pPr>
              <w:widowControl/>
              <w:spacing w:line="320" w:lineRule="exact"/>
              <w:ind w:firstLine="0" w:firstLineChars="0"/>
              <w:jc w:val="center"/>
              <w:rPr>
                <w:rFonts w:hint="eastAsia"/>
                <w:kern w:val="0"/>
                <w:sz w:val="24"/>
                <w:szCs w:val="24"/>
              </w:rPr>
            </w:pPr>
            <w:r>
              <w:rPr>
                <w:rFonts w:hint="eastAsia"/>
                <w:kern w:val="0"/>
                <w:sz w:val="24"/>
                <w:szCs w:val="24"/>
              </w:rPr>
              <w:t>砂浆饱满度差，呈粉末状，砖与砂浆之间存在较大缝隙</w:t>
            </w:r>
          </w:p>
        </w:tc>
        <w:tc>
          <w:tcPr>
            <w:tcW w:w="1536" w:type="pct"/>
            <w:vMerge w:val="continue"/>
            <w:shd w:val="clear" w:color="auto" w:fill="auto"/>
            <w:noWrap/>
            <w:vAlign w:val="center"/>
          </w:tcPr>
          <w:p w14:paraId="7DF4704A">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2584CE6E">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72F01C10">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0071844F">
            <w:pPr>
              <w:widowControl/>
              <w:spacing w:line="320" w:lineRule="exact"/>
              <w:ind w:firstLine="0" w:firstLineChars="0"/>
              <w:jc w:val="center"/>
              <w:rPr>
                <w:rFonts w:hint="eastAsia"/>
                <w:kern w:val="0"/>
                <w:sz w:val="24"/>
                <w:szCs w:val="24"/>
              </w:rPr>
            </w:pPr>
          </w:p>
        </w:tc>
      </w:tr>
      <w:tr w14:paraId="4F345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38737406">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4036EC13">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160B67A0">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4E932CFB">
            <w:pPr>
              <w:widowControl/>
              <w:spacing w:line="320" w:lineRule="exact"/>
              <w:ind w:firstLine="0" w:firstLineChars="0"/>
              <w:jc w:val="center"/>
              <w:rPr>
                <w:rFonts w:hint="eastAsia"/>
                <w:kern w:val="0"/>
                <w:sz w:val="24"/>
                <w:szCs w:val="24"/>
              </w:rPr>
            </w:pPr>
            <w:r>
              <w:rPr>
                <w:rFonts w:hint="eastAsia"/>
                <w:kern w:val="0"/>
                <w:sz w:val="24"/>
                <w:szCs w:val="24"/>
              </w:rPr>
              <w:t>违规拆除外窗窗下墙体加建阳台</w:t>
            </w:r>
          </w:p>
        </w:tc>
        <w:tc>
          <w:tcPr>
            <w:tcW w:w="1536" w:type="pct"/>
            <w:vMerge w:val="continue"/>
            <w:shd w:val="clear" w:color="auto" w:fill="auto"/>
            <w:noWrap/>
            <w:vAlign w:val="center"/>
          </w:tcPr>
          <w:p w14:paraId="7F317A70">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2833120D">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4A483DD6">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50790EA9">
            <w:pPr>
              <w:widowControl/>
              <w:spacing w:line="320" w:lineRule="exact"/>
              <w:ind w:firstLine="0" w:firstLineChars="0"/>
              <w:jc w:val="center"/>
              <w:rPr>
                <w:rFonts w:hint="eastAsia"/>
                <w:kern w:val="0"/>
                <w:sz w:val="24"/>
                <w:szCs w:val="24"/>
              </w:rPr>
            </w:pPr>
          </w:p>
        </w:tc>
      </w:tr>
      <w:tr w14:paraId="6F75B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25880980">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6EE14A7D">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53F39931">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4348C956">
            <w:pPr>
              <w:widowControl/>
              <w:spacing w:line="320" w:lineRule="exact"/>
              <w:ind w:firstLine="0" w:firstLineChars="0"/>
              <w:jc w:val="center"/>
              <w:rPr>
                <w:rFonts w:hint="eastAsia"/>
                <w:kern w:val="0"/>
                <w:sz w:val="24"/>
                <w:szCs w:val="24"/>
              </w:rPr>
            </w:pPr>
            <w:r>
              <w:rPr>
                <w:rFonts w:hint="eastAsia"/>
                <w:kern w:val="0"/>
                <w:sz w:val="24"/>
                <w:szCs w:val="24"/>
              </w:rPr>
              <w:t>违规加建悬挑飘窗问题</w:t>
            </w:r>
          </w:p>
        </w:tc>
        <w:tc>
          <w:tcPr>
            <w:tcW w:w="1536" w:type="pct"/>
            <w:vMerge w:val="continue"/>
            <w:shd w:val="clear" w:color="auto" w:fill="auto"/>
            <w:noWrap/>
            <w:vAlign w:val="center"/>
          </w:tcPr>
          <w:p w14:paraId="5A60CE98">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4EE27BB4">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61B0841A">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4BC8BFDF">
            <w:pPr>
              <w:widowControl/>
              <w:spacing w:line="320" w:lineRule="exact"/>
              <w:ind w:firstLine="0" w:firstLineChars="0"/>
              <w:jc w:val="center"/>
              <w:rPr>
                <w:rFonts w:hint="eastAsia"/>
                <w:kern w:val="0"/>
                <w:sz w:val="24"/>
                <w:szCs w:val="24"/>
              </w:rPr>
            </w:pPr>
          </w:p>
        </w:tc>
      </w:tr>
      <w:tr w14:paraId="0487A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restart"/>
            <w:shd w:val="clear" w:color="auto" w:fill="auto"/>
            <w:noWrap/>
            <w:vAlign w:val="center"/>
          </w:tcPr>
          <w:p w14:paraId="1172B3D3">
            <w:pPr>
              <w:widowControl/>
              <w:spacing w:line="320" w:lineRule="exact"/>
              <w:ind w:firstLine="0" w:firstLineChars="0"/>
              <w:jc w:val="center"/>
              <w:rPr>
                <w:rFonts w:hint="eastAsia"/>
                <w:kern w:val="0"/>
                <w:sz w:val="24"/>
                <w:szCs w:val="24"/>
              </w:rPr>
            </w:pPr>
            <w:r>
              <w:rPr>
                <w:rFonts w:hint="eastAsia"/>
                <w:kern w:val="0"/>
                <w:sz w:val="24"/>
                <w:szCs w:val="24"/>
              </w:rPr>
              <w:t>8</w:t>
            </w:r>
          </w:p>
        </w:tc>
        <w:tc>
          <w:tcPr>
            <w:tcW w:w="461" w:type="pct"/>
            <w:vMerge w:val="restart"/>
            <w:shd w:val="clear" w:color="auto" w:fill="auto"/>
            <w:noWrap/>
            <w:vAlign w:val="center"/>
          </w:tcPr>
          <w:p w14:paraId="7869662A">
            <w:pPr>
              <w:widowControl/>
              <w:spacing w:line="320" w:lineRule="exact"/>
              <w:ind w:firstLine="0" w:firstLineChars="0"/>
              <w:jc w:val="center"/>
              <w:rPr>
                <w:rFonts w:hint="eastAsia"/>
                <w:kern w:val="0"/>
                <w:sz w:val="24"/>
                <w:szCs w:val="24"/>
              </w:rPr>
            </w:pPr>
            <w:r>
              <w:rPr>
                <w:rFonts w:hint="eastAsia"/>
                <w:kern w:val="0"/>
                <w:sz w:val="24"/>
                <w:szCs w:val="24"/>
              </w:rPr>
              <w:t>存在非成套住宅数量</w:t>
            </w:r>
          </w:p>
        </w:tc>
        <w:tc>
          <w:tcPr>
            <w:tcW w:w="214" w:type="pct"/>
            <w:vMerge w:val="restart"/>
            <w:shd w:val="clear" w:color="auto" w:fill="auto"/>
            <w:noWrap/>
            <w:vAlign w:val="center"/>
          </w:tcPr>
          <w:p w14:paraId="7E814227">
            <w:pPr>
              <w:widowControl/>
              <w:spacing w:line="320" w:lineRule="exact"/>
              <w:ind w:firstLine="0" w:firstLineChars="0"/>
              <w:jc w:val="center"/>
              <w:rPr>
                <w:rFonts w:hint="eastAsia"/>
                <w:kern w:val="0"/>
                <w:sz w:val="24"/>
                <w:szCs w:val="24"/>
              </w:rPr>
            </w:pPr>
            <w:r>
              <w:rPr>
                <w:rFonts w:hint="eastAsia"/>
                <w:kern w:val="0"/>
                <w:sz w:val="24"/>
                <w:szCs w:val="24"/>
              </w:rPr>
              <w:t>16</w:t>
            </w:r>
          </w:p>
        </w:tc>
        <w:tc>
          <w:tcPr>
            <w:tcW w:w="1242" w:type="pct"/>
            <w:shd w:val="clear" w:color="auto" w:fill="auto"/>
            <w:noWrap/>
            <w:vAlign w:val="center"/>
          </w:tcPr>
          <w:p w14:paraId="3FD3DDC2">
            <w:pPr>
              <w:widowControl/>
              <w:spacing w:line="320" w:lineRule="exact"/>
              <w:ind w:firstLine="0" w:firstLineChars="0"/>
              <w:jc w:val="center"/>
              <w:rPr>
                <w:rFonts w:hint="eastAsia"/>
                <w:kern w:val="0"/>
                <w:sz w:val="24"/>
                <w:szCs w:val="24"/>
              </w:rPr>
            </w:pPr>
            <w:r>
              <w:rPr>
                <w:rFonts w:hint="eastAsia"/>
                <w:kern w:val="0"/>
                <w:sz w:val="24"/>
                <w:szCs w:val="24"/>
              </w:rPr>
              <w:t>没有独立厨房</w:t>
            </w:r>
          </w:p>
        </w:tc>
        <w:tc>
          <w:tcPr>
            <w:tcW w:w="1536" w:type="pct"/>
            <w:vMerge w:val="restart"/>
            <w:shd w:val="clear" w:color="auto" w:fill="auto"/>
            <w:noWrap/>
            <w:vAlign w:val="center"/>
          </w:tcPr>
          <w:p w14:paraId="3DEF449A">
            <w:pPr>
              <w:widowControl/>
              <w:spacing w:line="320" w:lineRule="exact"/>
              <w:ind w:firstLine="0" w:firstLineChars="0"/>
              <w:jc w:val="center"/>
              <w:rPr>
                <w:rFonts w:hint="eastAsia"/>
                <w:kern w:val="0"/>
                <w:sz w:val="24"/>
                <w:szCs w:val="24"/>
              </w:rPr>
            </w:pPr>
            <w:r>
              <w:rPr>
                <w:rFonts w:hint="eastAsia"/>
                <w:kern w:val="0"/>
                <w:sz w:val="24"/>
                <w:szCs w:val="24"/>
              </w:rPr>
              <w:t>第一，合理规划公共空间。在平房住宅区中，可以合理规划公共空间，如设置公共厨房和公共卫生间等，以满足居民的基本生活需求。同时，可以采取合理的管理措施，如规定使用时间、卫生标准等，确保公共空间的安全和卫生。</w:t>
            </w:r>
          </w:p>
          <w:p w14:paraId="1F279BB8">
            <w:pPr>
              <w:widowControl/>
              <w:spacing w:line="320" w:lineRule="exact"/>
              <w:ind w:firstLine="0" w:firstLineChars="0"/>
              <w:jc w:val="center"/>
              <w:rPr>
                <w:rFonts w:hint="eastAsia"/>
                <w:kern w:val="0"/>
                <w:sz w:val="24"/>
                <w:szCs w:val="24"/>
              </w:rPr>
            </w:pPr>
            <w:r>
              <w:rPr>
                <w:rFonts w:hint="eastAsia"/>
                <w:kern w:val="0"/>
                <w:sz w:val="24"/>
                <w:szCs w:val="24"/>
              </w:rPr>
              <w:t>第二，使用现代化设备。在房屋中可以引入现代化的设备，如空调、热水器、抽水马桶等，以提高生活质量和舒适度。</w:t>
            </w:r>
          </w:p>
          <w:p w14:paraId="4D8D982B">
            <w:pPr>
              <w:widowControl/>
              <w:spacing w:line="320" w:lineRule="exact"/>
              <w:ind w:firstLine="0" w:firstLineChars="0"/>
              <w:jc w:val="center"/>
              <w:rPr>
                <w:rFonts w:hint="eastAsia"/>
                <w:kern w:val="0"/>
                <w:sz w:val="24"/>
                <w:szCs w:val="24"/>
              </w:rPr>
            </w:pPr>
            <w:r>
              <w:rPr>
                <w:rFonts w:hint="eastAsia"/>
                <w:kern w:val="0"/>
                <w:sz w:val="24"/>
                <w:szCs w:val="24"/>
              </w:rPr>
              <w:t>第三，合理利用外部空间：在平房住宅区中，可以合理利用外部空间，如设置院落、绿化带等，增加居民的活动空间和居住舒适度。</w:t>
            </w:r>
          </w:p>
          <w:p w14:paraId="4C13778C">
            <w:pPr>
              <w:widowControl/>
              <w:spacing w:line="320" w:lineRule="exact"/>
              <w:ind w:firstLine="0" w:firstLineChars="0"/>
              <w:jc w:val="center"/>
              <w:rPr>
                <w:rFonts w:hint="eastAsia"/>
                <w:kern w:val="0"/>
                <w:sz w:val="24"/>
                <w:szCs w:val="24"/>
              </w:rPr>
            </w:pPr>
            <w:r>
              <w:rPr>
                <w:rFonts w:hint="eastAsia"/>
                <w:kern w:val="0"/>
                <w:sz w:val="24"/>
                <w:szCs w:val="24"/>
              </w:rPr>
              <w:t>第四，加强管理和维护。在平房住宅区中，可以加强管理和维护工作，确保房屋的基本功能得到保障。例如，可以定期检查房屋的结构和使用状况，及时进行维修和更新等。</w:t>
            </w:r>
          </w:p>
        </w:tc>
        <w:tc>
          <w:tcPr>
            <w:tcW w:w="421" w:type="pct"/>
            <w:vMerge w:val="restart"/>
            <w:shd w:val="clear" w:color="auto" w:fill="auto"/>
            <w:noWrap/>
            <w:vAlign w:val="center"/>
          </w:tcPr>
          <w:p w14:paraId="21DE0C1B">
            <w:pPr>
              <w:widowControl/>
              <w:spacing w:line="320" w:lineRule="exact"/>
              <w:ind w:firstLine="0" w:firstLineChars="0"/>
              <w:jc w:val="center"/>
              <w:rPr>
                <w:rFonts w:hint="eastAsia"/>
                <w:kern w:val="0"/>
                <w:sz w:val="24"/>
                <w:szCs w:val="24"/>
              </w:rPr>
            </w:pPr>
            <w:r>
              <w:rPr>
                <w:rFonts w:hint="eastAsia"/>
                <w:kern w:val="0"/>
                <w:sz w:val="24"/>
                <w:szCs w:val="24"/>
              </w:rPr>
              <w:t>16栋楼</w:t>
            </w:r>
          </w:p>
        </w:tc>
        <w:tc>
          <w:tcPr>
            <w:tcW w:w="343" w:type="pct"/>
            <w:vMerge w:val="restart"/>
            <w:shd w:val="clear" w:color="auto" w:fill="auto"/>
            <w:noWrap/>
            <w:vAlign w:val="center"/>
          </w:tcPr>
          <w:p w14:paraId="5E831DE8">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671F2CAA">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3201585D">
            <w:pPr>
              <w:widowControl/>
              <w:spacing w:line="320" w:lineRule="exact"/>
              <w:ind w:firstLine="0" w:firstLineChars="0"/>
              <w:jc w:val="center"/>
              <w:rPr>
                <w:rFonts w:hint="eastAsia"/>
                <w:kern w:val="0"/>
                <w:sz w:val="24"/>
                <w:szCs w:val="24"/>
              </w:rPr>
            </w:pPr>
          </w:p>
        </w:tc>
        <w:tc>
          <w:tcPr>
            <w:tcW w:w="618" w:type="pct"/>
            <w:vMerge w:val="restart"/>
            <w:shd w:val="clear" w:color="auto" w:fill="auto"/>
            <w:noWrap/>
            <w:vAlign w:val="center"/>
          </w:tcPr>
          <w:p w14:paraId="78A7C31F">
            <w:pPr>
              <w:widowControl/>
              <w:spacing w:line="320" w:lineRule="exact"/>
              <w:ind w:firstLine="0" w:firstLineChars="0"/>
              <w:jc w:val="center"/>
              <w:rPr>
                <w:rFonts w:hint="eastAsia"/>
                <w:kern w:val="0"/>
                <w:sz w:val="24"/>
                <w:szCs w:val="24"/>
              </w:rPr>
            </w:pPr>
            <w:r>
              <w:rPr>
                <w:rFonts w:hint="eastAsia"/>
                <w:kern w:val="0"/>
                <w:sz w:val="24"/>
                <w:szCs w:val="24"/>
              </w:rPr>
              <w:t>住建局</w:t>
            </w:r>
          </w:p>
          <w:p w14:paraId="56F56636">
            <w:pPr>
              <w:widowControl/>
              <w:spacing w:line="320" w:lineRule="exact"/>
              <w:ind w:firstLine="0" w:firstLineChars="0"/>
              <w:jc w:val="center"/>
              <w:rPr>
                <w:rFonts w:hint="eastAsia"/>
                <w:kern w:val="0"/>
                <w:sz w:val="24"/>
                <w:szCs w:val="24"/>
              </w:rPr>
            </w:pPr>
            <w:r>
              <w:rPr>
                <w:rFonts w:hint="eastAsia"/>
                <w:kern w:val="0"/>
                <w:sz w:val="24"/>
                <w:szCs w:val="24"/>
              </w:rPr>
              <w:t>新源道街道</w:t>
            </w:r>
          </w:p>
          <w:p w14:paraId="1F5EF977">
            <w:pPr>
              <w:widowControl/>
              <w:spacing w:line="320" w:lineRule="exact"/>
              <w:ind w:firstLine="0" w:firstLineChars="0"/>
              <w:jc w:val="center"/>
              <w:rPr>
                <w:rFonts w:hint="eastAsia"/>
                <w:kern w:val="0"/>
                <w:sz w:val="24"/>
                <w:szCs w:val="24"/>
              </w:rPr>
            </w:pPr>
            <w:r>
              <w:rPr>
                <w:rFonts w:hint="eastAsia"/>
                <w:kern w:val="0"/>
                <w:sz w:val="24"/>
                <w:szCs w:val="24"/>
              </w:rPr>
              <w:t>爱民东道街道</w:t>
            </w:r>
          </w:p>
          <w:p w14:paraId="19950786">
            <w:pPr>
              <w:widowControl/>
              <w:spacing w:line="320" w:lineRule="exact"/>
              <w:ind w:firstLine="0" w:firstLineChars="0"/>
              <w:jc w:val="center"/>
              <w:rPr>
                <w:rFonts w:hint="eastAsia"/>
                <w:kern w:val="0"/>
                <w:sz w:val="24"/>
                <w:szCs w:val="24"/>
              </w:rPr>
            </w:pPr>
            <w:r>
              <w:rPr>
                <w:rFonts w:hint="eastAsia"/>
                <w:kern w:val="0"/>
                <w:sz w:val="24"/>
                <w:szCs w:val="24"/>
              </w:rPr>
              <w:t>解放道街道</w:t>
            </w:r>
          </w:p>
          <w:p w14:paraId="054E697D">
            <w:pPr>
              <w:widowControl/>
              <w:spacing w:line="320" w:lineRule="exact"/>
              <w:ind w:firstLine="0" w:firstLineChars="0"/>
              <w:jc w:val="center"/>
              <w:rPr>
                <w:rFonts w:hint="eastAsia"/>
                <w:kern w:val="0"/>
                <w:sz w:val="24"/>
                <w:szCs w:val="24"/>
              </w:rPr>
            </w:pPr>
            <w:r>
              <w:rPr>
                <w:rFonts w:hint="eastAsia"/>
                <w:kern w:val="0"/>
                <w:sz w:val="24"/>
                <w:szCs w:val="24"/>
              </w:rPr>
              <w:t>龙河高新区</w:t>
            </w:r>
          </w:p>
          <w:p w14:paraId="2C3190AA">
            <w:pPr>
              <w:widowControl/>
              <w:spacing w:line="320" w:lineRule="exact"/>
              <w:ind w:firstLine="0" w:firstLineChars="0"/>
              <w:jc w:val="center"/>
              <w:rPr>
                <w:rFonts w:hint="eastAsia"/>
                <w:kern w:val="0"/>
                <w:sz w:val="24"/>
                <w:szCs w:val="24"/>
              </w:rPr>
            </w:pPr>
            <w:r>
              <w:rPr>
                <w:rFonts w:hint="eastAsia"/>
                <w:kern w:val="0"/>
                <w:sz w:val="24"/>
                <w:szCs w:val="24"/>
              </w:rPr>
              <w:t>开发区</w:t>
            </w:r>
          </w:p>
        </w:tc>
      </w:tr>
      <w:tr w14:paraId="0A817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627977CE">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68F5FE50">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402A3328">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2DF9552E">
            <w:pPr>
              <w:widowControl/>
              <w:spacing w:line="320" w:lineRule="exact"/>
              <w:ind w:firstLine="0" w:firstLineChars="0"/>
              <w:jc w:val="center"/>
              <w:rPr>
                <w:rFonts w:hint="eastAsia"/>
                <w:kern w:val="0"/>
                <w:sz w:val="24"/>
                <w:szCs w:val="24"/>
              </w:rPr>
            </w:pPr>
            <w:r>
              <w:rPr>
                <w:rFonts w:hint="eastAsia"/>
                <w:kern w:val="0"/>
                <w:sz w:val="24"/>
                <w:szCs w:val="24"/>
              </w:rPr>
              <w:t>没有独立卫生间</w:t>
            </w:r>
          </w:p>
        </w:tc>
        <w:tc>
          <w:tcPr>
            <w:tcW w:w="1536" w:type="pct"/>
            <w:vMerge w:val="continue"/>
            <w:shd w:val="clear" w:color="auto" w:fill="auto"/>
            <w:noWrap/>
            <w:vAlign w:val="center"/>
          </w:tcPr>
          <w:p w14:paraId="5145A2C5">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77825055">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5D50B4E1">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7C37FA12">
            <w:pPr>
              <w:widowControl/>
              <w:spacing w:line="320" w:lineRule="exact"/>
              <w:ind w:firstLine="0" w:firstLineChars="0"/>
              <w:jc w:val="center"/>
              <w:rPr>
                <w:rFonts w:hint="eastAsia"/>
                <w:kern w:val="0"/>
                <w:sz w:val="24"/>
                <w:szCs w:val="24"/>
              </w:rPr>
            </w:pPr>
          </w:p>
        </w:tc>
      </w:tr>
      <w:tr w14:paraId="6DA73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61" w:type="pct"/>
            <w:vMerge w:val="continue"/>
            <w:shd w:val="clear" w:color="auto" w:fill="auto"/>
            <w:noWrap/>
            <w:vAlign w:val="center"/>
          </w:tcPr>
          <w:p w14:paraId="23FF73AB">
            <w:pPr>
              <w:widowControl/>
              <w:spacing w:line="320" w:lineRule="exact"/>
              <w:ind w:firstLine="0" w:firstLineChars="0"/>
              <w:jc w:val="center"/>
              <w:rPr>
                <w:rFonts w:hint="eastAsia"/>
                <w:kern w:val="0"/>
                <w:sz w:val="24"/>
                <w:szCs w:val="24"/>
              </w:rPr>
            </w:pPr>
          </w:p>
        </w:tc>
        <w:tc>
          <w:tcPr>
            <w:tcW w:w="461" w:type="pct"/>
            <w:vMerge w:val="continue"/>
            <w:shd w:val="clear" w:color="auto" w:fill="auto"/>
            <w:noWrap/>
            <w:vAlign w:val="center"/>
          </w:tcPr>
          <w:p w14:paraId="1A053367">
            <w:pPr>
              <w:widowControl/>
              <w:spacing w:line="320" w:lineRule="exact"/>
              <w:ind w:firstLine="0" w:firstLineChars="0"/>
              <w:jc w:val="center"/>
              <w:rPr>
                <w:rFonts w:hint="eastAsia"/>
                <w:kern w:val="0"/>
                <w:sz w:val="24"/>
                <w:szCs w:val="24"/>
              </w:rPr>
            </w:pPr>
          </w:p>
        </w:tc>
        <w:tc>
          <w:tcPr>
            <w:tcW w:w="214" w:type="pct"/>
            <w:vMerge w:val="continue"/>
            <w:shd w:val="clear" w:color="auto" w:fill="auto"/>
            <w:noWrap/>
            <w:vAlign w:val="center"/>
          </w:tcPr>
          <w:p w14:paraId="5491A672">
            <w:pPr>
              <w:widowControl/>
              <w:spacing w:line="320" w:lineRule="exact"/>
              <w:ind w:firstLine="0" w:firstLineChars="0"/>
              <w:jc w:val="center"/>
              <w:rPr>
                <w:rFonts w:hint="eastAsia"/>
                <w:kern w:val="0"/>
                <w:sz w:val="24"/>
                <w:szCs w:val="24"/>
              </w:rPr>
            </w:pPr>
          </w:p>
        </w:tc>
        <w:tc>
          <w:tcPr>
            <w:tcW w:w="1242" w:type="pct"/>
            <w:shd w:val="clear" w:color="auto" w:fill="auto"/>
            <w:noWrap/>
            <w:vAlign w:val="center"/>
          </w:tcPr>
          <w:p w14:paraId="72AB4DCF">
            <w:pPr>
              <w:widowControl/>
              <w:spacing w:line="320" w:lineRule="exact"/>
              <w:ind w:firstLine="0" w:firstLineChars="0"/>
              <w:jc w:val="center"/>
              <w:rPr>
                <w:rFonts w:hint="eastAsia"/>
                <w:kern w:val="0"/>
                <w:sz w:val="24"/>
                <w:szCs w:val="24"/>
              </w:rPr>
            </w:pPr>
            <w:r>
              <w:rPr>
                <w:rFonts w:hint="eastAsia"/>
                <w:kern w:val="0"/>
                <w:sz w:val="24"/>
                <w:szCs w:val="24"/>
              </w:rPr>
              <w:t>其他非成套住宅问题</w:t>
            </w:r>
          </w:p>
        </w:tc>
        <w:tc>
          <w:tcPr>
            <w:tcW w:w="1536" w:type="pct"/>
            <w:vMerge w:val="continue"/>
            <w:shd w:val="clear" w:color="auto" w:fill="auto"/>
            <w:noWrap/>
            <w:vAlign w:val="center"/>
          </w:tcPr>
          <w:p w14:paraId="30D4FBB5">
            <w:pPr>
              <w:widowControl/>
              <w:spacing w:line="320" w:lineRule="exact"/>
              <w:ind w:firstLine="0" w:firstLineChars="0"/>
              <w:jc w:val="center"/>
              <w:rPr>
                <w:rFonts w:hint="eastAsia"/>
                <w:kern w:val="0"/>
                <w:sz w:val="24"/>
                <w:szCs w:val="24"/>
              </w:rPr>
            </w:pPr>
          </w:p>
        </w:tc>
        <w:tc>
          <w:tcPr>
            <w:tcW w:w="421" w:type="pct"/>
            <w:vMerge w:val="continue"/>
            <w:shd w:val="clear" w:color="auto" w:fill="auto"/>
            <w:noWrap/>
            <w:vAlign w:val="center"/>
          </w:tcPr>
          <w:p w14:paraId="75C90BD1">
            <w:pPr>
              <w:widowControl/>
              <w:spacing w:line="320" w:lineRule="exact"/>
              <w:ind w:firstLine="0" w:firstLineChars="0"/>
              <w:jc w:val="center"/>
              <w:rPr>
                <w:rFonts w:hint="eastAsia"/>
                <w:kern w:val="0"/>
                <w:sz w:val="24"/>
                <w:szCs w:val="24"/>
              </w:rPr>
            </w:pPr>
          </w:p>
        </w:tc>
        <w:tc>
          <w:tcPr>
            <w:tcW w:w="343" w:type="pct"/>
            <w:vMerge w:val="continue"/>
            <w:shd w:val="clear" w:color="auto" w:fill="auto"/>
            <w:noWrap/>
            <w:vAlign w:val="center"/>
          </w:tcPr>
          <w:p w14:paraId="3CD7528D">
            <w:pPr>
              <w:widowControl/>
              <w:spacing w:line="320" w:lineRule="exact"/>
              <w:ind w:firstLine="0" w:firstLineChars="0"/>
              <w:jc w:val="center"/>
              <w:rPr>
                <w:rFonts w:hint="eastAsia"/>
                <w:kern w:val="0"/>
                <w:sz w:val="24"/>
                <w:szCs w:val="24"/>
              </w:rPr>
            </w:pPr>
          </w:p>
        </w:tc>
        <w:tc>
          <w:tcPr>
            <w:tcW w:w="618" w:type="pct"/>
            <w:vMerge w:val="continue"/>
            <w:shd w:val="clear" w:color="auto" w:fill="auto"/>
            <w:noWrap/>
            <w:vAlign w:val="center"/>
          </w:tcPr>
          <w:p w14:paraId="2B86CE5B">
            <w:pPr>
              <w:widowControl/>
              <w:spacing w:line="320" w:lineRule="exact"/>
              <w:ind w:firstLine="0" w:firstLineChars="0"/>
              <w:jc w:val="center"/>
              <w:rPr>
                <w:rFonts w:hint="eastAsia"/>
                <w:kern w:val="0"/>
                <w:sz w:val="24"/>
                <w:szCs w:val="24"/>
              </w:rPr>
            </w:pPr>
          </w:p>
        </w:tc>
      </w:tr>
    </w:tbl>
    <w:p w14:paraId="432D60E1">
      <w:pPr>
        <w:pStyle w:val="48"/>
        <w:outlineLvl w:val="2"/>
        <w:rPr>
          <w:rFonts w:hint="eastAsia"/>
        </w:rPr>
        <w:sectPr>
          <w:pgSz w:w="16838" w:h="11906" w:orient="landscape"/>
          <w:pgMar w:top="1803" w:right="1440" w:bottom="1803" w:left="1440" w:header="851" w:footer="992" w:gutter="0"/>
          <w:pgNumType w:fmt="decimal"/>
          <w:cols w:space="425" w:num="1"/>
          <w:docGrid w:type="lines" w:linePitch="312" w:charSpace="0"/>
        </w:sectPr>
      </w:pPr>
    </w:p>
    <w:p w14:paraId="3EEA6E22">
      <w:pPr>
        <w:pStyle w:val="48"/>
        <w:outlineLvl w:val="2"/>
        <w:rPr>
          <w:rFonts w:hint="eastAsia"/>
        </w:rPr>
      </w:pPr>
      <w:r>
        <w:rPr>
          <w:rFonts w:hint="eastAsia"/>
        </w:rPr>
        <w:t>社区维度体检整治建议清单表</w:t>
      </w:r>
    </w:p>
    <w:tbl>
      <w:tblPr>
        <w:tblStyle w:val="3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70"/>
        <w:gridCol w:w="1011"/>
        <w:gridCol w:w="888"/>
        <w:gridCol w:w="1818"/>
        <w:gridCol w:w="1597"/>
        <w:gridCol w:w="5831"/>
        <w:gridCol w:w="620"/>
        <w:gridCol w:w="927"/>
        <w:gridCol w:w="695"/>
      </w:tblGrid>
      <w:tr w14:paraId="65415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trPr>
        <w:tc>
          <w:tcPr>
            <w:tcW w:w="204" w:type="pct"/>
            <w:vAlign w:val="center"/>
          </w:tcPr>
          <w:p w14:paraId="428FD26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序号</w:t>
            </w:r>
          </w:p>
        </w:tc>
        <w:tc>
          <w:tcPr>
            <w:tcW w:w="362" w:type="pct"/>
            <w:vAlign w:val="center"/>
          </w:tcPr>
          <w:p w14:paraId="2286F71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指标项</w:t>
            </w:r>
          </w:p>
        </w:tc>
        <w:tc>
          <w:tcPr>
            <w:tcW w:w="318" w:type="pct"/>
            <w:vAlign w:val="center"/>
          </w:tcPr>
          <w:p w14:paraId="2EC2AA2A">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体检结果</w:t>
            </w:r>
          </w:p>
        </w:tc>
        <w:tc>
          <w:tcPr>
            <w:tcW w:w="651" w:type="pct"/>
            <w:vAlign w:val="center"/>
          </w:tcPr>
          <w:p w14:paraId="7D06E18C">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存在问题</w:t>
            </w:r>
          </w:p>
        </w:tc>
        <w:tc>
          <w:tcPr>
            <w:tcW w:w="572" w:type="pct"/>
            <w:vAlign w:val="center"/>
          </w:tcPr>
          <w:p w14:paraId="0C07C554">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整治建议</w:t>
            </w:r>
          </w:p>
        </w:tc>
        <w:tc>
          <w:tcPr>
            <w:tcW w:w="2088" w:type="pct"/>
            <w:vAlign w:val="center"/>
          </w:tcPr>
          <w:p w14:paraId="2129D899">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整治区域</w:t>
            </w:r>
          </w:p>
        </w:tc>
        <w:tc>
          <w:tcPr>
            <w:tcW w:w="222" w:type="pct"/>
            <w:vAlign w:val="center"/>
          </w:tcPr>
          <w:p w14:paraId="5D671815">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整治类型</w:t>
            </w:r>
          </w:p>
        </w:tc>
        <w:tc>
          <w:tcPr>
            <w:tcW w:w="332" w:type="pct"/>
            <w:vAlign w:val="center"/>
          </w:tcPr>
          <w:p w14:paraId="5713C7CD">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问题分级</w:t>
            </w:r>
          </w:p>
        </w:tc>
        <w:tc>
          <w:tcPr>
            <w:tcW w:w="249" w:type="pct"/>
            <w:vAlign w:val="center"/>
          </w:tcPr>
          <w:p w14:paraId="2CE4EC13">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责任单位</w:t>
            </w:r>
          </w:p>
        </w:tc>
      </w:tr>
      <w:tr w14:paraId="1E2E3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04" w:type="pct"/>
            <w:vAlign w:val="center"/>
          </w:tcPr>
          <w:p w14:paraId="17C9DD26">
            <w:pPr>
              <w:widowControl/>
              <w:spacing w:line="320" w:lineRule="exact"/>
              <w:ind w:firstLine="0" w:firstLineChars="0"/>
              <w:jc w:val="center"/>
              <w:rPr>
                <w:rFonts w:hint="eastAsia"/>
                <w:kern w:val="0"/>
                <w:sz w:val="24"/>
                <w:szCs w:val="24"/>
              </w:rPr>
            </w:pPr>
            <w:r>
              <w:rPr>
                <w:rFonts w:hint="eastAsia"/>
                <w:kern w:val="0"/>
                <w:sz w:val="24"/>
                <w:szCs w:val="24"/>
              </w:rPr>
              <w:t>9</w:t>
            </w:r>
          </w:p>
        </w:tc>
        <w:tc>
          <w:tcPr>
            <w:tcW w:w="362" w:type="pct"/>
            <w:vAlign w:val="center"/>
          </w:tcPr>
          <w:p w14:paraId="3635C61C">
            <w:pPr>
              <w:widowControl/>
              <w:spacing w:line="320" w:lineRule="exact"/>
              <w:ind w:firstLine="0" w:firstLineChars="0"/>
              <w:jc w:val="center"/>
              <w:rPr>
                <w:rFonts w:hint="eastAsia"/>
                <w:kern w:val="0"/>
                <w:sz w:val="24"/>
                <w:szCs w:val="24"/>
              </w:rPr>
            </w:pPr>
            <w:r>
              <w:rPr>
                <w:rFonts w:hint="eastAsia"/>
                <w:kern w:val="0"/>
                <w:sz w:val="24"/>
                <w:szCs w:val="24"/>
              </w:rPr>
              <w:t>☆未达标配建婴幼儿照护服务设施的小区数量（个）</w:t>
            </w:r>
          </w:p>
        </w:tc>
        <w:tc>
          <w:tcPr>
            <w:tcW w:w="318" w:type="pct"/>
            <w:vAlign w:val="center"/>
          </w:tcPr>
          <w:p w14:paraId="47FDE8B4">
            <w:pPr>
              <w:widowControl/>
              <w:spacing w:line="320" w:lineRule="exact"/>
              <w:ind w:firstLine="0" w:firstLineChars="0"/>
              <w:jc w:val="center"/>
              <w:rPr>
                <w:rFonts w:hint="eastAsia"/>
                <w:kern w:val="0"/>
                <w:sz w:val="24"/>
                <w:szCs w:val="24"/>
              </w:rPr>
            </w:pPr>
            <w:r>
              <w:rPr>
                <w:rFonts w:hint="eastAsia"/>
                <w:kern w:val="0"/>
                <w:sz w:val="24"/>
                <w:szCs w:val="24"/>
              </w:rPr>
              <w:t>446</w:t>
            </w:r>
          </w:p>
        </w:tc>
        <w:tc>
          <w:tcPr>
            <w:tcW w:w="651" w:type="pct"/>
            <w:vAlign w:val="center"/>
          </w:tcPr>
          <w:p w14:paraId="72D514A2">
            <w:pPr>
              <w:widowControl/>
              <w:spacing w:line="320" w:lineRule="exact"/>
              <w:ind w:firstLine="0" w:firstLineChars="0"/>
              <w:jc w:val="center"/>
              <w:rPr>
                <w:rFonts w:hint="eastAsia"/>
                <w:kern w:val="0"/>
                <w:sz w:val="24"/>
                <w:szCs w:val="24"/>
              </w:rPr>
            </w:pPr>
            <w:r>
              <w:rPr>
                <w:rFonts w:hint="eastAsia"/>
                <w:kern w:val="0"/>
                <w:sz w:val="24"/>
                <w:szCs w:val="24"/>
              </w:rPr>
              <w:t>未配建婴幼儿照护设施的社区占比56%，近几年各级规划部门才将托育服务纳入城市总体规划，街道社区规模已基本成型，老旧社区在现有条件下增加也比较困难。</w:t>
            </w:r>
          </w:p>
        </w:tc>
        <w:tc>
          <w:tcPr>
            <w:tcW w:w="572" w:type="pct"/>
            <w:vAlign w:val="center"/>
          </w:tcPr>
          <w:p w14:paraId="7385837C">
            <w:pPr>
              <w:widowControl/>
              <w:spacing w:line="320" w:lineRule="exact"/>
              <w:ind w:firstLine="0" w:firstLineChars="0"/>
              <w:jc w:val="center"/>
              <w:rPr>
                <w:rFonts w:hint="eastAsia"/>
                <w:kern w:val="0"/>
                <w:sz w:val="24"/>
                <w:szCs w:val="24"/>
              </w:rPr>
            </w:pPr>
            <w:r>
              <w:rPr>
                <w:rFonts w:hint="eastAsia"/>
                <w:kern w:val="0"/>
                <w:sz w:val="24"/>
                <w:szCs w:val="24"/>
              </w:rPr>
              <w:t>政府应加大对社区托育的资源投入，包括场地、设施、师资等方面的投入，特别是要利用好现有社区闲置用房，用于改造为托育服务设施，提高社区托育服务的供给能力和质量。</w:t>
            </w:r>
          </w:p>
        </w:tc>
        <w:tc>
          <w:tcPr>
            <w:tcW w:w="2088" w:type="pct"/>
            <w:vAlign w:val="center"/>
          </w:tcPr>
          <w:p w14:paraId="641216F8">
            <w:pPr>
              <w:widowControl/>
              <w:spacing w:line="320" w:lineRule="exact"/>
              <w:ind w:firstLine="0" w:firstLineChars="0"/>
              <w:jc w:val="left"/>
              <w:rPr>
                <w:rFonts w:hint="eastAsia"/>
                <w:kern w:val="0"/>
                <w:sz w:val="24"/>
                <w:szCs w:val="24"/>
              </w:rPr>
            </w:pPr>
            <w:r>
              <w:rPr>
                <w:rFonts w:hint="eastAsia"/>
                <w:kern w:val="0"/>
                <w:sz w:val="24"/>
                <w:szCs w:val="24"/>
              </w:rPr>
              <w:t>一、安次区：</w:t>
            </w:r>
          </w:p>
          <w:p w14:paraId="250809BA">
            <w:pPr>
              <w:widowControl/>
              <w:spacing w:line="320" w:lineRule="exact"/>
              <w:ind w:firstLine="0" w:firstLineChars="0"/>
              <w:jc w:val="left"/>
              <w:rPr>
                <w:rFonts w:hint="eastAsia"/>
                <w:kern w:val="0"/>
                <w:sz w:val="24"/>
                <w:szCs w:val="24"/>
              </w:rPr>
            </w:pPr>
            <w:r>
              <w:rPr>
                <w:rFonts w:hint="eastAsia"/>
                <w:kern w:val="0"/>
                <w:sz w:val="24"/>
                <w:szCs w:val="24"/>
              </w:rPr>
              <w:t>1、银河南路街道：亿合社区、兴安街社区、开源里社区、嘉多丽社区、四季花语社区、永祥街社区、惠民社区、龙河盛都社区、阳光逸墅社区、花语景园社区。</w:t>
            </w:r>
          </w:p>
          <w:p w14:paraId="4069F20C">
            <w:pPr>
              <w:widowControl/>
              <w:spacing w:line="320" w:lineRule="exact"/>
              <w:ind w:firstLine="0" w:firstLineChars="0"/>
              <w:jc w:val="left"/>
              <w:rPr>
                <w:rFonts w:hint="eastAsia"/>
                <w:kern w:val="0"/>
                <w:sz w:val="24"/>
                <w:szCs w:val="24"/>
              </w:rPr>
            </w:pPr>
            <w:r>
              <w:rPr>
                <w:rFonts w:hint="eastAsia"/>
                <w:kern w:val="0"/>
                <w:sz w:val="24"/>
                <w:szCs w:val="24"/>
              </w:rPr>
              <w:t>2、光明西道街道：南大街社区、中建高街社区、君兰苑社区、海德社区、江南水郡社区、文苑社区、院校区社区、九园社区、常青社区、知园社区、爱民社区。</w:t>
            </w:r>
          </w:p>
          <w:p w14:paraId="3B778928">
            <w:pPr>
              <w:widowControl/>
              <w:spacing w:line="320" w:lineRule="exact"/>
              <w:ind w:firstLine="0" w:firstLineChars="0"/>
              <w:jc w:val="left"/>
              <w:rPr>
                <w:rFonts w:hint="eastAsia"/>
                <w:kern w:val="0"/>
                <w:sz w:val="24"/>
                <w:szCs w:val="24"/>
              </w:rPr>
            </w:pPr>
            <w:r>
              <w:rPr>
                <w:rFonts w:hint="eastAsia"/>
                <w:kern w:val="0"/>
                <w:sz w:val="24"/>
                <w:szCs w:val="24"/>
              </w:rPr>
              <w:t>3、永华道街道：博通社区、盛德社区、中科社区、尚华城社区。</w:t>
            </w:r>
          </w:p>
          <w:p w14:paraId="73D5925A">
            <w:pPr>
              <w:widowControl/>
              <w:spacing w:line="320" w:lineRule="exact"/>
              <w:ind w:firstLine="0" w:firstLineChars="0"/>
              <w:jc w:val="left"/>
              <w:rPr>
                <w:rFonts w:hint="eastAsia"/>
                <w:kern w:val="0"/>
                <w:sz w:val="24"/>
                <w:szCs w:val="24"/>
              </w:rPr>
            </w:pPr>
            <w:r>
              <w:rPr>
                <w:rFonts w:hint="eastAsia"/>
                <w:kern w:val="0"/>
                <w:sz w:val="24"/>
                <w:szCs w:val="24"/>
              </w:rPr>
              <w:t>4、杨税务镇：德荣社区、汇贤城社区、新城林湾社区。</w:t>
            </w:r>
          </w:p>
          <w:p w14:paraId="635C8A31">
            <w:pPr>
              <w:widowControl/>
              <w:spacing w:line="320" w:lineRule="exact"/>
              <w:ind w:firstLine="0" w:firstLineChars="0"/>
              <w:jc w:val="left"/>
              <w:rPr>
                <w:rFonts w:hint="eastAsia"/>
                <w:kern w:val="0"/>
                <w:sz w:val="24"/>
                <w:szCs w:val="24"/>
              </w:rPr>
            </w:pPr>
            <w:r>
              <w:rPr>
                <w:rFonts w:hint="eastAsia"/>
                <w:kern w:val="0"/>
                <w:sz w:val="24"/>
                <w:szCs w:val="24"/>
              </w:rPr>
              <w:t>5、廊坊龙河高新技术产业开发区：君庭社区、理想社区。</w:t>
            </w:r>
          </w:p>
          <w:p w14:paraId="702E719C">
            <w:pPr>
              <w:widowControl/>
              <w:spacing w:line="320" w:lineRule="exact"/>
              <w:ind w:firstLine="0" w:firstLineChars="0"/>
              <w:jc w:val="left"/>
              <w:rPr>
                <w:rFonts w:hint="eastAsia"/>
                <w:kern w:val="0"/>
                <w:sz w:val="24"/>
                <w:szCs w:val="24"/>
              </w:rPr>
            </w:pPr>
            <w:r>
              <w:rPr>
                <w:rFonts w:hint="eastAsia"/>
                <w:kern w:val="0"/>
                <w:sz w:val="24"/>
                <w:szCs w:val="24"/>
              </w:rPr>
              <w:t>二、广阳区：</w:t>
            </w:r>
          </w:p>
          <w:p w14:paraId="40C95885">
            <w:pPr>
              <w:widowControl/>
              <w:spacing w:line="320" w:lineRule="exact"/>
              <w:ind w:firstLine="0" w:firstLineChars="0"/>
              <w:jc w:val="left"/>
              <w:rPr>
                <w:rFonts w:hint="eastAsia"/>
                <w:kern w:val="0"/>
                <w:sz w:val="24"/>
                <w:szCs w:val="24"/>
              </w:rPr>
            </w:pPr>
            <w:r>
              <w:rPr>
                <w:rFonts w:hint="eastAsia"/>
                <w:kern w:val="0"/>
                <w:sz w:val="24"/>
                <w:szCs w:val="24"/>
              </w:rPr>
              <w:t>1、新开路街道：林园里社区、世纪花园社区、康乐社区、国际花园社区、群乐里社区、金星道社区、瑞华里社区、东方家园社区、6916厂社区、和泰社区。</w:t>
            </w:r>
          </w:p>
          <w:p w14:paraId="0755C10F">
            <w:pPr>
              <w:widowControl/>
              <w:spacing w:line="320" w:lineRule="exact"/>
              <w:ind w:firstLine="0" w:firstLineChars="0"/>
              <w:jc w:val="left"/>
              <w:rPr>
                <w:rFonts w:hint="eastAsia"/>
                <w:kern w:val="0"/>
                <w:sz w:val="24"/>
                <w:szCs w:val="24"/>
              </w:rPr>
            </w:pPr>
            <w:r>
              <w:rPr>
                <w:rFonts w:hint="eastAsia"/>
                <w:kern w:val="0"/>
                <w:sz w:val="24"/>
                <w:szCs w:val="24"/>
              </w:rPr>
              <w:t>2、爱民东道街道：万都社区、统建楼社区、曙光道社区、华苑社区、群安街社区、群星里社区、建华里社区、3534社区、3531社区、河苑社区、馨境界社区。</w:t>
            </w:r>
          </w:p>
          <w:p w14:paraId="7FDC0EA6">
            <w:pPr>
              <w:widowControl/>
              <w:spacing w:line="320" w:lineRule="exact"/>
              <w:ind w:firstLine="0" w:firstLineChars="0"/>
              <w:jc w:val="left"/>
              <w:rPr>
                <w:rFonts w:hint="eastAsia"/>
                <w:kern w:val="0"/>
                <w:sz w:val="24"/>
                <w:szCs w:val="24"/>
              </w:rPr>
            </w:pPr>
            <w:r>
              <w:rPr>
                <w:rFonts w:hint="eastAsia"/>
                <w:kern w:val="0"/>
                <w:sz w:val="24"/>
                <w:szCs w:val="24"/>
              </w:rPr>
              <w:t>3、银河北路街道：北大街社区、迎春北路社区、西后街社区、站前社区、康宁街社区、空中花园社区、大官庄社区。</w:t>
            </w:r>
          </w:p>
          <w:p w14:paraId="382AEAF8">
            <w:pPr>
              <w:widowControl/>
              <w:spacing w:line="320" w:lineRule="exact"/>
              <w:ind w:firstLine="0" w:firstLineChars="0"/>
              <w:jc w:val="left"/>
              <w:rPr>
                <w:rFonts w:hint="eastAsia"/>
                <w:kern w:val="0"/>
                <w:sz w:val="24"/>
                <w:szCs w:val="24"/>
              </w:rPr>
            </w:pPr>
            <w:r>
              <w:rPr>
                <w:rFonts w:hint="eastAsia"/>
                <w:kern w:val="0"/>
                <w:sz w:val="24"/>
                <w:szCs w:val="24"/>
              </w:rPr>
              <w:t>4、解放道街道：华夏里社区、小廊坊社区、五福街社区、新安里社区、清河街社区、永丰道社区、康荣社区、周各庄社区、万方街社区。</w:t>
            </w:r>
          </w:p>
          <w:p w14:paraId="6184FEE3">
            <w:pPr>
              <w:widowControl/>
              <w:spacing w:line="320" w:lineRule="exact"/>
              <w:ind w:firstLine="0" w:firstLineChars="0"/>
              <w:jc w:val="left"/>
              <w:rPr>
                <w:rFonts w:hint="eastAsia"/>
                <w:kern w:val="0"/>
                <w:sz w:val="24"/>
                <w:szCs w:val="24"/>
              </w:rPr>
            </w:pPr>
            <w:r>
              <w:rPr>
                <w:rFonts w:hint="eastAsia"/>
                <w:kern w:val="0"/>
                <w:sz w:val="24"/>
                <w:szCs w:val="24"/>
              </w:rPr>
              <w:t>5、南尖塔镇：广阳公寓社区、瑞景社区、朗欣社区、幸福城社区。</w:t>
            </w:r>
          </w:p>
          <w:p w14:paraId="46333FA7">
            <w:pPr>
              <w:widowControl/>
              <w:spacing w:line="320" w:lineRule="exact"/>
              <w:ind w:firstLine="0" w:firstLineChars="0"/>
              <w:jc w:val="left"/>
              <w:rPr>
                <w:rFonts w:hint="eastAsia"/>
                <w:kern w:val="0"/>
                <w:sz w:val="24"/>
                <w:szCs w:val="24"/>
              </w:rPr>
            </w:pPr>
            <w:r>
              <w:rPr>
                <w:rFonts w:hint="eastAsia"/>
                <w:kern w:val="0"/>
                <w:sz w:val="24"/>
                <w:szCs w:val="24"/>
              </w:rPr>
              <w:t>6、北旺镇：姮庆社区、花桥社区。</w:t>
            </w:r>
          </w:p>
          <w:p w14:paraId="371DC6CE">
            <w:pPr>
              <w:widowControl/>
              <w:spacing w:line="320" w:lineRule="exact"/>
              <w:ind w:firstLine="0" w:firstLineChars="0"/>
              <w:jc w:val="left"/>
              <w:rPr>
                <w:rFonts w:hint="eastAsia"/>
                <w:kern w:val="0"/>
                <w:sz w:val="24"/>
                <w:szCs w:val="24"/>
              </w:rPr>
            </w:pPr>
            <w:r>
              <w:rPr>
                <w:rFonts w:hint="eastAsia"/>
                <w:kern w:val="0"/>
                <w:sz w:val="24"/>
                <w:szCs w:val="24"/>
              </w:rPr>
              <w:t>7、新源道街道：金地社区、金桥社区、紫金华府社区、薛家营社区。</w:t>
            </w:r>
          </w:p>
          <w:p w14:paraId="0C609E36">
            <w:pPr>
              <w:widowControl/>
              <w:spacing w:line="320" w:lineRule="exact"/>
              <w:ind w:firstLine="0" w:firstLineChars="0"/>
              <w:jc w:val="left"/>
              <w:rPr>
                <w:rFonts w:hint="eastAsia"/>
                <w:kern w:val="0"/>
                <w:sz w:val="24"/>
                <w:szCs w:val="24"/>
              </w:rPr>
            </w:pPr>
            <w:r>
              <w:rPr>
                <w:rFonts w:hint="eastAsia"/>
                <w:kern w:val="0"/>
                <w:sz w:val="24"/>
                <w:szCs w:val="24"/>
              </w:rPr>
              <w:t>三、开发区：</w:t>
            </w:r>
          </w:p>
          <w:p w14:paraId="71A23B21">
            <w:pPr>
              <w:widowControl/>
              <w:spacing w:line="320" w:lineRule="exact"/>
              <w:ind w:firstLine="0" w:firstLineChars="0"/>
              <w:jc w:val="left"/>
              <w:rPr>
                <w:rFonts w:hint="eastAsia"/>
                <w:kern w:val="0"/>
                <w:sz w:val="24"/>
                <w:szCs w:val="24"/>
              </w:rPr>
            </w:pPr>
            <w:r>
              <w:rPr>
                <w:rFonts w:hint="eastAsia"/>
                <w:kern w:val="0"/>
                <w:sz w:val="24"/>
                <w:szCs w:val="24"/>
              </w:rPr>
              <w:t>阳光佳和社区、宏泰美树社区。</w:t>
            </w:r>
          </w:p>
        </w:tc>
        <w:tc>
          <w:tcPr>
            <w:tcW w:w="222" w:type="pct"/>
            <w:vAlign w:val="center"/>
          </w:tcPr>
          <w:p w14:paraId="77C3660F">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332" w:type="pct"/>
            <w:vAlign w:val="center"/>
          </w:tcPr>
          <w:p w14:paraId="1E2F3E12">
            <w:pPr>
              <w:widowControl/>
              <w:spacing w:line="320" w:lineRule="exact"/>
              <w:ind w:firstLine="0" w:firstLineChars="0"/>
              <w:jc w:val="center"/>
              <w:rPr>
                <w:rFonts w:hint="eastAsia"/>
                <w:sz w:val="22"/>
                <w:szCs w:val="22"/>
              </w:rPr>
            </w:pPr>
            <w:r>
              <w:rPr>
                <w:kern w:val="0"/>
                <w:sz w:val="24"/>
                <w:szCs w:val="24"/>
              </w:rPr>
              <w:t>III</w:t>
            </w:r>
          </w:p>
        </w:tc>
        <w:tc>
          <w:tcPr>
            <w:tcW w:w="249" w:type="pct"/>
            <w:vAlign w:val="center"/>
          </w:tcPr>
          <w:p w14:paraId="156CEC51">
            <w:pPr>
              <w:widowControl/>
              <w:spacing w:line="320" w:lineRule="exact"/>
              <w:ind w:firstLine="0" w:firstLineChars="0"/>
              <w:jc w:val="center"/>
              <w:rPr>
                <w:rFonts w:hint="eastAsia"/>
                <w:kern w:val="0"/>
                <w:sz w:val="24"/>
                <w:szCs w:val="24"/>
              </w:rPr>
            </w:pPr>
            <w:r>
              <w:rPr>
                <w:rFonts w:hint="eastAsia"/>
                <w:kern w:val="0"/>
                <w:sz w:val="24"/>
                <w:szCs w:val="24"/>
              </w:rPr>
              <w:t>市卫健委、</w:t>
            </w:r>
          </w:p>
          <w:p w14:paraId="0EB2A69C">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76AE7793">
            <w:pPr>
              <w:widowControl/>
              <w:spacing w:line="320" w:lineRule="exact"/>
              <w:ind w:firstLine="0" w:firstLineChars="0"/>
              <w:jc w:val="center"/>
              <w:rPr>
                <w:rFonts w:hint="eastAsia"/>
                <w:kern w:val="0"/>
                <w:sz w:val="24"/>
                <w:szCs w:val="24"/>
              </w:rPr>
            </w:pPr>
            <w:r>
              <w:rPr>
                <w:rFonts w:hint="eastAsia"/>
                <w:kern w:val="0"/>
                <w:sz w:val="24"/>
                <w:szCs w:val="24"/>
              </w:rPr>
              <w:t>广阳区政府</w:t>
            </w:r>
          </w:p>
        </w:tc>
      </w:tr>
      <w:tr w14:paraId="6D83D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04" w:type="pct"/>
            <w:vAlign w:val="center"/>
          </w:tcPr>
          <w:p w14:paraId="6E39F770">
            <w:pPr>
              <w:widowControl/>
              <w:spacing w:line="320" w:lineRule="exact"/>
              <w:ind w:firstLine="0" w:firstLineChars="0"/>
              <w:jc w:val="center"/>
              <w:rPr>
                <w:rFonts w:hint="eastAsia"/>
                <w:kern w:val="0"/>
                <w:sz w:val="24"/>
                <w:szCs w:val="24"/>
              </w:rPr>
            </w:pPr>
            <w:r>
              <w:rPr>
                <w:rFonts w:hint="eastAsia"/>
                <w:kern w:val="0"/>
                <w:sz w:val="24"/>
                <w:szCs w:val="24"/>
              </w:rPr>
              <w:t>10</w:t>
            </w:r>
          </w:p>
        </w:tc>
        <w:tc>
          <w:tcPr>
            <w:tcW w:w="362" w:type="pct"/>
            <w:vAlign w:val="center"/>
          </w:tcPr>
          <w:p w14:paraId="40D67055">
            <w:pPr>
              <w:widowControl/>
              <w:spacing w:line="320" w:lineRule="exact"/>
              <w:ind w:firstLine="0" w:firstLineChars="0"/>
              <w:jc w:val="center"/>
              <w:rPr>
                <w:rFonts w:hint="eastAsia"/>
                <w:kern w:val="0"/>
                <w:sz w:val="24"/>
                <w:szCs w:val="24"/>
              </w:rPr>
            </w:pPr>
            <w:r>
              <w:rPr>
                <w:rFonts w:hint="eastAsia"/>
                <w:kern w:val="0"/>
                <w:sz w:val="24"/>
                <w:szCs w:val="24"/>
              </w:rPr>
              <w:t>☆停车泊位缺口数（个）</w:t>
            </w:r>
          </w:p>
        </w:tc>
        <w:tc>
          <w:tcPr>
            <w:tcW w:w="318" w:type="pct"/>
            <w:vAlign w:val="center"/>
          </w:tcPr>
          <w:p w14:paraId="7DA05567">
            <w:pPr>
              <w:widowControl/>
              <w:spacing w:line="320" w:lineRule="exact"/>
              <w:ind w:firstLine="0" w:firstLineChars="0"/>
              <w:jc w:val="center"/>
              <w:rPr>
                <w:rFonts w:hint="eastAsia"/>
                <w:kern w:val="0"/>
                <w:sz w:val="24"/>
                <w:szCs w:val="24"/>
              </w:rPr>
            </w:pPr>
            <w:r>
              <w:rPr>
                <w:rFonts w:hint="eastAsia"/>
                <w:kern w:val="0"/>
                <w:sz w:val="24"/>
                <w:szCs w:val="24"/>
              </w:rPr>
              <w:t>25309</w:t>
            </w:r>
          </w:p>
        </w:tc>
        <w:tc>
          <w:tcPr>
            <w:tcW w:w="651" w:type="pct"/>
            <w:vAlign w:val="center"/>
          </w:tcPr>
          <w:p w14:paraId="0AF9392C">
            <w:pPr>
              <w:widowControl/>
              <w:spacing w:line="320" w:lineRule="exact"/>
              <w:ind w:firstLine="0" w:firstLineChars="0"/>
              <w:jc w:val="center"/>
              <w:rPr>
                <w:rFonts w:hint="eastAsia"/>
                <w:kern w:val="0"/>
                <w:sz w:val="24"/>
                <w:szCs w:val="24"/>
              </w:rPr>
            </w:pPr>
            <w:r>
              <w:rPr>
                <w:rFonts w:hint="eastAsia"/>
                <w:kern w:val="0"/>
                <w:sz w:val="24"/>
                <w:szCs w:val="24"/>
              </w:rPr>
              <w:t>有停车泊位缺口的社区占比44%，部分路段存在违规停车及占用消防通道现象，影响生命线通道的功能畅通</w:t>
            </w:r>
          </w:p>
        </w:tc>
        <w:tc>
          <w:tcPr>
            <w:tcW w:w="572" w:type="pct"/>
            <w:vAlign w:val="center"/>
          </w:tcPr>
          <w:p w14:paraId="1612FE11">
            <w:pPr>
              <w:widowControl/>
              <w:spacing w:line="320" w:lineRule="exact"/>
              <w:ind w:firstLine="0" w:firstLineChars="0"/>
              <w:jc w:val="center"/>
              <w:rPr>
                <w:rFonts w:hint="eastAsia"/>
                <w:kern w:val="0"/>
                <w:sz w:val="24"/>
                <w:szCs w:val="24"/>
              </w:rPr>
            </w:pPr>
            <w:r>
              <w:rPr>
                <w:rFonts w:hint="eastAsia"/>
                <w:sz w:val="22"/>
                <w:szCs w:val="22"/>
              </w:rPr>
              <w:t>针对安次区、广阳区、开发区，一是增加停车位供给，二是停车位管理优化，三是鼓励公共交通，四是，地下空间开发，五是，规范物业管理，六是，制定合理的规划，重新规划停车位，加强物业管理。</w:t>
            </w:r>
          </w:p>
        </w:tc>
        <w:tc>
          <w:tcPr>
            <w:tcW w:w="2088" w:type="pct"/>
            <w:vAlign w:val="center"/>
          </w:tcPr>
          <w:p w14:paraId="71A984AD">
            <w:pPr>
              <w:widowControl/>
              <w:spacing w:line="320" w:lineRule="exact"/>
              <w:ind w:firstLine="0" w:firstLineChars="0"/>
              <w:jc w:val="left"/>
              <w:rPr>
                <w:rFonts w:hint="eastAsia"/>
                <w:kern w:val="0"/>
                <w:sz w:val="24"/>
                <w:szCs w:val="24"/>
              </w:rPr>
            </w:pPr>
            <w:r>
              <w:rPr>
                <w:rFonts w:hint="eastAsia"/>
                <w:kern w:val="0"/>
                <w:sz w:val="24"/>
                <w:szCs w:val="24"/>
              </w:rPr>
              <w:t>一、安次区：</w:t>
            </w:r>
          </w:p>
          <w:p w14:paraId="0F53CB06">
            <w:pPr>
              <w:widowControl/>
              <w:spacing w:line="320" w:lineRule="exact"/>
              <w:ind w:firstLine="0" w:firstLineChars="0"/>
              <w:jc w:val="left"/>
              <w:rPr>
                <w:rFonts w:hint="eastAsia"/>
                <w:kern w:val="0"/>
                <w:sz w:val="24"/>
                <w:szCs w:val="24"/>
              </w:rPr>
            </w:pPr>
            <w:r>
              <w:rPr>
                <w:rFonts w:hint="eastAsia"/>
                <w:kern w:val="0"/>
                <w:sz w:val="24"/>
                <w:szCs w:val="24"/>
              </w:rPr>
              <w:t>1、银河南路街道：开源里社区的电缆厂宿舍缺口20个；嘉多丽社区的嘉多丽花园缺口70，长富吉第缺口30；前锋社区的安居花园小区缺口40；惠民社区的惠民小区二期缺口60。</w:t>
            </w:r>
          </w:p>
          <w:p w14:paraId="1CA0677E">
            <w:pPr>
              <w:widowControl/>
              <w:spacing w:line="320" w:lineRule="exact"/>
              <w:ind w:firstLine="0" w:firstLineChars="0"/>
              <w:jc w:val="left"/>
              <w:rPr>
                <w:rFonts w:hint="eastAsia"/>
                <w:kern w:val="0"/>
                <w:sz w:val="24"/>
                <w:szCs w:val="24"/>
              </w:rPr>
            </w:pPr>
            <w:r>
              <w:rPr>
                <w:rFonts w:hint="eastAsia"/>
                <w:kern w:val="0"/>
                <w:sz w:val="24"/>
                <w:szCs w:val="24"/>
              </w:rPr>
              <w:t>2、光明西道街道：南大街社区的汇源名居东区缺口100，侍郎房缺口180，南苑里缺口70，工行宿舍缺口10，铁路宿舍缺口37，南小街平房缺口3；院校区社区的师范一区缺口30，师范二区缺口15，书香苑缺口10，光明小区缺口20；西大街社区的所有8个小区都有缺口；永兴社区永兴小区缺口186，永兴新区缺口39，永兴别墅缺口17；瑞河兰乔社区的瑞河兰乔小区缺口872；益寿里社区的臻丽家园缺口24，党校宿舍缺口11，金源小区缺口10；九园社区的华夏第九园缺口900；常青社区的常青家园小区缺口220；爱民社区的炮校家属院缺口20，书芳苑缺口15。</w:t>
            </w:r>
          </w:p>
          <w:p w14:paraId="50AF1D19">
            <w:pPr>
              <w:widowControl/>
              <w:spacing w:line="320" w:lineRule="exact"/>
              <w:ind w:firstLine="0" w:firstLineChars="0"/>
              <w:jc w:val="left"/>
              <w:rPr>
                <w:rFonts w:hint="eastAsia"/>
                <w:kern w:val="0"/>
                <w:sz w:val="24"/>
                <w:szCs w:val="24"/>
              </w:rPr>
            </w:pPr>
            <w:r>
              <w:rPr>
                <w:rFonts w:hint="eastAsia"/>
                <w:kern w:val="0"/>
                <w:sz w:val="24"/>
                <w:szCs w:val="24"/>
              </w:rPr>
              <w:t>3、永华道街道：盛德社区的盛德花园小区缺口754，交通局宿舍缺口16；中科社区的植物油厂宿舍缺口30；蓝波湾社区的蓝波湾小区缺口690，安泰家园缺口460，畜牧局综合楼缺口10，永兴苑缺口381，金属柜综合楼缺口3；尚华城社区的尚华城小区缺口500。</w:t>
            </w:r>
          </w:p>
          <w:p w14:paraId="68FC1721">
            <w:pPr>
              <w:widowControl/>
              <w:spacing w:line="320" w:lineRule="exact"/>
              <w:ind w:firstLine="0" w:firstLineChars="0"/>
              <w:jc w:val="left"/>
              <w:rPr>
                <w:rFonts w:hint="eastAsia"/>
                <w:kern w:val="0"/>
                <w:sz w:val="24"/>
                <w:szCs w:val="24"/>
              </w:rPr>
            </w:pPr>
            <w:r>
              <w:rPr>
                <w:rFonts w:hint="eastAsia"/>
                <w:kern w:val="0"/>
                <w:sz w:val="24"/>
                <w:szCs w:val="24"/>
              </w:rPr>
              <w:t>4、北史家务镇：瑞景嘉园社区的瑞景嘉园缺口381，盛德福苑缺口374。</w:t>
            </w:r>
          </w:p>
          <w:p w14:paraId="2A103F08">
            <w:pPr>
              <w:widowControl/>
              <w:spacing w:line="320" w:lineRule="exact"/>
              <w:ind w:firstLine="0" w:firstLineChars="0"/>
              <w:jc w:val="left"/>
              <w:rPr>
                <w:rFonts w:hint="eastAsia"/>
                <w:kern w:val="0"/>
                <w:sz w:val="24"/>
                <w:szCs w:val="24"/>
              </w:rPr>
            </w:pPr>
            <w:r>
              <w:rPr>
                <w:rFonts w:hint="eastAsia"/>
                <w:kern w:val="0"/>
                <w:sz w:val="24"/>
                <w:szCs w:val="24"/>
              </w:rPr>
              <w:t>5、杨税务镇：汇贤城社区的学府澜湾小区缺口384；福兴路社区的银丰家园缺口19，汽配城小区缺口60，宏程华苑缺口157，宏程华庭缺口192。</w:t>
            </w:r>
          </w:p>
          <w:p w14:paraId="4C4EDAEA">
            <w:pPr>
              <w:widowControl/>
              <w:spacing w:line="320" w:lineRule="exact"/>
              <w:ind w:firstLine="0" w:firstLineChars="0"/>
              <w:jc w:val="left"/>
              <w:rPr>
                <w:rFonts w:hint="eastAsia"/>
                <w:kern w:val="0"/>
                <w:sz w:val="24"/>
                <w:szCs w:val="24"/>
              </w:rPr>
            </w:pPr>
            <w:r>
              <w:rPr>
                <w:rFonts w:hint="eastAsia"/>
                <w:kern w:val="0"/>
                <w:sz w:val="24"/>
                <w:szCs w:val="24"/>
              </w:rPr>
              <w:t>6、廊坊龙河高新技术产业开发区：红星紫郡社区的大拇指小区缺口27，红星紫郡小区缺口1573。</w:t>
            </w:r>
          </w:p>
          <w:p w14:paraId="08312804">
            <w:pPr>
              <w:widowControl/>
              <w:spacing w:line="320" w:lineRule="exact"/>
              <w:ind w:firstLine="0" w:firstLineChars="0"/>
              <w:jc w:val="left"/>
              <w:rPr>
                <w:rFonts w:hint="eastAsia"/>
                <w:kern w:val="0"/>
                <w:sz w:val="24"/>
                <w:szCs w:val="24"/>
              </w:rPr>
            </w:pPr>
            <w:r>
              <w:rPr>
                <w:rFonts w:hint="eastAsia"/>
                <w:kern w:val="0"/>
                <w:sz w:val="24"/>
                <w:szCs w:val="24"/>
              </w:rPr>
              <w:t>二、广阳区：</w:t>
            </w:r>
          </w:p>
          <w:p w14:paraId="60D8CF3C">
            <w:pPr>
              <w:widowControl/>
              <w:spacing w:line="320" w:lineRule="exact"/>
              <w:ind w:firstLine="0" w:firstLineChars="0"/>
              <w:jc w:val="left"/>
              <w:rPr>
                <w:rFonts w:hint="eastAsia"/>
                <w:kern w:val="0"/>
                <w:sz w:val="24"/>
                <w:szCs w:val="24"/>
              </w:rPr>
            </w:pPr>
            <w:r>
              <w:rPr>
                <w:rFonts w:hint="eastAsia"/>
                <w:kern w:val="0"/>
                <w:sz w:val="24"/>
                <w:szCs w:val="24"/>
              </w:rPr>
              <w:t>1、新开路街道：康乐社区的康乐花园缺口700，芳泽园缺口30，二招平房缺口50，国安局宿舍缺口50；同顺里社区的解放八号、金源丽都缺口200，梅花公寓缺口80，志强里、德源华通缺口250，圣泰新苑南区、北区缺口150；群乐里社区的群乐里小区缺口20；瑞泰社区的所有9个小区都有停车位缺口；新泰社区的中房馨园小区缺口40，惜缘花城小区缺口40，锦瑞尚城小区缺口80；瑞华里社区的益民花园缺口140；世锦名城社区的世锦名城缺口345；和泰社区的博泰缺口50。</w:t>
            </w:r>
          </w:p>
          <w:p w14:paraId="789309F5">
            <w:pPr>
              <w:widowControl/>
              <w:spacing w:line="320" w:lineRule="exact"/>
              <w:ind w:firstLine="0" w:firstLineChars="0"/>
              <w:jc w:val="left"/>
              <w:rPr>
                <w:rFonts w:hint="eastAsia"/>
                <w:kern w:val="0"/>
                <w:sz w:val="24"/>
                <w:szCs w:val="24"/>
              </w:rPr>
            </w:pPr>
            <w:r>
              <w:rPr>
                <w:rFonts w:hint="eastAsia"/>
                <w:kern w:val="0"/>
                <w:sz w:val="24"/>
                <w:szCs w:val="24"/>
              </w:rPr>
              <w:t>2、爱民东道街道：裕华路社区的西务周转楼缺口7，裕民里缺口35；统建楼社区的集宁里缺口131，和风里缺口24，众贤里缺口26，久安里缺口29，建委宿舍缺口30，荣福里缺口24，日华里缺口22，民政局宿舍缺口12，康健楼缺口6，水文局宿舍缺口8，保险公司宿舍缺口10，秀景花园B区缺口15；曙光道社区的所有7个小区都有停车位缺口；华苑社区的华苑小区缺口208，新华小区缺口82，热力宿舍缺口33，融新楼缺口31，供电小区缺口28，华融楼缺口24，新华北小区缺口32；群安街社区的公安楼缺口24，聚星苑缺口59，芳菲苑缺口62，新益小区缺口19，裕华小区北区缺口68，农科院博士专家楼缺口22，振财小区缺口30，实业小区缺口56，银河逸景缺口49；群星里社区的27个小区均有停车位缺口；建华里社区的旭景花园小区缺口30，建华里小区缺口45，建安里小区缺口15，丰华里小区缺口15，中医院宿舍缺口30，警金里小区缺口20，百殿园小区缺口30，向阳里小区缺口34；3534社区的3534小区缺口100；3531社区的农兴里小区缺口2，尚北金里缺口20；新星里社区的新星里小区、馨领地小区、廊北小区；河苑社区的农行宿舍缺口10，法院宿舍缺口20；华夏经典社区的华夏经典缺口76，丰裕小区缺口13；馨境界社区的所有5个小区均有缺口。</w:t>
            </w:r>
          </w:p>
          <w:p w14:paraId="3BF2020D">
            <w:pPr>
              <w:widowControl/>
              <w:spacing w:line="320" w:lineRule="exact"/>
              <w:ind w:firstLine="0" w:firstLineChars="0"/>
              <w:jc w:val="left"/>
              <w:rPr>
                <w:rFonts w:hint="eastAsia"/>
                <w:kern w:val="0"/>
                <w:sz w:val="24"/>
                <w:szCs w:val="24"/>
              </w:rPr>
            </w:pPr>
            <w:r>
              <w:rPr>
                <w:rFonts w:hint="eastAsia"/>
                <w:kern w:val="0"/>
                <w:sz w:val="24"/>
                <w:szCs w:val="24"/>
              </w:rPr>
              <w:t>3、银河北路街道：西后街社区的银河大街缺口50；康宁街社区的所有6个小区都有缺口。</w:t>
            </w:r>
          </w:p>
          <w:p w14:paraId="4E4584EA">
            <w:pPr>
              <w:widowControl/>
              <w:spacing w:line="320" w:lineRule="exact"/>
              <w:ind w:firstLine="0" w:firstLineChars="0"/>
              <w:jc w:val="left"/>
              <w:rPr>
                <w:rFonts w:hint="eastAsia"/>
                <w:kern w:val="0"/>
                <w:sz w:val="24"/>
                <w:szCs w:val="24"/>
              </w:rPr>
            </w:pPr>
            <w:r>
              <w:rPr>
                <w:rFonts w:hint="eastAsia"/>
                <w:kern w:val="0"/>
                <w:sz w:val="24"/>
                <w:szCs w:val="24"/>
              </w:rPr>
              <w:t>4、解放道街道：康庄社区的康庄小区缺口1800；华夏里社区的除干休所，其他17个小区都有缺口；小廊坊社区的晓廊坊小区缺口310、永丰胡同缺口5、东安市场平房缺口20；五福街社区所有5个小区都有缺口；新安里社区的所有9个小区都有缺口；万众里社区的所有15个小区都有缺口；清河街社区的清河小区、市政小区、馨平公寓；永丰道社区的新华广场、三中北楼、三中南楼、老干部局宿舍楼、交警楼；康荣社区的四大街南外街缺口20、燃料宿舍缺口20、富华小区缺口20、市政宿舍缺口20；周各庄社区的所有6个小区都有缺口。</w:t>
            </w:r>
          </w:p>
          <w:p w14:paraId="5C08D6D4">
            <w:pPr>
              <w:widowControl/>
              <w:spacing w:line="320" w:lineRule="exact"/>
              <w:ind w:firstLine="0" w:firstLineChars="0"/>
              <w:jc w:val="left"/>
              <w:rPr>
                <w:rFonts w:hint="eastAsia"/>
                <w:kern w:val="0"/>
                <w:sz w:val="24"/>
                <w:szCs w:val="24"/>
              </w:rPr>
            </w:pPr>
            <w:r>
              <w:rPr>
                <w:rFonts w:hint="eastAsia"/>
                <w:kern w:val="0"/>
                <w:sz w:val="24"/>
                <w:szCs w:val="24"/>
              </w:rPr>
              <w:t>5、南尖塔镇：颐和社区的颐和佳苑缺口300，幸福佳苑缺口850；幸福城社区的幸福城润园缺口875；孔雀公馆社区的华夏铂宫缺口500、悦秀园缺口100、枫景园缺口400、香堤园缺口50、安瑞嘉园缺口200。</w:t>
            </w:r>
          </w:p>
          <w:p w14:paraId="5A266A57">
            <w:pPr>
              <w:widowControl/>
              <w:spacing w:line="320" w:lineRule="exact"/>
              <w:ind w:firstLine="0" w:firstLineChars="0"/>
              <w:jc w:val="left"/>
              <w:rPr>
                <w:rFonts w:hint="eastAsia"/>
                <w:kern w:val="0"/>
                <w:sz w:val="24"/>
                <w:szCs w:val="24"/>
              </w:rPr>
            </w:pPr>
            <w:r>
              <w:rPr>
                <w:rFonts w:hint="eastAsia"/>
                <w:kern w:val="0"/>
                <w:sz w:val="24"/>
                <w:szCs w:val="24"/>
              </w:rPr>
              <w:t>6、北旺镇：花桥社区的儒苑小区一期、儒苑小区二期。</w:t>
            </w:r>
          </w:p>
          <w:p w14:paraId="0ECA77F5">
            <w:pPr>
              <w:widowControl/>
              <w:spacing w:line="320" w:lineRule="exact"/>
              <w:ind w:firstLine="0" w:firstLineChars="0"/>
              <w:jc w:val="left"/>
              <w:rPr>
                <w:rFonts w:hint="eastAsia"/>
                <w:kern w:val="0"/>
                <w:sz w:val="24"/>
                <w:szCs w:val="24"/>
              </w:rPr>
            </w:pPr>
            <w:r>
              <w:rPr>
                <w:rFonts w:hint="eastAsia"/>
                <w:kern w:val="0"/>
                <w:sz w:val="24"/>
                <w:szCs w:val="24"/>
              </w:rPr>
              <w:t>7、新源道街道：金泰社区的金泰花园小区缺口1300；和平丽景社区的和平丽景小区缺口116，盛德金地缺口24，望景广场缺口54。</w:t>
            </w:r>
          </w:p>
          <w:p w14:paraId="08689825">
            <w:pPr>
              <w:widowControl/>
              <w:spacing w:line="320" w:lineRule="exact"/>
              <w:ind w:firstLine="0" w:firstLineChars="0"/>
              <w:jc w:val="left"/>
              <w:rPr>
                <w:rFonts w:hint="eastAsia"/>
                <w:kern w:val="0"/>
                <w:sz w:val="24"/>
                <w:szCs w:val="24"/>
              </w:rPr>
            </w:pPr>
            <w:r>
              <w:rPr>
                <w:rFonts w:hint="eastAsia"/>
                <w:kern w:val="0"/>
                <w:sz w:val="24"/>
                <w:szCs w:val="24"/>
              </w:rPr>
              <w:t>三、开发区：</w:t>
            </w:r>
          </w:p>
          <w:p w14:paraId="2FA18860">
            <w:pPr>
              <w:widowControl/>
              <w:spacing w:line="320" w:lineRule="exact"/>
              <w:ind w:firstLine="0" w:firstLineChars="0"/>
              <w:jc w:val="left"/>
              <w:rPr>
                <w:rFonts w:hint="eastAsia"/>
                <w:kern w:val="0"/>
                <w:sz w:val="24"/>
                <w:szCs w:val="24"/>
              </w:rPr>
            </w:pPr>
            <w:r>
              <w:rPr>
                <w:rFonts w:hint="eastAsia"/>
                <w:kern w:val="0"/>
                <w:sz w:val="24"/>
                <w:szCs w:val="24"/>
              </w:rPr>
              <w:t>云鹏道街道：东方大学城社区的一期教师公寓缺口50；东方之珠社区的专家公寓缺口65、大学里西区缺口208。</w:t>
            </w:r>
          </w:p>
        </w:tc>
        <w:tc>
          <w:tcPr>
            <w:tcW w:w="222" w:type="pct"/>
            <w:vAlign w:val="center"/>
          </w:tcPr>
          <w:p w14:paraId="62F9A8E8">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332" w:type="pct"/>
            <w:vAlign w:val="center"/>
          </w:tcPr>
          <w:p w14:paraId="1ED1CAEA">
            <w:pPr>
              <w:widowControl/>
              <w:spacing w:line="320" w:lineRule="exact"/>
              <w:ind w:firstLine="0" w:firstLineChars="0"/>
              <w:jc w:val="center"/>
              <w:rPr>
                <w:rFonts w:hint="eastAsia"/>
                <w:sz w:val="22"/>
                <w:szCs w:val="22"/>
              </w:rPr>
            </w:pPr>
            <w:r>
              <w:rPr>
                <w:kern w:val="0"/>
                <w:sz w:val="24"/>
                <w:szCs w:val="24"/>
              </w:rPr>
              <w:t>III</w:t>
            </w:r>
          </w:p>
        </w:tc>
        <w:tc>
          <w:tcPr>
            <w:tcW w:w="249" w:type="pct"/>
            <w:vAlign w:val="center"/>
          </w:tcPr>
          <w:p w14:paraId="7162256F">
            <w:pPr>
              <w:widowControl/>
              <w:spacing w:line="320" w:lineRule="exact"/>
              <w:ind w:firstLine="0" w:firstLineChars="0"/>
              <w:jc w:val="center"/>
              <w:rPr>
                <w:rFonts w:hint="eastAsia"/>
                <w:kern w:val="0"/>
                <w:sz w:val="24"/>
                <w:szCs w:val="24"/>
              </w:rPr>
            </w:pPr>
            <w:r>
              <w:rPr>
                <w:rFonts w:hint="eastAsia"/>
                <w:kern w:val="0"/>
                <w:sz w:val="24"/>
                <w:szCs w:val="24"/>
              </w:rPr>
              <w:t>市城管行政执法局、</w:t>
            </w:r>
          </w:p>
          <w:p w14:paraId="5D42F687">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6CF885C3">
            <w:pPr>
              <w:widowControl/>
              <w:spacing w:line="320" w:lineRule="exact"/>
              <w:ind w:firstLine="0" w:firstLineChars="0"/>
              <w:jc w:val="center"/>
              <w:rPr>
                <w:rFonts w:hint="eastAsia"/>
                <w:kern w:val="0"/>
                <w:sz w:val="24"/>
                <w:szCs w:val="24"/>
              </w:rPr>
            </w:pPr>
            <w:r>
              <w:rPr>
                <w:rFonts w:hint="eastAsia"/>
                <w:kern w:val="0"/>
                <w:sz w:val="24"/>
                <w:szCs w:val="24"/>
              </w:rPr>
              <w:t>市公安局、</w:t>
            </w:r>
          </w:p>
          <w:p w14:paraId="15307930">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7FA5D6EA">
            <w:pPr>
              <w:widowControl/>
              <w:spacing w:line="320" w:lineRule="exact"/>
              <w:ind w:firstLine="0" w:firstLineChars="0"/>
              <w:jc w:val="center"/>
              <w:rPr>
                <w:rFonts w:hint="eastAsia"/>
                <w:sz w:val="22"/>
                <w:szCs w:val="22"/>
              </w:rPr>
            </w:pPr>
            <w:r>
              <w:rPr>
                <w:rFonts w:hint="eastAsia"/>
                <w:kern w:val="0"/>
                <w:sz w:val="24"/>
                <w:szCs w:val="24"/>
              </w:rPr>
              <w:t>广阳</w:t>
            </w:r>
            <w:r>
              <w:rPr>
                <w:rFonts w:hint="eastAsia"/>
                <w:sz w:val="22"/>
                <w:szCs w:val="22"/>
              </w:rPr>
              <w:t>区政府、</w:t>
            </w:r>
          </w:p>
          <w:p w14:paraId="1832BCDB">
            <w:pPr>
              <w:widowControl/>
              <w:spacing w:line="320" w:lineRule="exact"/>
              <w:ind w:firstLine="0" w:firstLineChars="0"/>
              <w:jc w:val="center"/>
              <w:rPr>
                <w:rFonts w:hint="eastAsia"/>
                <w:kern w:val="0"/>
                <w:sz w:val="24"/>
                <w:szCs w:val="24"/>
              </w:rPr>
            </w:pPr>
            <w:r>
              <w:rPr>
                <w:rFonts w:hint="eastAsia"/>
                <w:sz w:val="22"/>
                <w:szCs w:val="22"/>
              </w:rPr>
              <w:t>开发区管委会</w:t>
            </w:r>
          </w:p>
        </w:tc>
      </w:tr>
      <w:tr w14:paraId="44570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04" w:type="pct"/>
            <w:vAlign w:val="center"/>
          </w:tcPr>
          <w:p w14:paraId="76A084CC">
            <w:pPr>
              <w:widowControl/>
              <w:spacing w:line="320" w:lineRule="exact"/>
              <w:ind w:firstLine="0" w:firstLineChars="0"/>
              <w:jc w:val="center"/>
              <w:rPr>
                <w:rFonts w:hint="eastAsia"/>
                <w:kern w:val="0"/>
                <w:sz w:val="24"/>
                <w:szCs w:val="24"/>
              </w:rPr>
            </w:pPr>
            <w:r>
              <w:rPr>
                <w:rFonts w:hint="eastAsia"/>
                <w:kern w:val="0"/>
                <w:sz w:val="24"/>
                <w:szCs w:val="24"/>
              </w:rPr>
              <w:t>11</w:t>
            </w:r>
          </w:p>
        </w:tc>
        <w:tc>
          <w:tcPr>
            <w:tcW w:w="362" w:type="pct"/>
            <w:vAlign w:val="center"/>
          </w:tcPr>
          <w:p w14:paraId="071389E9">
            <w:pPr>
              <w:widowControl/>
              <w:spacing w:line="320" w:lineRule="exact"/>
              <w:ind w:firstLine="0" w:firstLineChars="0"/>
              <w:jc w:val="center"/>
              <w:rPr>
                <w:rFonts w:hint="eastAsia"/>
                <w:kern w:val="0"/>
                <w:sz w:val="24"/>
                <w:szCs w:val="24"/>
              </w:rPr>
            </w:pPr>
            <w:r>
              <w:rPr>
                <w:rFonts w:hint="eastAsia"/>
                <w:kern w:val="0"/>
                <w:sz w:val="24"/>
                <w:szCs w:val="24"/>
              </w:rPr>
              <w:t>新能源汽车充电桩缺口数（个）</w:t>
            </w:r>
          </w:p>
        </w:tc>
        <w:tc>
          <w:tcPr>
            <w:tcW w:w="318" w:type="pct"/>
            <w:vAlign w:val="center"/>
          </w:tcPr>
          <w:p w14:paraId="139E769B">
            <w:pPr>
              <w:widowControl/>
              <w:spacing w:line="320" w:lineRule="exact"/>
              <w:ind w:firstLine="0" w:firstLineChars="0"/>
              <w:jc w:val="center"/>
              <w:rPr>
                <w:rFonts w:hint="eastAsia"/>
                <w:kern w:val="0"/>
                <w:sz w:val="24"/>
                <w:szCs w:val="24"/>
              </w:rPr>
            </w:pPr>
            <w:r>
              <w:rPr>
                <w:rFonts w:hint="eastAsia"/>
                <w:kern w:val="0"/>
                <w:sz w:val="24"/>
                <w:szCs w:val="24"/>
              </w:rPr>
              <w:t>3460</w:t>
            </w:r>
          </w:p>
        </w:tc>
        <w:tc>
          <w:tcPr>
            <w:tcW w:w="651" w:type="pct"/>
            <w:vAlign w:val="center"/>
          </w:tcPr>
          <w:p w14:paraId="4138CC4F">
            <w:pPr>
              <w:widowControl/>
              <w:spacing w:line="320" w:lineRule="exact"/>
              <w:ind w:firstLine="0" w:firstLineChars="0"/>
              <w:jc w:val="center"/>
              <w:rPr>
                <w:rFonts w:hint="eastAsia"/>
                <w:kern w:val="0"/>
                <w:sz w:val="24"/>
                <w:szCs w:val="24"/>
              </w:rPr>
            </w:pPr>
            <w:r>
              <w:rPr>
                <w:rFonts w:hint="eastAsia"/>
                <w:kern w:val="0"/>
                <w:sz w:val="24"/>
                <w:szCs w:val="24"/>
              </w:rPr>
              <w:t>有新能源汽车充电桩缺口的社区占比44.7</w:t>
            </w:r>
            <w:r>
              <w:rPr>
                <w:kern w:val="0"/>
                <w:sz w:val="24"/>
                <w:szCs w:val="24"/>
              </w:rPr>
              <w:t>%</w:t>
            </w:r>
            <w:r>
              <w:rPr>
                <w:rFonts w:hint="eastAsia"/>
                <w:kern w:val="0"/>
                <w:sz w:val="24"/>
                <w:szCs w:val="24"/>
              </w:rPr>
              <w:t>，未安装新能源汽车充电桩的小区数量202个，占全部小区总数的25.9%，不满足社区新能源汽车充电诉求。老旧小区还存在电容不够、无停车空间安装的问题。</w:t>
            </w:r>
          </w:p>
        </w:tc>
        <w:tc>
          <w:tcPr>
            <w:tcW w:w="572" w:type="pct"/>
            <w:vAlign w:val="center"/>
          </w:tcPr>
          <w:p w14:paraId="3B02CEC9">
            <w:pPr>
              <w:widowControl/>
              <w:spacing w:line="320" w:lineRule="exact"/>
              <w:ind w:firstLine="0" w:firstLineChars="0"/>
              <w:jc w:val="center"/>
              <w:rPr>
                <w:rFonts w:hint="eastAsia"/>
                <w:kern w:val="0"/>
                <w:sz w:val="24"/>
                <w:szCs w:val="24"/>
              </w:rPr>
            </w:pPr>
            <w:r>
              <w:rPr>
                <w:rFonts w:hint="eastAsia"/>
                <w:kern w:val="0"/>
                <w:sz w:val="24"/>
                <w:szCs w:val="24"/>
              </w:rPr>
              <w:t>增加充电桩的规划和建设，对于新能源汽车保有量增加的情况，需要增加充电桩的数量来满足需求。可以结合社区的实际情况，制定合理的充电桩建设规划，并按照规划进行建设。在建设过程中，需要考虑充电桩的位置、电力供应、施工规范等方面的问题，确保充电桩能够正常投入使用。</w:t>
            </w:r>
          </w:p>
        </w:tc>
        <w:tc>
          <w:tcPr>
            <w:tcW w:w="2088" w:type="pct"/>
            <w:vAlign w:val="center"/>
          </w:tcPr>
          <w:p w14:paraId="75C3D7EC">
            <w:pPr>
              <w:widowControl/>
              <w:spacing w:line="320" w:lineRule="exact"/>
              <w:ind w:firstLine="0" w:firstLineChars="0"/>
              <w:jc w:val="left"/>
              <w:rPr>
                <w:rFonts w:hint="eastAsia"/>
                <w:kern w:val="0"/>
                <w:sz w:val="24"/>
                <w:szCs w:val="24"/>
              </w:rPr>
            </w:pPr>
            <w:r>
              <w:rPr>
                <w:rFonts w:hint="eastAsia"/>
                <w:kern w:val="0"/>
                <w:sz w:val="24"/>
                <w:szCs w:val="24"/>
              </w:rPr>
              <w:t>一、安次区：</w:t>
            </w:r>
          </w:p>
          <w:p w14:paraId="753F6FF1">
            <w:pPr>
              <w:widowControl/>
              <w:spacing w:line="320" w:lineRule="exact"/>
              <w:ind w:firstLine="0" w:firstLineChars="0"/>
              <w:jc w:val="left"/>
              <w:rPr>
                <w:rFonts w:hint="eastAsia"/>
                <w:kern w:val="0"/>
                <w:sz w:val="24"/>
                <w:szCs w:val="24"/>
              </w:rPr>
            </w:pPr>
            <w:r>
              <w:rPr>
                <w:rFonts w:hint="eastAsia"/>
                <w:kern w:val="0"/>
                <w:sz w:val="24"/>
                <w:szCs w:val="24"/>
              </w:rPr>
              <w:t>1、银河南路街道：开源里社区的水务局宿舍缺口5个、电缆厂宿舍缺口5个、办事处宿舍缺口5个、波尔多花园缺口5个；嘉多丽社区的嘉多丽花园缺口10个、长富吉第8个；惠民社区的惠民小区一期缺口10个；花语景园社区的花语璟园缺口20个，金域蓝山小区缺口10个。</w:t>
            </w:r>
          </w:p>
          <w:p w14:paraId="1DB67075">
            <w:pPr>
              <w:widowControl/>
              <w:spacing w:line="320" w:lineRule="exact"/>
              <w:ind w:firstLine="0" w:firstLineChars="0"/>
              <w:jc w:val="left"/>
              <w:rPr>
                <w:rFonts w:hint="eastAsia"/>
                <w:kern w:val="0"/>
                <w:sz w:val="24"/>
                <w:szCs w:val="24"/>
              </w:rPr>
            </w:pPr>
            <w:r>
              <w:rPr>
                <w:rFonts w:hint="eastAsia"/>
                <w:kern w:val="0"/>
                <w:sz w:val="24"/>
                <w:szCs w:val="24"/>
              </w:rPr>
              <w:t>2、光明西道街道：南大街社区的汇源名居东区缺口20，侍郎房缺口10，仕宅官邸缺口15，南苑里缺口2，工行宿舍缺口2，铁路宿舍缺口1；海德社区的八中宿舍缺口5；文苑社区的所有缺口9个小区没有电动汽车充电桩，电容不够；院校区社区的职教小区缺口1，师范一区缺口4，师范二区缺口5，书香苑缺口3，光明小区缺口2；西大街社区的呈祥紫园小区、常春里小区、平安小区、德源小区、钨钼厂宿舍小区；馨视界社区的馨视界小区缺口5；永兴社区的永兴小区缺口79，永兴新区缺口17，永兴别墅缺口11；西小街社区的汇源名居西区缺口130；益寿里社区的臻丽家园缺口6，党校宿舍缺口1；花城社区的花城小区；爱民社区的炮校家属院缺口15，书芳苑缺口17。</w:t>
            </w:r>
          </w:p>
          <w:p w14:paraId="7B04EE60">
            <w:pPr>
              <w:widowControl/>
              <w:spacing w:line="320" w:lineRule="exact"/>
              <w:ind w:firstLine="0" w:firstLineChars="0"/>
              <w:jc w:val="left"/>
              <w:rPr>
                <w:rFonts w:hint="eastAsia"/>
                <w:kern w:val="0"/>
                <w:sz w:val="24"/>
                <w:szCs w:val="24"/>
              </w:rPr>
            </w:pPr>
            <w:r>
              <w:rPr>
                <w:rFonts w:hint="eastAsia"/>
                <w:kern w:val="0"/>
                <w:sz w:val="24"/>
                <w:szCs w:val="24"/>
              </w:rPr>
              <w:t>3、永华道街道：中科社区的植物油厂宿舍缺口5、植物油厂平房缺口5；蓝波湾社区的所有5个小区都有缺口；尚华城社区的尚华城小区缺口30。</w:t>
            </w:r>
          </w:p>
          <w:p w14:paraId="0739C9B9">
            <w:pPr>
              <w:widowControl/>
              <w:spacing w:line="320" w:lineRule="exact"/>
              <w:ind w:firstLine="0" w:firstLineChars="0"/>
              <w:jc w:val="left"/>
              <w:rPr>
                <w:rFonts w:hint="eastAsia"/>
                <w:kern w:val="0"/>
                <w:sz w:val="24"/>
                <w:szCs w:val="24"/>
              </w:rPr>
            </w:pPr>
            <w:r>
              <w:rPr>
                <w:rFonts w:hint="eastAsia"/>
                <w:kern w:val="0"/>
                <w:sz w:val="24"/>
                <w:szCs w:val="24"/>
              </w:rPr>
              <w:t>4、杨税务镇：汇贤城社区的学府澜湾小区缺口20；福兴路社区的玥尚小区缺口1，尚德佳苑缺口5，宏程华府缺口3，宏程华苑缺口10，宏程华庭缺口11。</w:t>
            </w:r>
          </w:p>
          <w:p w14:paraId="4EFC6099">
            <w:pPr>
              <w:widowControl/>
              <w:spacing w:line="320" w:lineRule="exact"/>
              <w:ind w:firstLine="0" w:firstLineChars="0"/>
              <w:jc w:val="left"/>
              <w:rPr>
                <w:rFonts w:hint="eastAsia"/>
                <w:kern w:val="0"/>
                <w:sz w:val="24"/>
                <w:szCs w:val="24"/>
              </w:rPr>
            </w:pPr>
            <w:r>
              <w:rPr>
                <w:rFonts w:hint="eastAsia"/>
                <w:kern w:val="0"/>
                <w:sz w:val="24"/>
                <w:szCs w:val="24"/>
              </w:rPr>
              <w:t>5、廊坊龙河高新技术产业开发区：恒大社区的悦居时代缺口30，铂悦公馆缺口10，金地花园缺口10；君庭社区的京汉君庭缺口200，龙河枫景缺口188；红星紫郡社区的所有4个小区都有缺口，需要扩容；国风悦都社区的国风悦都缺口50。</w:t>
            </w:r>
          </w:p>
          <w:p w14:paraId="4312B5BC">
            <w:pPr>
              <w:widowControl/>
              <w:spacing w:line="320" w:lineRule="exact"/>
              <w:ind w:firstLine="0" w:firstLineChars="0"/>
              <w:jc w:val="left"/>
              <w:rPr>
                <w:rFonts w:hint="eastAsia"/>
                <w:kern w:val="0"/>
                <w:sz w:val="24"/>
                <w:szCs w:val="24"/>
              </w:rPr>
            </w:pPr>
            <w:r>
              <w:rPr>
                <w:rFonts w:hint="eastAsia"/>
                <w:kern w:val="0"/>
                <w:sz w:val="24"/>
                <w:szCs w:val="24"/>
              </w:rPr>
              <w:t>二、广阳区：</w:t>
            </w:r>
          </w:p>
          <w:p w14:paraId="3FD2B335">
            <w:pPr>
              <w:widowControl/>
              <w:spacing w:line="320" w:lineRule="exact"/>
              <w:ind w:firstLine="0" w:firstLineChars="0"/>
              <w:jc w:val="left"/>
              <w:rPr>
                <w:rFonts w:hint="eastAsia"/>
                <w:kern w:val="0"/>
                <w:sz w:val="24"/>
                <w:szCs w:val="24"/>
              </w:rPr>
            </w:pPr>
            <w:r>
              <w:rPr>
                <w:rFonts w:hint="eastAsia"/>
                <w:kern w:val="0"/>
                <w:sz w:val="24"/>
                <w:szCs w:val="24"/>
              </w:rPr>
              <w:t>1、新开路街道：国际花园社区的国际花园b区缺口10；群乐里社区的紫云轩缺口10、华元和庭缺口10；金星道社区的管道局七区缺口6；运通家园社区的运通家园缺口150，未来城缺口30；瑞华里社区的益民花园、红石庄园；东方家园社区的东方家园缺口10；世锦名城社区的世锦名城小区缺口24；和泰社区的博泰缺口4。</w:t>
            </w:r>
          </w:p>
          <w:p w14:paraId="1131BDCA">
            <w:pPr>
              <w:widowControl/>
              <w:spacing w:line="320" w:lineRule="exact"/>
              <w:ind w:firstLine="0" w:firstLineChars="0"/>
              <w:jc w:val="left"/>
              <w:rPr>
                <w:rFonts w:hint="eastAsia"/>
              </w:rPr>
            </w:pPr>
            <w:r>
              <w:rPr>
                <w:rFonts w:hint="eastAsia"/>
                <w:kern w:val="0"/>
                <w:sz w:val="24"/>
                <w:szCs w:val="24"/>
              </w:rPr>
              <w:t>爱民东道街道：裕华路社区除了阳光高第，其他11个小区均有缺口；统建楼社区除了秀景西，其他13个小区均有缺口；曙光道社区除向英里，其他5个小区均有缺口；群安街社区的9个小区都有缺口；群星里社区的曙光小区缺口3，红星里小区缺口8，南安华里缺口10，北安华里缺口12，福兴里缺口3，星盛园缺口15，金玉源缺口10；建华里社区的百殿园小区缺口7，丰华里小区4；3534社区的3534小区缺口20；3531社区的三五三一小区缺口10，尚北金里8；新星里社区的新星里小区、廊北小区；河苑社区的林苑小区缺口4；华夏经典社区的华夏经典缺口46，华夏水晶城缺口77、燕丰园缺口64、第七大街商住公寓缺口28；西务社区的万向城小区缺口12。</w:t>
            </w:r>
          </w:p>
          <w:p w14:paraId="3C4AB770">
            <w:pPr>
              <w:widowControl/>
              <w:spacing w:line="320" w:lineRule="exact"/>
              <w:ind w:firstLine="0" w:firstLineChars="0"/>
              <w:jc w:val="left"/>
              <w:rPr>
                <w:rFonts w:hint="eastAsia"/>
                <w:kern w:val="0"/>
                <w:sz w:val="24"/>
                <w:szCs w:val="24"/>
              </w:rPr>
            </w:pPr>
            <w:r>
              <w:rPr>
                <w:rFonts w:hint="eastAsia"/>
                <w:kern w:val="0"/>
                <w:sz w:val="24"/>
                <w:szCs w:val="24"/>
              </w:rPr>
              <w:t>3、银河北路街道：康宁街社区所有6个小区都有缺口。</w:t>
            </w:r>
          </w:p>
          <w:p w14:paraId="196C215A">
            <w:pPr>
              <w:widowControl/>
              <w:spacing w:line="320" w:lineRule="exact"/>
              <w:ind w:firstLine="0" w:firstLineChars="0"/>
              <w:jc w:val="left"/>
              <w:rPr>
                <w:rFonts w:hint="eastAsia"/>
                <w:kern w:val="0"/>
                <w:sz w:val="24"/>
                <w:szCs w:val="24"/>
              </w:rPr>
            </w:pPr>
            <w:r>
              <w:rPr>
                <w:rFonts w:hint="eastAsia"/>
                <w:kern w:val="0"/>
                <w:sz w:val="24"/>
                <w:szCs w:val="24"/>
              </w:rPr>
              <w:t>4、解放道街道：康庄社区的康庄小区缺口200；华夏里社区除农林局宿舍楼，其他17个小区都有缺口；小廊坊社区的晓廊坊小区缺口65、东安市场平房10；五福街社区所有5个小区都有缺口；新安里社区所有9个小区都有缺口；周各庄社区所有6个小区都有缺口。</w:t>
            </w:r>
          </w:p>
          <w:p w14:paraId="64482F1E">
            <w:pPr>
              <w:widowControl/>
              <w:spacing w:line="320" w:lineRule="exact"/>
              <w:ind w:firstLine="0" w:firstLineChars="0"/>
              <w:jc w:val="left"/>
              <w:rPr>
                <w:rFonts w:hint="eastAsia"/>
                <w:kern w:val="0"/>
                <w:sz w:val="24"/>
                <w:szCs w:val="24"/>
              </w:rPr>
            </w:pPr>
            <w:r>
              <w:rPr>
                <w:rFonts w:hint="eastAsia"/>
                <w:kern w:val="0"/>
                <w:sz w:val="24"/>
                <w:szCs w:val="24"/>
              </w:rPr>
              <w:t>5、南尖塔镇：孔雀公馆社区的华夏铂宫缺口5，四季家园缺口10，枫丹雅苑缺口5；丹枫社区的汇景轩小区由于是临时电，新能源汽车充电桩不能安装。</w:t>
            </w:r>
          </w:p>
          <w:p w14:paraId="40447F4B">
            <w:pPr>
              <w:widowControl/>
              <w:spacing w:line="320" w:lineRule="exact"/>
              <w:ind w:firstLine="0" w:firstLineChars="0"/>
              <w:jc w:val="left"/>
              <w:rPr>
                <w:rFonts w:hint="eastAsia"/>
                <w:kern w:val="0"/>
                <w:sz w:val="24"/>
                <w:szCs w:val="24"/>
              </w:rPr>
            </w:pPr>
            <w:r>
              <w:rPr>
                <w:rFonts w:hint="eastAsia"/>
                <w:kern w:val="0"/>
                <w:sz w:val="24"/>
                <w:szCs w:val="24"/>
              </w:rPr>
              <w:t>6、新源道街道：金桥社区的金桥小区缺口50；金泰社区的金泰花园小区缺口50；城市旺点社区的金元小区缺口15；和平丽景社区的和平丽景小区缺口220，盛德金地缺口64，望景广场缺口25；紫金华府社区的紫金华府缺口10，蓝水湾缺口10。</w:t>
            </w:r>
          </w:p>
          <w:p w14:paraId="1ED44195">
            <w:pPr>
              <w:widowControl/>
              <w:spacing w:line="320" w:lineRule="exact"/>
              <w:ind w:firstLine="0" w:firstLineChars="0"/>
              <w:jc w:val="left"/>
              <w:rPr>
                <w:rFonts w:hint="eastAsia"/>
                <w:kern w:val="0"/>
                <w:sz w:val="24"/>
                <w:szCs w:val="24"/>
              </w:rPr>
            </w:pPr>
            <w:r>
              <w:rPr>
                <w:rFonts w:hint="eastAsia"/>
                <w:kern w:val="0"/>
                <w:sz w:val="24"/>
                <w:szCs w:val="24"/>
              </w:rPr>
              <w:t>三、开发区：</w:t>
            </w:r>
          </w:p>
          <w:p w14:paraId="4FE4A2BB">
            <w:pPr>
              <w:widowControl/>
              <w:spacing w:line="320" w:lineRule="exact"/>
              <w:ind w:firstLine="0" w:firstLineChars="0"/>
              <w:jc w:val="left"/>
              <w:rPr>
                <w:rFonts w:hint="eastAsia"/>
                <w:kern w:val="0"/>
                <w:sz w:val="24"/>
                <w:szCs w:val="24"/>
              </w:rPr>
            </w:pPr>
            <w:r>
              <w:rPr>
                <w:rFonts w:hint="eastAsia"/>
                <w:kern w:val="0"/>
                <w:sz w:val="24"/>
                <w:szCs w:val="24"/>
              </w:rPr>
              <w:t>东方大学城社区的一期教师公寓缺口20；东方之珠社区的专家公寓缺口25，香邑廊桥缺口4；阳光佳和社区的阳光佳和小区缺口54；宏泰美树社区的帼华邨缺口80，东方花园缺口5；大学里东区社区的大学里东区缺口66。</w:t>
            </w:r>
          </w:p>
        </w:tc>
        <w:tc>
          <w:tcPr>
            <w:tcW w:w="222" w:type="pct"/>
            <w:vAlign w:val="center"/>
          </w:tcPr>
          <w:p w14:paraId="1143C337">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332" w:type="pct"/>
            <w:vAlign w:val="center"/>
          </w:tcPr>
          <w:p w14:paraId="6FA4E24E">
            <w:pPr>
              <w:widowControl/>
              <w:spacing w:line="320" w:lineRule="exact"/>
              <w:ind w:firstLine="0" w:firstLineChars="0"/>
              <w:jc w:val="center"/>
              <w:rPr>
                <w:rFonts w:hint="eastAsia"/>
                <w:sz w:val="22"/>
                <w:szCs w:val="22"/>
              </w:rPr>
            </w:pPr>
            <w:r>
              <w:rPr>
                <w:kern w:val="0"/>
                <w:sz w:val="24"/>
                <w:szCs w:val="24"/>
              </w:rPr>
              <w:t>II</w:t>
            </w:r>
          </w:p>
        </w:tc>
        <w:tc>
          <w:tcPr>
            <w:tcW w:w="249" w:type="pct"/>
            <w:vAlign w:val="center"/>
          </w:tcPr>
          <w:p w14:paraId="238AB58F">
            <w:pPr>
              <w:widowControl/>
              <w:spacing w:line="320" w:lineRule="exact"/>
              <w:ind w:firstLine="0" w:firstLineChars="0"/>
              <w:jc w:val="center"/>
              <w:rPr>
                <w:rFonts w:hint="eastAsia"/>
                <w:kern w:val="0"/>
                <w:sz w:val="24"/>
                <w:szCs w:val="24"/>
              </w:rPr>
            </w:pPr>
            <w:r>
              <w:rPr>
                <w:rFonts w:hint="eastAsia"/>
                <w:kern w:val="0"/>
                <w:sz w:val="24"/>
                <w:szCs w:val="24"/>
              </w:rPr>
              <w:t>市发改委、</w:t>
            </w:r>
          </w:p>
          <w:p w14:paraId="1B640618">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674A83B5">
            <w:pPr>
              <w:widowControl/>
              <w:spacing w:line="320" w:lineRule="exact"/>
              <w:ind w:firstLine="0" w:firstLineChars="0"/>
              <w:jc w:val="center"/>
              <w:rPr>
                <w:rFonts w:hint="eastAsia"/>
                <w:kern w:val="0"/>
                <w:sz w:val="24"/>
                <w:szCs w:val="24"/>
              </w:rPr>
            </w:pPr>
            <w:r>
              <w:rPr>
                <w:rFonts w:hint="eastAsia"/>
                <w:kern w:val="0"/>
                <w:sz w:val="24"/>
                <w:szCs w:val="24"/>
              </w:rPr>
              <w:t>市供电公司、</w:t>
            </w:r>
          </w:p>
          <w:p w14:paraId="30ABB16A">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45C1F03F">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3C2A7854">
            <w:pPr>
              <w:widowControl/>
              <w:spacing w:line="320" w:lineRule="exact"/>
              <w:ind w:firstLine="0" w:firstLineChars="0"/>
              <w:jc w:val="center"/>
              <w:rPr>
                <w:rFonts w:hint="eastAsia"/>
                <w:kern w:val="0"/>
                <w:sz w:val="24"/>
                <w:szCs w:val="24"/>
              </w:rPr>
            </w:pPr>
            <w:r>
              <w:rPr>
                <w:rFonts w:hint="eastAsia"/>
                <w:kern w:val="0"/>
                <w:sz w:val="24"/>
                <w:szCs w:val="24"/>
              </w:rPr>
              <w:t>开发区管委会、</w:t>
            </w:r>
            <w:r>
              <w:rPr>
                <w:rFonts w:hint="eastAsia"/>
                <w:kern w:val="0"/>
                <w:sz w:val="24"/>
                <w:szCs w:val="24"/>
              </w:rPr>
              <w:br w:type="textWrapping"/>
            </w:r>
            <w:r>
              <w:rPr>
                <w:rFonts w:hint="eastAsia"/>
                <w:kern w:val="0"/>
                <w:sz w:val="24"/>
                <w:szCs w:val="24"/>
              </w:rPr>
              <w:t>小区物业</w:t>
            </w:r>
          </w:p>
        </w:tc>
      </w:tr>
      <w:tr w14:paraId="724BE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04" w:type="pct"/>
            <w:vAlign w:val="center"/>
          </w:tcPr>
          <w:p w14:paraId="59C2FE69">
            <w:pPr>
              <w:widowControl/>
              <w:spacing w:line="320" w:lineRule="exact"/>
              <w:ind w:firstLine="0" w:firstLineChars="0"/>
              <w:jc w:val="center"/>
              <w:rPr>
                <w:rFonts w:hint="eastAsia"/>
                <w:kern w:val="0"/>
                <w:sz w:val="24"/>
                <w:szCs w:val="24"/>
              </w:rPr>
            </w:pPr>
            <w:r>
              <w:rPr>
                <w:rFonts w:hint="eastAsia"/>
                <w:kern w:val="0"/>
                <w:sz w:val="24"/>
                <w:szCs w:val="24"/>
              </w:rPr>
              <w:t>12</w:t>
            </w:r>
          </w:p>
        </w:tc>
        <w:tc>
          <w:tcPr>
            <w:tcW w:w="362" w:type="pct"/>
            <w:vAlign w:val="center"/>
          </w:tcPr>
          <w:p w14:paraId="28A6EABF">
            <w:pPr>
              <w:widowControl/>
              <w:spacing w:line="320" w:lineRule="exact"/>
              <w:ind w:firstLine="0" w:firstLineChars="0"/>
              <w:jc w:val="center"/>
              <w:rPr>
                <w:rFonts w:hint="eastAsia"/>
                <w:kern w:val="0"/>
                <w:sz w:val="24"/>
                <w:szCs w:val="24"/>
              </w:rPr>
            </w:pPr>
            <w:r>
              <w:rPr>
                <w:rFonts w:hint="eastAsia"/>
                <w:kern w:val="0"/>
                <w:sz w:val="24"/>
                <w:szCs w:val="24"/>
              </w:rPr>
              <w:t>未配建电动自行车充电设施的小区数量（个）</w:t>
            </w:r>
          </w:p>
        </w:tc>
        <w:tc>
          <w:tcPr>
            <w:tcW w:w="318" w:type="pct"/>
            <w:vAlign w:val="center"/>
          </w:tcPr>
          <w:p w14:paraId="26886ABE">
            <w:pPr>
              <w:widowControl/>
              <w:spacing w:line="320" w:lineRule="exact"/>
              <w:ind w:firstLine="0" w:firstLineChars="0"/>
              <w:jc w:val="center"/>
              <w:rPr>
                <w:rFonts w:hint="eastAsia"/>
                <w:kern w:val="0"/>
                <w:sz w:val="24"/>
                <w:szCs w:val="24"/>
              </w:rPr>
            </w:pPr>
            <w:r>
              <w:rPr>
                <w:rFonts w:hint="eastAsia"/>
                <w:kern w:val="0"/>
                <w:sz w:val="24"/>
                <w:szCs w:val="24"/>
              </w:rPr>
              <w:t>254</w:t>
            </w:r>
          </w:p>
        </w:tc>
        <w:tc>
          <w:tcPr>
            <w:tcW w:w="651" w:type="pct"/>
            <w:vAlign w:val="center"/>
          </w:tcPr>
          <w:p w14:paraId="5A73CE31">
            <w:pPr>
              <w:widowControl/>
              <w:spacing w:line="320" w:lineRule="exact"/>
              <w:ind w:firstLine="0" w:firstLineChars="0"/>
              <w:jc w:val="center"/>
              <w:rPr>
                <w:rFonts w:hint="eastAsia"/>
                <w:kern w:val="0"/>
                <w:sz w:val="24"/>
                <w:szCs w:val="24"/>
              </w:rPr>
            </w:pPr>
            <w:r>
              <w:rPr>
                <w:rFonts w:hint="eastAsia"/>
                <w:kern w:val="0"/>
                <w:sz w:val="24"/>
                <w:szCs w:val="24"/>
              </w:rPr>
              <w:t>有电动自行车充电设施缺口的社区占比48.9%，有电动自行车充电设施缺口的小区有254个，占全部小区总数的32.5%，居民对电动自行车充电设施需求较大，但缺少设施。老旧小区还存在电容不够、无空间安装、缺少雨棚、飞线充电的问题。</w:t>
            </w:r>
          </w:p>
        </w:tc>
        <w:tc>
          <w:tcPr>
            <w:tcW w:w="572" w:type="pct"/>
            <w:vAlign w:val="center"/>
          </w:tcPr>
          <w:p w14:paraId="27BA1F78">
            <w:pPr>
              <w:widowControl/>
              <w:spacing w:line="320" w:lineRule="exact"/>
              <w:ind w:firstLine="0" w:firstLineChars="0"/>
              <w:jc w:val="center"/>
              <w:rPr>
                <w:rFonts w:hint="eastAsia"/>
                <w:kern w:val="0"/>
                <w:sz w:val="24"/>
                <w:szCs w:val="24"/>
              </w:rPr>
            </w:pPr>
            <w:r>
              <w:rPr>
                <w:rFonts w:hint="eastAsia"/>
                <w:kern w:val="0"/>
                <w:sz w:val="24"/>
                <w:szCs w:val="24"/>
              </w:rPr>
              <w:t>一是落实充电管理责任。结合实际设置电动自行车集中停放车棚及充电场所。充电设施安装企业要加强巡查，及时发现、及时处理充电设施运营中存在的各类问题</w:t>
            </w:r>
          </w:p>
          <w:p w14:paraId="2A560720">
            <w:pPr>
              <w:widowControl/>
              <w:spacing w:line="320" w:lineRule="exact"/>
              <w:ind w:firstLine="0" w:firstLineChars="0"/>
              <w:jc w:val="center"/>
              <w:rPr>
                <w:rFonts w:hint="eastAsia"/>
                <w:kern w:val="0"/>
                <w:sz w:val="24"/>
                <w:szCs w:val="24"/>
              </w:rPr>
            </w:pPr>
            <w:r>
              <w:rPr>
                <w:rFonts w:hint="eastAsia"/>
                <w:kern w:val="0"/>
                <w:sz w:val="24"/>
                <w:szCs w:val="24"/>
              </w:rPr>
              <w:t>二是规范电动车停放行为。公民应当将电动车停放在安全地点，充电时应当确保安全。严禁在建筑内的共用走道、楼梯间、安全出口处等公共区域停放电动车或者为电动车充电。</w:t>
            </w:r>
          </w:p>
          <w:p w14:paraId="415C29DF">
            <w:pPr>
              <w:widowControl/>
              <w:spacing w:line="320" w:lineRule="exact"/>
              <w:ind w:firstLine="0" w:firstLineChars="0"/>
              <w:jc w:val="center"/>
              <w:rPr>
                <w:rFonts w:hint="eastAsia"/>
                <w:kern w:val="0"/>
                <w:sz w:val="24"/>
                <w:szCs w:val="24"/>
              </w:rPr>
            </w:pPr>
            <w:r>
              <w:rPr>
                <w:rFonts w:hint="eastAsia"/>
                <w:kern w:val="0"/>
                <w:sz w:val="24"/>
                <w:szCs w:val="24"/>
              </w:rPr>
              <w:t>三是严查违规充电行为。街道办事处要集中开展联合执法行动，坚决杜绝小区内“飞线”充电现象，确保12月底前全面“清零”。要持续开展“飞线”巡查，确保不反复、无隐患。</w:t>
            </w:r>
          </w:p>
        </w:tc>
        <w:tc>
          <w:tcPr>
            <w:tcW w:w="2088" w:type="pct"/>
            <w:vAlign w:val="center"/>
          </w:tcPr>
          <w:p w14:paraId="07BF2249">
            <w:pPr>
              <w:widowControl/>
              <w:spacing w:line="320" w:lineRule="exact"/>
              <w:ind w:firstLine="0" w:firstLineChars="0"/>
              <w:jc w:val="left"/>
              <w:rPr>
                <w:rFonts w:hint="eastAsia"/>
                <w:kern w:val="0"/>
                <w:sz w:val="24"/>
                <w:szCs w:val="24"/>
              </w:rPr>
            </w:pPr>
            <w:r>
              <w:rPr>
                <w:rFonts w:hint="eastAsia"/>
                <w:kern w:val="0"/>
                <w:sz w:val="24"/>
                <w:szCs w:val="24"/>
              </w:rPr>
              <w:t>一、安次区：</w:t>
            </w:r>
          </w:p>
          <w:p w14:paraId="4A930EEE">
            <w:pPr>
              <w:widowControl/>
              <w:spacing w:line="320" w:lineRule="exact"/>
              <w:ind w:firstLine="0" w:firstLineChars="0"/>
              <w:jc w:val="left"/>
              <w:rPr>
                <w:rFonts w:hint="eastAsia"/>
                <w:kern w:val="0"/>
                <w:sz w:val="24"/>
                <w:szCs w:val="24"/>
              </w:rPr>
            </w:pPr>
            <w:r>
              <w:rPr>
                <w:rFonts w:hint="eastAsia"/>
                <w:kern w:val="0"/>
                <w:sz w:val="24"/>
                <w:szCs w:val="24"/>
              </w:rPr>
              <w:t>1、银河南路街道：开源里社区的水务局宿舍缺20；嘉多丽社区的嘉多丽花园缺80个，机械厂宿舍缺30个，南屏小区50个。</w:t>
            </w:r>
          </w:p>
          <w:p w14:paraId="06B09416">
            <w:pPr>
              <w:widowControl/>
              <w:spacing w:line="320" w:lineRule="exact"/>
              <w:ind w:firstLine="0" w:firstLineChars="0"/>
              <w:jc w:val="left"/>
              <w:rPr>
                <w:rFonts w:hint="eastAsia"/>
                <w:kern w:val="0"/>
                <w:sz w:val="24"/>
                <w:szCs w:val="24"/>
              </w:rPr>
            </w:pPr>
            <w:r>
              <w:rPr>
                <w:rFonts w:hint="eastAsia"/>
                <w:kern w:val="0"/>
                <w:sz w:val="24"/>
                <w:szCs w:val="24"/>
              </w:rPr>
              <w:t>2、光明西道街道：南大街社区的仕宅官邸小区100个；君兰苑社区的君兰苑16栋楼缺50；海德社区的海德小区缺150个，八中宿舍缺50个；江南水郡社区的江南水郡小区200个；院校区社区的师范一区缺75个，师范二区缺70个，光明小区缺50个；西大街社区的所有8个小区都有缺口，紫园问题突出；永兴社区的永兴小区缺300个，永兴别墅缺15个；西小街社区的安次区医院宿舍缺6个，新月小区缺150个，汇源名居西区缺150个；瑞河兰乔社区的2个小区缺车棚；益寿里社区的党校宿舍缺40个、金源小区缺10个、臻丽小区缺100个；九园社区的华夏第九园400个；常青社区的常青家园200个；爱民社区的炮校家属院缺50。</w:t>
            </w:r>
          </w:p>
          <w:p w14:paraId="3F2DB861">
            <w:pPr>
              <w:widowControl/>
              <w:spacing w:line="320" w:lineRule="exact"/>
              <w:ind w:firstLine="0" w:firstLineChars="0"/>
              <w:jc w:val="left"/>
              <w:rPr>
                <w:rFonts w:hint="eastAsia"/>
                <w:kern w:val="0"/>
                <w:sz w:val="24"/>
                <w:szCs w:val="24"/>
              </w:rPr>
            </w:pPr>
            <w:r>
              <w:rPr>
                <w:rFonts w:hint="eastAsia"/>
                <w:kern w:val="0"/>
                <w:sz w:val="24"/>
                <w:szCs w:val="24"/>
              </w:rPr>
              <w:t>3、永华道街道：盛德社区的市交通局宿舍缺10；馨语社区的1206宿舍楼缺50；蓝波湾社区的安泰家园缺400个，蓝波湾缺400个，永兴苑缺400个，金属柜综合楼缺10个，畜牧局综合楼缺70个；尚华城社区的尚华城小区缺200。</w:t>
            </w:r>
          </w:p>
          <w:p w14:paraId="58073768">
            <w:pPr>
              <w:widowControl/>
              <w:spacing w:line="320" w:lineRule="exact"/>
              <w:ind w:firstLine="0" w:firstLineChars="0"/>
              <w:jc w:val="left"/>
              <w:rPr>
                <w:rFonts w:hint="eastAsia"/>
                <w:kern w:val="0"/>
                <w:sz w:val="24"/>
                <w:szCs w:val="24"/>
              </w:rPr>
            </w:pPr>
            <w:r>
              <w:rPr>
                <w:rFonts w:hint="eastAsia"/>
                <w:kern w:val="0"/>
                <w:sz w:val="24"/>
                <w:szCs w:val="24"/>
              </w:rPr>
              <w:t>4、杨税务镇：福兴路社区的玥尚小区缺40个，宏程华府缺100个，宏程华苑缺100个，宏程华庭缺100个。</w:t>
            </w:r>
          </w:p>
          <w:p w14:paraId="27E56647">
            <w:pPr>
              <w:widowControl/>
              <w:spacing w:line="320" w:lineRule="exact"/>
              <w:ind w:firstLine="0" w:firstLineChars="0"/>
              <w:jc w:val="left"/>
              <w:rPr>
                <w:rFonts w:hint="eastAsia"/>
                <w:kern w:val="0"/>
                <w:sz w:val="24"/>
                <w:szCs w:val="24"/>
              </w:rPr>
            </w:pPr>
            <w:r>
              <w:rPr>
                <w:rFonts w:hint="eastAsia"/>
                <w:kern w:val="0"/>
                <w:sz w:val="24"/>
                <w:szCs w:val="24"/>
              </w:rPr>
              <w:t>5、廊坊龙河高新技术产业开发区：理想社区的鸿坤理想澜湾，有个别飞线充电问题；红星紫郡社区的红星紫郡、紫晶苑、永和花园，高层存在飞线充电问题；国风悦都社区的国风悦都缺350。</w:t>
            </w:r>
          </w:p>
          <w:p w14:paraId="26916EF0">
            <w:pPr>
              <w:widowControl/>
              <w:spacing w:line="320" w:lineRule="exact"/>
              <w:ind w:firstLine="0" w:firstLineChars="0"/>
              <w:jc w:val="left"/>
              <w:rPr>
                <w:rFonts w:hint="eastAsia"/>
                <w:kern w:val="0"/>
                <w:sz w:val="24"/>
                <w:szCs w:val="24"/>
              </w:rPr>
            </w:pPr>
            <w:r>
              <w:rPr>
                <w:rFonts w:hint="eastAsia"/>
                <w:kern w:val="0"/>
                <w:sz w:val="24"/>
                <w:szCs w:val="24"/>
              </w:rPr>
              <w:t>二、广阳区：</w:t>
            </w:r>
          </w:p>
          <w:p w14:paraId="3459A90E">
            <w:pPr>
              <w:widowControl/>
              <w:spacing w:line="320" w:lineRule="exact"/>
              <w:ind w:firstLine="0" w:firstLineChars="0"/>
              <w:jc w:val="left"/>
              <w:rPr>
                <w:rFonts w:hint="eastAsia"/>
                <w:kern w:val="0"/>
                <w:sz w:val="24"/>
                <w:szCs w:val="24"/>
              </w:rPr>
            </w:pPr>
            <w:r>
              <w:rPr>
                <w:rFonts w:hint="eastAsia"/>
                <w:kern w:val="0"/>
                <w:sz w:val="24"/>
                <w:szCs w:val="24"/>
              </w:rPr>
              <w:t>1、新开路街道：康乐社区的芳泽园缺50个，国安局宿舍和二招平房缺100个；国际花园社区的华洋宿舍楼、银泉里小区、中糖华洋宿舍共缺口100；同顺里社区的所有25个小区缺口200；群乐里社区的所有15个小区缺口200；瑞泰社区除格林郡府，其他8个老旧小区均无电动车充电桩，存在乱拉飞线情况；金星道社区的管道局七区缺300；瑞华里社区的益民花园小区、冶炼厂家属院，飞线充电问题突出；东方家园社区的东方家园缺350；和泰社区的港升缺150个，博泰缺100个。</w:t>
            </w:r>
          </w:p>
          <w:p w14:paraId="6EB75CF1">
            <w:pPr>
              <w:widowControl/>
              <w:spacing w:line="320" w:lineRule="exact"/>
              <w:ind w:firstLine="0" w:firstLineChars="0"/>
              <w:jc w:val="left"/>
              <w:rPr>
                <w:rFonts w:hint="eastAsia"/>
                <w:kern w:val="0"/>
                <w:sz w:val="24"/>
                <w:szCs w:val="24"/>
              </w:rPr>
            </w:pPr>
            <w:r>
              <w:rPr>
                <w:rFonts w:hint="eastAsia"/>
                <w:kern w:val="0"/>
                <w:sz w:val="24"/>
                <w:szCs w:val="24"/>
              </w:rPr>
              <w:t>2、爱民东道街道：裕华路社区除了阳光高第，其他11个小区共有缺口400个；统建楼社区所辖14个小区均无电动自行车充电桩，缺口200个；曙光道社区所有7个小区共有缺口200；华苑社区的华苑小区、新华小区共有缺口200个；群安街社区的公安楼缺10个，芳菲苑缺150个，裕华小区北区缺150个，振财小区缺50个，实业小区缺150个；群星里社区的27个小区共有电动自行车缺口1120；建华里社区的丰华里小区缺30个，中医院宿舍缺30个；3534社区的3534小区缺100；3531社区的三五三一小区缺500个，农兴里小区缺15个，凯悦花园小区缺200个，尚北金里缺70个；新星里社区的新星里小区、廊北小区共有缺口30；河苑社区的银河领域缺100个，林苑小区缺100个，农行宿舍缺20个，法院宿舍缺25个；华夏经典社区的华夏经典缺500个，华夏水晶城缺70个，第七大街商住公寓缺100个，丰裕小区缺40个；西务社区的万向城小区缺100。</w:t>
            </w:r>
          </w:p>
          <w:p w14:paraId="0B75881C">
            <w:pPr>
              <w:widowControl/>
              <w:spacing w:line="320" w:lineRule="exact"/>
              <w:ind w:firstLine="0" w:firstLineChars="0"/>
              <w:jc w:val="left"/>
              <w:rPr>
                <w:rFonts w:hint="eastAsia"/>
                <w:kern w:val="0"/>
                <w:sz w:val="24"/>
                <w:szCs w:val="24"/>
              </w:rPr>
            </w:pPr>
            <w:r>
              <w:rPr>
                <w:rFonts w:hint="eastAsia"/>
                <w:kern w:val="0"/>
                <w:sz w:val="24"/>
                <w:szCs w:val="24"/>
              </w:rPr>
              <w:t>3、银河北路街道：康宁街社区的所有6个小区共有缺口1000；空中花园社区的空中花园小区缺100；丰盛路社区的大官庄小区、政府1-3号楼共有缺口20。</w:t>
            </w:r>
          </w:p>
          <w:p w14:paraId="36F345B5">
            <w:pPr>
              <w:widowControl/>
              <w:spacing w:line="320" w:lineRule="exact"/>
              <w:ind w:firstLine="0" w:firstLineChars="0"/>
              <w:jc w:val="left"/>
              <w:rPr>
                <w:rFonts w:hint="eastAsia"/>
                <w:kern w:val="0"/>
                <w:sz w:val="24"/>
                <w:szCs w:val="24"/>
              </w:rPr>
            </w:pPr>
            <w:r>
              <w:rPr>
                <w:rFonts w:hint="eastAsia"/>
                <w:kern w:val="0"/>
                <w:sz w:val="24"/>
                <w:szCs w:val="24"/>
              </w:rPr>
              <w:t>4、解放道街道：康庄社区的康庄小区缺1000；华夏里社区所有18个小区共有缺口750；小廊坊社区的晓廊坊小区缺200个，永丰胡同缺20个，东安市场平房缺50个；五福街社区的管道局二区、管道局三区、农行楼、居安里平房共有缺口70；新安里社区的所有小区共有缺口300；万众里社区的所有16个小区乱拉飞线；永丰道社区的三中南楼、工银里、土地楼、聚贤楼、老干部局宿舍楼、棉麻楼、交警楼共有缺口30；周各庄社区的所有6个小区共有缺口500；万方街社区的管道新四区、管道老四区：社区内无电动车充电桩和车棚，存在乱拉飞线现象。</w:t>
            </w:r>
          </w:p>
          <w:p w14:paraId="2DC5F8B0">
            <w:pPr>
              <w:widowControl/>
              <w:spacing w:line="320" w:lineRule="exact"/>
              <w:ind w:firstLine="0" w:firstLineChars="0"/>
              <w:jc w:val="left"/>
              <w:rPr>
                <w:rFonts w:hint="eastAsia"/>
                <w:kern w:val="0"/>
                <w:sz w:val="24"/>
                <w:szCs w:val="24"/>
              </w:rPr>
            </w:pPr>
            <w:r>
              <w:rPr>
                <w:rFonts w:hint="eastAsia"/>
                <w:kern w:val="0"/>
                <w:sz w:val="24"/>
                <w:szCs w:val="24"/>
              </w:rPr>
              <w:t>5、南尖塔镇：颐和社区的盛和佳苑：有飞线情况、电动车上楼，颐和佳苑、幸福佳苑，非机动车充电桩不足，飞线现象严重；瑞景社区的盛世西区、东日瑞景，有飞线问题；朗欣社区所有3个小区共有缺口200。</w:t>
            </w:r>
          </w:p>
          <w:p w14:paraId="1EE239CD">
            <w:pPr>
              <w:widowControl/>
              <w:spacing w:line="320" w:lineRule="exact"/>
              <w:ind w:firstLine="0" w:firstLineChars="0"/>
              <w:jc w:val="left"/>
              <w:rPr>
                <w:rFonts w:hint="eastAsia"/>
                <w:kern w:val="0"/>
                <w:sz w:val="24"/>
                <w:szCs w:val="24"/>
              </w:rPr>
            </w:pPr>
            <w:r>
              <w:rPr>
                <w:rFonts w:hint="eastAsia"/>
                <w:kern w:val="0"/>
                <w:sz w:val="24"/>
                <w:szCs w:val="24"/>
              </w:rPr>
              <w:t>6、北旺镇：花桥社区的儒苑小区一期、儒苑小区二期共有缺口100。</w:t>
            </w:r>
          </w:p>
          <w:p w14:paraId="67D03A59">
            <w:pPr>
              <w:widowControl/>
              <w:spacing w:line="320" w:lineRule="exact"/>
              <w:ind w:firstLine="0" w:firstLineChars="0"/>
              <w:jc w:val="left"/>
              <w:rPr>
                <w:rFonts w:hint="eastAsia"/>
                <w:kern w:val="0"/>
                <w:sz w:val="24"/>
                <w:szCs w:val="24"/>
              </w:rPr>
            </w:pPr>
            <w:r>
              <w:rPr>
                <w:rFonts w:hint="eastAsia"/>
                <w:kern w:val="0"/>
                <w:sz w:val="24"/>
                <w:szCs w:val="24"/>
              </w:rPr>
              <w:t>7、新源道街道：金桥社区的金桥小区缺1000；金泰社区的金泰花园小区缺500；城市旺点社区的新奥小区缺80个，金安里小区缺40个，太平洋缺30个；紫金华府社区的紫金华府缺300个，蓝水湾缺200个。</w:t>
            </w:r>
          </w:p>
          <w:p w14:paraId="3A5B501C">
            <w:pPr>
              <w:widowControl/>
              <w:spacing w:line="320" w:lineRule="exact"/>
              <w:ind w:firstLine="0" w:firstLineChars="0"/>
              <w:jc w:val="left"/>
              <w:rPr>
                <w:rFonts w:hint="eastAsia"/>
                <w:kern w:val="0"/>
                <w:sz w:val="24"/>
                <w:szCs w:val="24"/>
              </w:rPr>
            </w:pPr>
            <w:r>
              <w:rPr>
                <w:rFonts w:hint="eastAsia"/>
                <w:kern w:val="0"/>
                <w:sz w:val="24"/>
                <w:szCs w:val="24"/>
              </w:rPr>
              <w:t>三、开发区：</w:t>
            </w:r>
          </w:p>
          <w:p w14:paraId="5C1D0B9A">
            <w:pPr>
              <w:widowControl/>
              <w:spacing w:line="320" w:lineRule="exact"/>
              <w:ind w:firstLine="0" w:firstLineChars="0"/>
              <w:jc w:val="left"/>
              <w:rPr>
                <w:rFonts w:hint="eastAsia"/>
                <w:kern w:val="0"/>
                <w:sz w:val="24"/>
                <w:szCs w:val="24"/>
              </w:rPr>
            </w:pPr>
            <w:r>
              <w:rPr>
                <w:rFonts w:hint="eastAsia"/>
                <w:kern w:val="0"/>
                <w:sz w:val="24"/>
                <w:szCs w:val="24"/>
              </w:rPr>
              <w:t>1、云鹏道街道：东方大学城社区的一期教师公寓缺200个，丫咪公寓缺5个。</w:t>
            </w:r>
          </w:p>
          <w:p w14:paraId="6152ED15">
            <w:pPr>
              <w:widowControl/>
              <w:spacing w:line="320" w:lineRule="exact"/>
              <w:ind w:firstLine="0" w:firstLineChars="0"/>
              <w:jc w:val="left"/>
              <w:rPr>
                <w:rFonts w:hint="eastAsia"/>
                <w:kern w:val="0"/>
                <w:sz w:val="24"/>
                <w:szCs w:val="24"/>
              </w:rPr>
            </w:pPr>
            <w:r>
              <w:rPr>
                <w:rFonts w:hint="eastAsia"/>
                <w:kern w:val="0"/>
                <w:sz w:val="24"/>
                <w:szCs w:val="24"/>
              </w:rPr>
              <w:t>2、耀华道街道：阳光佳和社区的阳光佳和小区缺1700个；宏泰美树社区的东方花园缺8个；大学里东区社区的大学里东区缺1000个。</w:t>
            </w:r>
          </w:p>
        </w:tc>
        <w:tc>
          <w:tcPr>
            <w:tcW w:w="222" w:type="pct"/>
            <w:vAlign w:val="center"/>
          </w:tcPr>
          <w:p w14:paraId="455E2C2D">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332" w:type="pct"/>
            <w:vAlign w:val="center"/>
          </w:tcPr>
          <w:p w14:paraId="48D18341">
            <w:pPr>
              <w:widowControl/>
              <w:spacing w:line="320" w:lineRule="exact"/>
              <w:ind w:firstLine="0" w:firstLineChars="0"/>
              <w:jc w:val="center"/>
              <w:rPr>
                <w:rFonts w:hint="eastAsia"/>
                <w:sz w:val="22"/>
                <w:szCs w:val="22"/>
              </w:rPr>
            </w:pPr>
            <w:r>
              <w:rPr>
                <w:kern w:val="0"/>
                <w:sz w:val="24"/>
                <w:szCs w:val="24"/>
              </w:rPr>
              <w:t>II</w:t>
            </w:r>
          </w:p>
        </w:tc>
        <w:tc>
          <w:tcPr>
            <w:tcW w:w="249" w:type="pct"/>
            <w:vAlign w:val="center"/>
          </w:tcPr>
          <w:p w14:paraId="28A52457">
            <w:pPr>
              <w:widowControl/>
              <w:spacing w:line="320" w:lineRule="exact"/>
              <w:ind w:firstLine="0" w:firstLineChars="0"/>
              <w:jc w:val="center"/>
              <w:rPr>
                <w:rFonts w:hint="eastAsia"/>
                <w:kern w:val="0"/>
                <w:sz w:val="24"/>
                <w:szCs w:val="24"/>
              </w:rPr>
            </w:pPr>
            <w:r>
              <w:rPr>
                <w:rFonts w:hint="eastAsia"/>
                <w:kern w:val="0"/>
                <w:sz w:val="24"/>
                <w:szCs w:val="24"/>
              </w:rPr>
              <w:t>市发改委、</w:t>
            </w:r>
          </w:p>
          <w:p w14:paraId="626FDB45">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783BD2B6">
            <w:pPr>
              <w:widowControl/>
              <w:spacing w:line="320" w:lineRule="exact"/>
              <w:ind w:firstLine="0" w:firstLineChars="0"/>
              <w:jc w:val="center"/>
              <w:rPr>
                <w:rFonts w:hint="eastAsia"/>
                <w:kern w:val="0"/>
                <w:sz w:val="24"/>
                <w:szCs w:val="24"/>
              </w:rPr>
            </w:pPr>
            <w:r>
              <w:rPr>
                <w:rFonts w:hint="eastAsia"/>
                <w:kern w:val="0"/>
                <w:sz w:val="24"/>
                <w:szCs w:val="24"/>
              </w:rPr>
              <w:t>市供电公司、</w:t>
            </w:r>
          </w:p>
          <w:p w14:paraId="2A0F787E">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2E8E54AA">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2552BDE6">
            <w:pPr>
              <w:widowControl/>
              <w:spacing w:line="320" w:lineRule="exact"/>
              <w:ind w:firstLine="0" w:firstLineChars="0"/>
              <w:jc w:val="center"/>
              <w:rPr>
                <w:rFonts w:hint="eastAsia"/>
                <w:kern w:val="0"/>
                <w:sz w:val="24"/>
                <w:szCs w:val="24"/>
              </w:rPr>
            </w:pPr>
            <w:r>
              <w:rPr>
                <w:rFonts w:hint="eastAsia"/>
                <w:kern w:val="0"/>
                <w:sz w:val="24"/>
                <w:szCs w:val="24"/>
              </w:rPr>
              <w:t>开发区管委会、</w:t>
            </w:r>
            <w:r>
              <w:rPr>
                <w:rFonts w:hint="eastAsia"/>
                <w:kern w:val="0"/>
                <w:sz w:val="24"/>
                <w:szCs w:val="24"/>
              </w:rPr>
              <w:br w:type="textWrapping"/>
            </w:r>
            <w:r>
              <w:rPr>
                <w:rFonts w:hint="eastAsia"/>
                <w:kern w:val="0"/>
                <w:sz w:val="24"/>
                <w:szCs w:val="24"/>
              </w:rPr>
              <w:t>小区物业</w:t>
            </w:r>
          </w:p>
        </w:tc>
      </w:tr>
      <w:tr w14:paraId="4A6A4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04" w:type="pct"/>
            <w:vAlign w:val="center"/>
          </w:tcPr>
          <w:p w14:paraId="64DAE881">
            <w:pPr>
              <w:widowControl/>
              <w:spacing w:line="320" w:lineRule="exact"/>
              <w:ind w:firstLine="0" w:firstLineChars="0"/>
              <w:jc w:val="center"/>
              <w:rPr>
                <w:rFonts w:hint="eastAsia"/>
                <w:kern w:val="0"/>
                <w:sz w:val="24"/>
                <w:szCs w:val="24"/>
              </w:rPr>
            </w:pPr>
            <w:r>
              <w:rPr>
                <w:rFonts w:hint="eastAsia"/>
                <w:kern w:val="0"/>
                <w:sz w:val="24"/>
                <w:szCs w:val="24"/>
              </w:rPr>
              <w:t>13</w:t>
            </w:r>
          </w:p>
        </w:tc>
        <w:tc>
          <w:tcPr>
            <w:tcW w:w="362" w:type="pct"/>
            <w:vAlign w:val="center"/>
          </w:tcPr>
          <w:p w14:paraId="3D168431">
            <w:pPr>
              <w:widowControl/>
              <w:spacing w:line="320" w:lineRule="exact"/>
              <w:ind w:firstLine="0" w:firstLineChars="0"/>
              <w:jc w:val="center"/>
              <w:rPr>
                <w:rFonts w:hint="eastAsia"/>
                <w:kern w:val="0"/>
                <w:sz w:val="24"/>
                <w:szCs w:val="24"/>
              </w:rPr>
            </w:pPr>
            <w:r>
              <w:rPr>
                <w:rFonts w:hint="eastAsia"/>
                <w:kern w:val="0"/>
                <w:sz w:val="24"/>
                <w:szCs w:val="24"/>
              </w:rPr>
              <w:t>☆未实施物业管理的小区数量（个）</w:t>
            </w:r>
          </w:p>
        </w:tc>
        <w:tc>
          <w:tcPr>
            <w:tcW w:w="318" w:type="pct"/>
            <w:vAlign w:val="center"/>
          </w:tcPr>
          <w:p w14:paraId="23DA11C9">
            <w:pPr>
              <w:widowControl/>
              <w:spacing w:line="320" w:lineRule="exact"/>
              <w:ind w:firstLine="0" w:firstLineChars="0"/>
              <w:jc w:val="center"/>
              <w:rPr>
                <w:rFonts w:hint="eastAsia"/>
                <w:kern w:val="0"/>
                <w:sz w:val="24"/>
                <w:szCs w:val="24"/>
              </w:rPr>
            </w:pPr>
            <w:r>
              <w:rPr>
                <w:rFonts w:hint="eastAsia"/>
                <w:kern w:val="0"/>
                <w:sz w:val="24"/>
                <w:szCs w:val="24"/>
              </w:rPr>
              <w:t>182</w:t>
            </w:r>
          </w:p>
        </w:tc>
        <w:tc>
          <w:tcPr>
            <w:tcW w:w="651" w:type="pct"/>
            <w:vAlign w:val="center"/>
          </w:tcPr>
          <w:p w14:paraId="7FE91885">
            <w:pPr>
              <w:widowControl/>
              <w:spacing w:line="320" w:lineRule="exact"/>
              <w:ind w:firstLine="0" w:firstLineChars="0"/>
              <w:jc w:val="center"/>
              <w:rPr>
                <w:rFonts w:hint="eastAsia"/>
                <w:kern w:val="0"/>
                <w:sz w:val="24"/>
                <w:szCs w:val="24"/>
              </w:rPr>
            </w:pPr>
            <w:r>
              <w:rPr>
                <w:rFonts w:hint="eastAsia"/>
                <w:kern w:val="0"/>
                <w:sz w:val="24"/>
                <w:szCs w:val="24"/>
              </w:rPr>
              <w:t>未实施物业管理的社区占比42.3%，未实施物业管理的小区有182个，占全部小区总数的23.3%，主要为小区自治，由门卫负责安全或社区代为管理，找专人做卫生清洁。</w:t>
            </w:r>
          </w:p>
        </w:tc>
        <w:tc>
          <w:tcPr>
            <w:tcW w:w="572" w:type="pct"/>
            <w:vAlign w:val="center"/>
          </w:tcPr>
          <w:p w14:paraId="2C5E919E">
            <w:pPr>
              <w:widowControl/>
              <w:spacing w:line="320" w:lineRule="exact"/>
              <w:ind w:firstLine="0" w:firstLineChars="0"/>
              <w:jc w:val="center"/>
              <w:rPr>
                <w:rFonts w:hint="eastAsia"/>
                <w:kern w:val="0"/>
                <w:sz w:val="24"/>
                <w:szCs w:val="24"/>
              </w:rPr>
            </w:pPr>
            <w:r>
              <w:rPr>
                <w:rFonts w:hint="eastAsia"/>
                <w:sz w:val="22"/>
                <w:szCs w:val="22"/>
              </w:rPr>
              <w:t>针对以上问题，需要从多方面入手，包括改善小区基础设施、提高居民的物业服务需求、建立专业的管理团队、加强资金筹措和监管能力、完善相关的法律法规等。同时，也可以引导居民提高对物业管理的认识，加强居民的参与度，以实现更好的管理效果。</w:t>
            </w:r>
          </w:p>
        </w:tc>
        <w:tc>
          <w:tcPr>
            <w:tcW w:w="2088" w:type="pct"/>
            <w:vAlign w:val="center"/>
          </w:tcPr>
          <w:p w14:paraId="43051212">
            <w:pPr>
              <w:widowControl/>
              <w:spacing w:line="320" w:lineRule="exact"/>
              <w:ind w:firstLine="0" w:firstLineChars="0"/>
              <w:jc w:val="left"/>
              <w:rPr>
                <w:rFonts w:hint="eastAsia"/>
                <w:kern w:val="0"/>
                <w:sz w:val="24"/>
                <w:szCs w:val="24"/>
              </w:rPr>
            </w:pPr>
            <w:r>
              <w:rPr>
                <w:rFonts w:hint="eastAsia"/>
                <w:kern w:val="0"/>
                <w:sz w:val="24"/>
                <w:szCs w:val="24"/>
              </w:rPr>
              <w:t>一、安次区：</w:t>
            </w:r>
          </w:p>
          <w:p w14:paraId="349314CE">
            <w:pPr>
              <w:widowControl/>
              <w:spacing w:line="320" w:lineRule="exact"/>
              <w:ind w:firstLine="0" w:firstLineChars="0"/>
              <w:jc w:val="left"/>
              <w:rPr>
                <w:rFonts w:hint="eastAsia"/>
              </w:rPr>
            </w:pPr>
            <w:r>
              <w:rPr>
                <w:rFonts w:hint="eastAsia"/>
                <w:kern w:val="0"/>
                <w:sz w:val="24"/>
                <w:szCs w:val="24"/>
              </w:rPr>
              <w:t>1、银河南路街道：嘉多丽社区的机械厂；前锋社区的前锋小区。</w:t>
            </w:r>
          </w:p>
          <w:p w14:paraId="0991FBA1">
            <w:pPr>
              <w:widowControl/>
              <w:spacing w:line="320" w:lineRule="exact"/>
              <w:ind w:firstLine="0" w:firstLineChars="0"/>
              <w:jc w:val="left"/>
              <w:rPr>
                <w:rFonts w:hint="eastAsia"/>
              </w:rPr>
            </w:pPr>
            <w:r>
              <w:rPr>
                <w:rFonts w:hint="eastAsia"/>
                <w:kern w:val="0"/>
                <w:sz w:val="24"/>
                <w:szCs w:val="24"/>
              </w:rPr>
              <w:t>2、光明西道街道：南大街社区的工行宿舍、铁路宿舍、南小街平房；院校区社区的光明小区；西小街社区的安次区医院宿舍；益寿里社区的金源小区。</w:t>
            </w:r>
          </w:p>
          <w:p w14:paraId="406F0C55">
            <w:pPr>
              <w:widowControl/>
              <w:spacing w:line="320" w:lineRule="exact"/>
              <w:ind w:firstLine="0" w:firstLineChars="0"/>
              <w:jc w:val="left"/>
              <w:rPr>
                <w:rFonts w:hint="eastAsia"/>
                <w:kern w:val="0"/>
                <w:sz w:val="24"/>
                <w:szCs w:val="24"/>
              </w:rPr>
            </w:pPr>
            <w:r>
              <w:rPr>
                <w:rFonts w:hint="eastAsia"/>
                <w:kern w:val="0"/>
                <w:sz w:val="24"/>
                <w:szCs w:val="24"/>
              </w:rPr>
              <w:t>3、永华道街道：馨语社区的1206宿舍楼；中科社区的植物油厂平房；蓝波湾社区的畜牧局综合楼、金属柜综合楼。</w:t>
            </w:r>
          </w:p>
          <w:p w14:paraId="7F38DF3C">
            <w:pPr>
              <w:widowControl/>
              <w:spacing w:line="320" w:lineRule="exact"/>
              <w:ind w:firstLine="0" w:firstLineChars="0"/>
              <w:jc w:val="left"/>
              <w:rPr>
                <w:rFonts w:hint="eastAsia"/>
                <w:kern w:val="0"/>
                <w:sz w:val="24"/>
                <w:szCs w:val="24"/>
              </w:rPr>
            </w:pPr>
            <w:r>
              <w:rPr>
                <w:rFonts w:hint="eastAsia"/>
                <w:kern w:val="0"/>
                <w:sz w:val="24"/>
                <w:szCs w:val="24"/>
              </w:rPr>
              <w:t>二、广阳区：</w:t>
            </w:r>
          </w:p>
          <w:p w14:paraId="43D8F024">
            <w:pPr>
              <w:widowControl/>
              <w:spacing w:line="320" w:lineRule="exact"/>
              <w:ind w:firstLine="0" w:firstLineChars="0"/>
              <w:jc w:val="left"/>
              <w:rPr>
                <w:rFonts w:hint="eastAsia"/>
                <w:kern w:val="0"/>
                <w:sz w:val="24"/>
                <w:szCs w:val="24"/>
              </w:rPr>
            </w:pPr>
            <w:r>
              <w:rPr>
                <w:rFonts w:hint="eastAsia"/>
                <w:kern w:val="0"/>
                <w:sz w:val="24"/>
                <w:szCs w:val="24"/>
              </w:rPr>
              <w:t>1、新开路街道：康乐社区的二招平房；国际花园社区的华洋宿舍楼、银泉里小区；同顺里社区的所有18个小区；瑞泰社区的天河北区；瑞华里社区的制线厂、电控厂、冶炼厂；东方家园社区的东方家园。</w:t>
            </w:r>
          </w:p>
          <w:p w14:paraId="74816BEB">
            <w:pPr>
              <w:widowControl/>
              <w:spacing w:line="320" w:lineRule="exact"/>
              <w:ind w:firstLine="0" w:firstLineChars="0"/>
              <w:jc w:val="left"/>
              <w:rPr>
                <w:rFonts w:hint="eastAsia"/>
                <w:kern w:val="0"/>
                <w:sz w:val="24"/>
                <w:szCs w:val="24"/>
              </w:rPr>
            </w:pPr>
            <w:r>
              <w:rPr>
                <w:rFonts w:hint="eastAsia"/>
                <w:kern w:val="0"/>
                <w:sz w:val="24"/>
                <w:szCs w:val="24"/>
              </w:rPr>
              <w:t>2、爱民东道街道：裕华路社区的裕西里、西务周转楼、中铁物探、裕民里、向平里、福顺里、阳光里、裕北里、东戈胡同；统建楼社区的除了秀景花园A区，其他均无物业；曙光道社区的裕华小区南区；华苑社区所有12个小区；群安街社区的公安楼、裕华小区北区、振财小区；群星里社区的除星盛园、金玉源其余均无物业；建华里社区的向阳里小区；3531社区的农兴里；新星里社区的廊北小区；河苑社区的法院宿舍、农行宿舍；华夏经典社区的丰裕小区。</w:t>
            </w:r>
          </w:p>
          <w:p w14:paraId="24160438">
            <w:pPr>
              <w:widowControl/>
              <w:spacing w:line="320" w:lineRule="exact"/>
              <w:ind w:firstLine="0" w:firstLineChars="0"/>
              <w:jc w:val="left"/>
              <w:rPr>
                <w:rFonts w:hint="eastAsia"/>
              </w:rPr>
            </w:pPr>
            <w:r>
              <w:rPr>
                <w:rFonts w:hint="eastAsia"/>
                <w:kern w:val="0"/>
                <w:sz w:val="24"/>
                <w:szCs w:val="24"/>
              </w:rPr>
              <w:t>3、银河北路街道：西后街社区的利民楼、银河大街、武装部宿舍；站前社区的农机；康宁街社区的服装厂楼、永泰楼、新华楼、育才楼、工行楼；空中花园社区的空中花园平房区、移动通信小区；丰盛路社区的所有小区都无物业；大官庄社区的大官庄2号楼、大官庄供电楼。</w:t>
            </w:r>
          </w:p>
          <w:p w14:paraId="7BAC96E8">
            <w:pPr>
              <w:widowControl/>
              <w:spacing w:line="320" w:lineRule="exact"/>
              <w:ind w:firstLine="0" w:firstLineChars="0"/>
              <w:jc w:val="left"/>
              <w:rPr>
                <w:rFonts w:hint="eastAsia"/>
                <w:kern w:val="0"/>
                <w:sz w:val="24"/>
                <w:szCs w:val="24"/>
              </w:rPr>
            </w:pPr>
            <w:r>
              <w:rPr>
                <w:rFonts w:hint="eastAsia"/>
                <w:kern w:val="0"/>
                <w:sz w:val="24"/>
                <w:szCs w:val="24"/>
              </w:rPr>
              <w:t>4、解放道街道：华夏里社区的除了盛园小区、天圆公寓、华夏花园小区、华秋里小区，其他均无物业；小廊坊社区的永丰胡同、东安市场平房；五福街社区的农行楼、居安里平房；新安里社区的办事处宿舍楼、勘测楼小区、长安小区东区、光明东道11号、光辉里平房；清河街社区的地矿小区、粮机楼、馨平公寓、市政一公司宿舍楼、津元里；永丰道社区的三中北楼、三中南楼、工银里、土地楼、聚贤楼、老干部局宿舍楼、棉麻楼、交警楼；康荣社区除了富华南区，其他均无物业；周各庄社区的朝阳住宅楼、厨房设备平房。</w:t>
            </w:r>
          </w:p>
          <w:p w14:paraId="272635D3">
            <w:pPr>
              <w:widowControl/>
              <w:spacing w:line="320" w:lineRule="exact"/>
              <w:ind w:firstLine="0" w:firstLineChars="0"/>
              <w:jc w:val="left"/>
              <w:rPr>
                <w:rFonts w:hint="eastAsia"/>
                <w:kern w:val="0"/>
                <w:sz w:val="24"/>
                <w:szCs w:val="24"/>
              </w:rPr>
            </w:pPr>
            <w:r>
              <w:rPr>
                <w:rFonts w:hint="eastAsia"/>
                <w:kern w:val="0"/>
                <w:sz w:val="24"/>
                <w:szCs w:val="24"/>
              </w:rPr>
              <w:t>5、南尖塔镇：广阳公寓社区的东尖塔教师公寓、乐园小区；上善颐园社区的骆庄教师公寓。</w:t>
            </w:r>
          </w:p>
          <w:p w14:paraId="7FEB96B9">
            <w:pPr>
              <w:widowControl/>
              <w:spacing w:line="320" w:lineRule="exact"/>
              <w:ind w:firstLine="0" w:firstLineChars="0"/>
              <w:jc w:val="left"/>
              <w:rPr>
                <w:rFonts w:hint="eastAsia"/>
                <w:kern w:val="0"/>
                <w:sz w:val="24"/>
                <w:szCs w:val="24"/>
              </w:rPr>
            </w:pPr>
            <w:r>
              <w:rPr>
                <w:rFonts w:hint="eastAsia"/>
                <w:kern w:val="0"/>
                <w:sz w:val="24"/>
                <w:szCs w:val="24"/>
              </w:rPr>
              <w:t>6、北旺镇：花桥社区的教师公寓小区。</w:t>
            </w:r>
          </w:p>
          <w:p w14:paraId="0C022475">
            <w:pPr>
              <w:widowControl/>
              <w:spacing w:line="320" w:lineRule="exact"/>
              <w:ind w:firstLine="0" w:firstLineChars="0"/>
              <w:jc w:val="left"/>
              <w:rPr>
                <w:rFonts w:hint="eastAsia"/>
                <w:kern w:val="0"/>
                <w:sz w:val="24"/>
                <w:szCs w:val="24"/>
              </w:rPr>
            </w:pPr>
            <w:r>
              <w:rPr>
                <w:rFonts w:hint="eastAsia"/>
                <w:kern w:val="0"/>
                <w:sz w:val="24"/>
                <w:szCs w:val="24"/>
              </w:rPr>
              <w:t>7、新源道街道：城市旺点社区的太平洋小区、金安里。</w:t>
            </w:r>
          </w:p>
          <w:p w14:paraId="493D49AF">
            <w:pPr>
              <w:widowControl/>
              <w:spacing w:line="320" w:lineRule="exact"/>
              <w:ind w:firstLine="0" w:firstLineChars="0"/>
              <w:jc w:val="left"/>
              <w:rPr>
                <w:rFonts w:hint="eastAsia"/>
                <w:kern w:val="0"/>
                <w:sz w:val="24"/>
                <w:szCs w:val="24"/>
              </w:rPr>
            </w:pPr>
            <w:r>
              <w:rPr>
                <w:rFonts w:hint="eastAsia"/>
                <w:kern w:val="0"/>
                <w:sz w:val="24"/>
                <w:szCs w:val="24"/>
              </w:rPr>
              <w:t>三、开发区：</w:t>
            </w:r>
          </w:p>
          <w:p w14:paraId="4F40ACB8">
            <w:pPr>
              <w:widowControl/>
              <w:spacing w:line="320" w:lineRule="exact"/>
              <w:ind w:firstLine="0" w:firstLineChars="0"/>
              <w:jc w:val="left"/>
              <w:rPr>
                <w:rFonts w:hint="eastAsia"/>
              </w:rPr>
            </w:pPr>
            <w:r>
              <w:rPr>
                <w:rFonts w:hint="eastAsia"/>
                <w:kern w:val="0"/>
                <w:sz w:val="24"/>
                <w:szCs w:val="24"/>
              </w:rPr>
              <w:t>云鹏道街道：东方大学城社区的丫咪公寓；东方之珠社区的专家公寓。</w:t>
            </w:r>
          </w:p>
        </w:tc>
        <w:tc>
          <w:tcPr>
            <w:tcW w:w="222" w:type="pct"/>
            <w:vAlign w:val="center"/>
          </w:tcPr>
          <w:p w14:paraId="7F2EE921">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332" w:type="pct"/>
            <w:vAlign w:val="center"/>
          </w:tcPr>
          <w:p w14:paraId="45B29278">
            <w:pPr>
              <w:widowControl/>
              <w:spacing w:line="320" w:lineRule="exact"/>
              <w:ind w:firstLine="0" w:firstLineChars="0"/>
              <w:jc w:val="center"/>
              <w:rPr>
                <w:rFonts w:hint="eastAsia"/>
                <w:sz w:val="22"/>
                <w:szCs w:val="22"/>
              </w:rPr>
            </w:pPr>
            <w:r>
              <w:rPr>
                <w:kern w:val="0"/>
                <w:sz w:val="24"/>
                <w:szCs w:val="24"/>
              </w:rPr>
              <w:t>III</w:t>
            </w:r>
          </w:p>
        </w:tc>
        <w:tc>
          <w:tcPr>
            <w:tcW w:w="249" w:type="pct"/>
            <w:vAlign w:val="center"/>
          </w:tcPr>
          <w:p w14:paraId="6EA9EC9E">
            <w:pPr>
              <w:widowControl/>
              <w:spacing w:line="320" w:lineRule="exact"/>
              <w:ind w:firstLine="0" w:firstLineChars="0"/>
              <w:jc w:val="center"/>
              <w:rPr>
                <w:rFonts w:hint="eastAsia"/>
                <w:kern w:val="0"/>
                <w:sz w:val="24"/>
                <w:szCs w:val="24"/>
              </w:rPr>
            </w:pPr>
            <w:r>
              <w:rPr>
                <w:rFonts w:hint="eastAsia"/>
                <w:kern w:val="0"/>
                <w:sz w:val="24"/>
                <w:szCs w:val="24"/>
              </w:rPr>
              <w:t>市住建局、</w:t>
            </w:r>
          </w:p>
          <w:p w14:paraId="07E7603D">
            <w:pPr>
              <w:widowControl/>
              <w:spacing w:line="320" w:lineRule="exact"/>
              <w:ind w:firstLine="0" w:firstLineChars="0"/>
              <w:jc w:val="center"/>
              <w:rPr>
                <w:rFonts w:hint="eastAsia"/>
                <w:kern w:val="0"/>
                <w:sz w:val="24"/>
                <w:szCs w:val="24"/>
              </w:rPr>
            </w:pPr>
            <w:r>
              <w:rPr>
                <w:rFonts w:hint="eastAsia"/>
                <w:kern w:val="0"/>
                <w:sz w:val="24"/>
                <w:szCs w:val="24"/>
              </w:rPr>
              <w:t>安次区政府、</w:t>
            </w:r>
          </w:p>
          <w:p w14:paraId="5263BAEF">
            <w:pPr>
              <w:widowControl/>
              <w:spacing w:line="320" w:lineRule="exact"/>
              <w:ind w:firstLine="0" w:firstLineChars="0"/>
              <w:jc w:val="center"/>
              <w:rPr>
                <w:rFonts w:hint="eastAsia"/>
                <w:kern w:val="0"/>
                <w:sz w:val="24"/>
                <w:szCs w:val="24"/>
              </w:rPr>
            </w:pPr>
            <w:r>
              <w:rPr>
                <w:rFonts w:hint="eastAsia"/>
                <w:kern w:val="0"/>
                <w:sz w:val="24"/>
                <w:szCs w:val="24"/>
              </w:rPr>
              <w:t>广阳区政府、</w:t>
            </w:r>
          </w:p>
          <w:p w14:paraId="57073432">
            <w:pPr>
              <w:widowControl/>
              <w:spacing w:line="320" w:lineRule="exact"/>
              <w:ind w:firstLine="0" w:firstLineChars="0"/>
              <w:jc w:val="center"/>
              <w:rPr>
                <w:rFonts w:hint="eastAsia"/>
                <w:kern w:val="0"/>
                <w:sz w:val="24"/>
                <w:szCs w:val="24"/>
              </w:rPr>
            </w:pPr>
            <w:r>
              <w:rPr>
                <w:rFonts w:hint="eastAsia"/>
                <w:kern w:val="0"/>
                <w:sz w:val="24"/>
                <w:szCs w:val="24"/>
              </w:rPr>
              <w:t>开发区管委会</w:t>
            </w:r>
          </w:p>
        </w:tc>
      </w:tr>
    </w:tbl>
    <w:p w14:paraId="6A0DF2B4">
      <w:pPr>
        <w:pStyle w:val="48"/>
        <w:outlineLvl w:val="2"/>
        <w:rPr>
          <w:rFonts w:hint="eastAsia"/>
        </w:rPr>
        <w:sectPr>
          <w:pgSz w:w="16838" w:h="11906" w:orient="landscape"/>
          <w:pgMar w:top="1803" w:right="1440" w:bottom="1803" w:left="1440" w:header="851" w:footer="992" w:gutter="0"/>
          <w:pgNumType w:fmt="decimal"/>
          <w:cols w:space="425" w:num="1"/>
          <w:docGrid w:type="lines" w:linePitch="312" w:charSpace="0"/>
        </w:sectPr>
      </w:pPr>
    </w:p>
    <w:p w14:paraId="3424D402">
      <w:pPr>
        <w:pStyle w:val="48"/>
        <w:outlineLvl w:val="2"/>
        <w:rPr>
          <w:rFonts w:hint="eastAsia"/>
        </w:rPr>
      </w:pPr>
      <w:r>
        <w:rPr>
          <w:rFonts w:hint="eastAsia"/>
        </w:rPr>
        <w:t>街区维度体检整治建议清单表</w:t>
      </w:r>
    </w:p>
    <w:tbl>
      <w:tblPr>
        <w:tblStyle w:val="29"/>
        <w:tblW w:w="504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88"/>
        <w:gridCol w:w="981"/>
        <w:gridCol w:w="823"/>
        <w:gridCol w:w="1618"/>
        <w:gridCol w:w="5179"/>
        <w:gridCol w:w="3078"/>
        <w:gridCol w:w="1134"/>
        <w:gridCol w:w="992"/>
      </w:tblGrid>
      <w:tr w14:paraId="3A359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noWrap/>
            <w:vAlign w:val="center"/>
          </w:tcPr>
          <w:p w14:paraId="03E62ACB">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序号</w:t>
            </w:r>
          </w:p>
        </w:tc>
        <w:tc>
          <w:tcPr>
            <w:tcW w:w="348" w:type="pct"/>
            <w:shd w:val="clear" w:color="auto" w:fill="auto"/>
            <w:noWrap/>
            <w:vAlign w:val="center"/>
          </w:tcPr>
          <w:p w14:paraId="30046DF6">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指标名称</w:t>
            </w:r>
          </w:p>
        </w:tc>
        <w:tc>
          <w:tcPr>
            <w:tcW w:w="292" w:type="pct"/>
            <w:shd w:val="clear" w:color="auto" w:fill="auto"/>
            <w:noWrap/>
            <w:vAlign w:val="center"/>
          </w:tcPr>
          <w:p w14:paraId="34FB4365">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指标结果</w:t>
            </w:r>
          </w:p>
        </w:tc>
        <w:tc>
          <w:tcPr>
            <w:tcW w:w="574" w:type="pct"/>
            <w:shd w:val="clear" w:color="auto" w:fill="auto"/>
            <w:noWrap/>
            <w:vAlign w:val="center"/>
          </w:tcPr>
          <w:p w14:paraId="2655490B">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存在问题</w:t>
            </w:r>
          </w:p>
        </w:tc>
        <w:tc>
          <w:tcPr>
            <w:tcW w:w="1836" w:type="pct"/>
            <w:shd w:val="clear" w:color="auto" w:fill="auto"/>
            <w:noWrap/>
            <w:vAlign w:val="center"/>
          </w:tcPr>
          <w:p w14:paraId="30DFEC2F">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整治建议</w:t>
            </w:r>
          </w:p>
        </w:tc>
        <w:tc>
          <w:tcPr>
            <w:tcW w:w="1092" w:type="pct"/>
            <w:shd w:val="clear" w:color="auto" w:fill="auto"/>
            <w:noWrap/>
            <w:vAlign w:val="center"/>
          </w:tcPr>
          <w:p w14:paraId="1974A1F7">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整治区域</w:t>
            </w:r>
          </w:p>
        </w:tc>
        <w:tc>
          <w:tcPr>
            <w:tcW w:w="402" w:type="pct"/>
            <w:shd w:val="clear" w:color="auto" w:fill="auto"/>
            <w:noWrap/>
            <w:vAlign w:val="center"/>
          </w:tcPr>
          <w:p w14:paraId="2A7640DF">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整治类型</w:t>
            </w:r>
          </w:p>
        </w:tc>
        <w:tc>
          <w:tcPr>
            <w:tcW w:w="352" w:type="pct"/>
            <w:shd w:val="clear" w:color="auto" w:fill="auto"/>
            <w:noWrap/>
            <w:vAlign w:val="center"/>
          </w:tcPr>
          <w:p w14:paraId="15A37113">
            <w:pPr>
              <w:widowControl/>
              <w:spacing w:line="320" w:lineRule="exact"/>
              <w:ind w:firstLine="0" w:firstLineChars="0"/>
              <w:jc w:val="center"/>
              <w:rPr>
                <w:rFonts w:hint="eastAsia" w:ascii="方正黑体_GBK" w:hAnsi="方正黑体_GBK" w:eastAsia="方正黑体_GBK" w:cs="方正黑体_GBK"/>
                <w:kern w:val="0"/>
                <w:sz w:val="24"/>
                <w:szCs w:val="24"/>
              </w:rPr>
            </w:pPr>
            <w:r>
              <w:rPr>
                <w:rFonts w:hint="eastAsia" w:ascii="方正黑体_GBK" w:hAnsi="方正黑体_GBK" w:eastAsia="方正黑体_GBK" w:cs="方正黑体_GBK"/>
                <w:kern w:val="0"/>
                <w:sz w:val="24"/>
                <w:szCs w:val="24"/>
              </w:rPr>
              <w:t>责任单位</w:t>
            </w:r>
          </w:p>
        </w:tc>
      </w:tr>
      <w:tr w14:paraId="4EEDF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vAlign w:val="center"/>
          </w:tcPr>
          <w:p w14:paraId="34559AE7">
            <w:pPr>
              <w:widowControl/>
              <w:spacing w:line="320" w:lineRule="exact"/>
              <w:ind w:firstLine="0" w:firstLineChars="0"/>
              <w:jc w:val="center"/>
              <w:rPr>
                <w:rFonts w:hint="eastAsia"/>
                <w:kern w:val="0"/>
                <w:sz w:val="24"/>
                <w:szCs w:val="24"/>
              </w:rPr>
            </w:pPr>
            <w:r>
              <w:rPr>
                <w:rFonts w:hint="eastAsia"/>
                <w:kern w:val="0"/>
                <w:sz w:val="24"/>
                <w:szCs w:val="24"/>
              </w:rPr>
              <w:t>14</w:t>
            </w:r>
          </w:p>
        </w:tc>
        <w:tc>
          <w:tcPr>
            <w:tcW w:w="348" w:type="pct"/>
            <w:shd w:val="clear" w:color="auto" w:fill="auto"/>
            <w:vAlign w:val="center"/>
          </w:tcPr>
          <w:p w14:paraId="53246E54">
            <w:pPr>
              <w:widowControl/>
              <w:spacing w:line="320" w:lineRule="exact"/>
              <w:ind w:firstLine="0" w:firstLineChars="0"/>
              <w:jc w:val="center"/>
              <w:rPr>
                <w:rFonts w:hint="eastAsia"/>
                <w:kern w:val="0"/>
                <w:sz w:val="24"/>
                <w:szCs w:val="24"/>
              </w:rPr>
            </w:pPr>
            <w:r>
              <w:rPr>
                <w:rFonts w:hint="eastAsia"/>
                <w:kern w:val="0"/>
                <w:sz w:val="24"/>
                <w:szCs w:val="24"/>
              </w:rPr>
              <w:t>中学服务半径覆盖率（%）</w:t>
            </w:r>
          </w:p>
        </w:tc>
        <w:tc>
          <w:tcPr>
            <w:tcW w:w="292" w:type="pct"/>
            <w:shd w:val="clear" w:color="auto" w:fill="auto"/>
            <w:noWrap/>
            <w:vAlign w:val="center"/>
          </w:tcPr>
          <w:p w14:paraId="37A96143">
            <w:pPr>
              <w:widowControl/>
              <w:spacing w:line="320" w:lineRule="exact"/>
              <w:ind w:firstLine="0" w:firstLineChars="0"/>
              <w:jc w:val="center"/>
              <w:rPr>
                <w:rFonts w:hint="eastAsia"/>
                <w:kern w:val="0"/>
                <w:sz w:val="24"/>
                <w:szCs w:val="24"/>
              </w:rPr>
            </w:pPr>
            <w:r>
              <w:rPr>
                <w:rFonts w:hint="eastAsia"/>
                <w:kern w:val="0"/>
                <w:sz w:val="24"/>
                <w:szCs w:val="24"/>
              </w:rPr>
              <w:t>48.85%</w:t>
            </w:r>
          </w:p>
        </w:tc>
        <w:tc>
          <w:tcPr>
            <w:tcW w:w="574" w:type="pct"/>
            <w:shd w:val="clear" w:color="auto" w:fill="auto"/>
            <w:noWrap/>
            <w:vAlign w:val="center"/>
          </w:tcPr>
          <w:p w14:paraId="78050B86">
            <w:pPr>
              <w:widowControl/>
              <w:spacing w:line="320" w:lineRule="exact"/>
              <w:ind w:firstLine="0" w:firstLineChars="0"/>
              <w:jc w:val="center"/>
              <w:rPr>
                <w:rFonts w:hint="eastAsia"/>
                <w:kern w:val="0"/>
                <w:sz w:val="24"/>
                <w:szCs w:val="24"/>
              </w:rPr>
            </w:pPr>
            <w:r>
              <w:rPr>
                <w:rFonts w:hint="eastAsia"/>
                <w:kern w:val="0"/>
                <w:sz w:val="24"/>
                <w:szCs w:val="24"/>
              </w:rPr>
              <w:t>廊坊市建成区中学服务半径覆盖不足。</w:t>
            </w:r>
          </w:p>
        </w:tc>
        <w:tc>
          <w:tcPr>
            <w:tcW w:w="1836" w:type="pct"/>
            <w:shd w:val="clear" w:color="auto" w:fill="auto"/>
            <w:noWrap/>
            <w:vAlign w:val="center"/>
          </w:tcPr>
          <w:p w14:paraId="7497F8C1">
            <w:pPr>
              <w:widowControl/>
              <w:spacing w:line="320" w:lineRule="exact"/>
              <w:ind w:firstLine="0" w:firstLineChars="0"/>
              <w:jc w:val="center"/>
              <w:rPr>
                <w:rFonts w:hint="eastAsia"/>
                <w:kern w:val="0"/>
                <w:sz w:val="24"/>
                <w:szCs w:val="24"/>
              </w:rPr>
            </w:pPr>
            <w:r>
              <w:rPr>
                <w:rFonts w:hint="eastAsia"/>
                <w:kern w:val="0"/>
                <w:sz w:val="24"/>
                <w:szCs w:val="24"/>
              </w:rPr>
              <w:t>通过新建、改扩建、腾容、配建、购买民办学校方式，持续推进廊坊市义务教育学校规划建设</w:t>
            </w:r>
          </w:p>
        </w:tc>
        <w:tc>
          <w:tcPr>
            <w:tcW w:w="1092" w:type="pct"/>
            <w:shd w:val="clear" w:color="auto" w:fill="auto"/>
            <w:noWrap/>
            <w:vAlign w:val="center"/>
          </w:tcPr>
          <w:p w14:paraId="052F05AB">
            <w:pPr>
              <w:widowControl/>
              <w:spacing w:line="320" w:lineRule="exact"/>
              <w:ind w:firstLine="0" w:firstLineChars="0"/>
              <w:jc w:val="center"/>
              <w:rPr>
                <w:rFonts w:hint="eastAsia"/>
                <w:kern w:val="0"/>
                <w:sz w:val="24"/>
                <w:szCs w:val="24"/>
              </w:rPr>
            </w:pPr>
            <w:r>
              <w:rPr>
                <w:rFonts w:hint="eastAsia"/>
                <w:kern w:val="0"/>
                <w:sz w:val="24"/>
                <w:szCs w:val="24"/>
              </w:rPr>
              <w:t>廊万路沿线两侧、南尖塔镇西北部、杨税务镇北部、北旺镇及开发区大部分区域</w:t>
            </w:r>
          </w:p>
        </w:tc>
        <w:tc>
          <w:tcPr>
            <w:tcW w:w="402" w:type="pct"/>
            <w:shd w:val="clear" w:color="auto" w:fill="auto"/>
            <w:noWrap/>
            <w:vAlign w:val="center"/>
          </w:tcPr>
          <w:p w14:paraId="77F926D7">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2C540F60">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2FDEA6B9">
            <w:pPr>
              <w:widowControl/>
              <w:spacing w:line="320" w:lineRule="exact"/>
              <w:ind w:firstLine="0" w:firstLineChars="0"/>
              <w:jc w:val="center"/>
              <w:rPr>
                <w:rFonts w:hint="eastAsia"/>
                <w:kern w:val="0"/>
                <w:sz w:val="24"/>
                <w:szCs w:val="24"/>
              </w:rPr>
            </w:pPr>
          </w:p>
        </w:tc>
        <w:tc>
          <w:tcPr>
            <w:tcW w:w="352" w:type="pct"/>
            <w:shd w:val="clear" w:color="auto" w:fill="auto"/>
            <w:noWrap/>
            <w:vAlign w:val="center"/>
          </w:tcPr>
          <w:p w14:paraId="0BAEE0AD">
            <w:pPr>
              <w:widowControl/>
              <w:spacing w:line="320" w:lineRule="exact"/>
              <w:ind w:firstLine="0" w:firstLineChars="0"/>
              <w:jc w:val="center"/>
              <w:rPr>
                <w:rFonts w:hint="eastAsia"/>
                <w:kern w:val="0"/>
                <w:sz w:val="24"/>
                <w:szCs w:val="24"/>
              </w:rPr>
            </w:pPr>
            <w:r>
              <w:rPr>
                <w:rFonts w:hint="eastAsia"/>
                <w:kern w:val="0"/>
                <w:sz w:val="24"/>
                <w:szCs w:val="24"/>
              </w:rPr>
              <w:t>教育局</w:t>
            </w:r>
          </w:p>
        </w:tc>
      </w:tr>
      <w:tr w14:paraId="068F7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vAlign w:val="center"/>
          </w:tcPr>
          <w:p w14:paraId="1ADD09D8">
            <w:pPr>
              <w:widowControl/>
              <w:spacing w:line="320" w:lineRule="exact"/>
              <w:ind w:firstLine="0" w:firstLineChars="0"/>
              <w:jc w:val="center"/>
              <w:rPr>
                <w:rFonts w:hint="eastAsia"/>
                <w:kern w:val="0"/>
                <w:sz w:val="24"/>
                <w:szCs w:val="24"/>
              </w:rPr>
            </w:pPr>
            <w:r>
              <w:rPr>
                <w:rFonts w:hint="eastAsia"/>
                <w:kern w:val="0"/>
                <w:sz w:val="24"/>
                <w:szCs w:val="24"/>
              </w:rPr>
              <w:t>15</w:t>
            </w:r>
          </w:p>
        </w:tc>
        <w:tc>
          <w:tcPr>
            <w:tcW w:w="348" w:type="pct"/>
            <w:shd w:val="clear" w:color="auto" w:fill="auto"/>
            <w:vAlign w:val="center"/>
          </w:tcPr>
          <w:p w14:paraId="2CCF6FD2">
            <w:pPr>
              <w:widowControl/>
              <w:spacing w:line="320" w:lineRule="exact"/>
              <w:ind w:firstLine="0" w:firstLineChars="0"/>
              <w:jc w:val="center"/>
              <w:rPr>
                <w:rFonts w:hint="eastAsia"/>
                <w:kern w:val="0"/>
                <w:sz w:val="24"/>
                <w:szCs w:val="24"/>
              </w:rPr>
            </w:pPr>
            <w:r>
              <w:rPr>
                <w:rFonts w:hint="eastAsia"/>
                <w:kern w:val="0"/>
                <w:sz w:val="24"/>
                <w:szCs w:val="24"/>
              </w:rPr>
              <w:t>未达标配建多功能运动场地的数量（个）</w:t>
            </w:r>
          </w:p>
        </w:tc>
        <w:tc>
          <w:tcPr>
            <w:tcW w:w="292" w:type="pct"/>
            <w:shd w:val="clear" w:color="auto" w:fill="auto"/>
            <w:noWrap/>
            <w:vAlign w:val="center"/>
          </w:tcPr>
          <w:p w14:paraId="2D01A8A7">
            <w:pPr>
              <w:widowControl/>
              <w:spacing w:line="320" w:lineRule="exact"/>
              <w:ind w:firstLine="0" w:firstLineChars="0"/>
              <w:jc w:val="center"/>
              <w:rPr>
                <w:rFonts w:hint="eastAsia"/>
                <w:kern w:val="0"/>
                <w:sz w:val="24"/>
                <w:szCs w:val="24"/>
              </w:rPr>
            </w:pPr>
            <w:r>
              <w:rPr>
                <w:rFonts w:hint="eastAsia"/>
                <w:kern w:val="0"/>
                <w:sz w:val="24"/>
                <w:szCs w:val="24"/>
              </w:rPr>
              <w:t>8</w:t>
            </w:r>
          </w:p>
        </w:tc>
        <w:tc>
          <w:tcPr>
            <w:tcW w:w="574" w:type="pct"/>
            <w:shd w:val="clear" w:color="auto" w:fill="auto"/>
            <w:noWrap/>
            <w:vAlign w:val="center"/>
          </w:tcPr>
          <w:p w14:paraId="33AFCE95">
            <w:pPr>
              <w:widowControl/>
              <w:spacing w:line="320" w:lineRule="exact"/>
              <w:ind w:firstLine="0" w:firstLineChars="0"/>
              <w:jc w:val="center"/>
              <w:rPr>
                <w:rFonts w:hint="eastAsia"/>
                <w:kern w:val="0"/>
                <w:sz w:val="24"/>
                <w:szCs w:val="24"/>
              </w:rPr>
            </w:pPr>
            <w:r>
              <w:rPr>
                <w:rFonts w:hint="eastAsia"/>
                <w:kern w:val="0"/>
                <w:sz w:val="24"/>
                <w:szCs w:val="24"/>
              </w:rPr>
              <w:t>主要问题为中小学等多功能运动场地未向社会开放的。</w:t>
            </w:r>
          </w:p>
        </w:tc>
        <w:tc>
          <w:tcPr>
            <w:tcW w:w="1836" w:type="pct"/>
            <w:shd w:val="clear" w:color="auto" w:fill="auto"/>
            <w:noWrap/>
            <w:vAlign w:val="center"/>
          </w:tcPr>
          <w:p w14:paraId="7A9501A4">
            <w:pPr>
              <w:widowControl/>
              <w:spacing w:line="320" w:lineRule="exact"/>
              <w:ind w:firstLine="0" w:firstLineChars="0"/>
              <w:jc w:val="center"/>
              <w:rPr>
                <w:rFonts w:hint="eastAsia"/>
                <w:kern w:val="0"/>
                <w:sz w:val="24"/>
                <w:szCs w:val="24"/>
              </w:rPr>
            </w:pPr>
            <w:r>
              <w:rPr>
                <w:rFonts w:hint="eastAsia"/>
                <w:kern w:val="0"/>
                <w:sz w:val="24"/>
                <w:szCs w:val="24"/>
              </w:rPr>
              <w:t>廊坊市探索出台公共体育设施向公众开放的相关政策，例如《公共体育设施向社会开放管理办法》。充分提高体育设施使用效率，更好地满足群众体育健身和消费需求。</w:t>
            </w:r>
          </w:p>
        </w:tc>
        <w:tc>
          <w:tcPr>
            <w:tcW w:w="1092" w:type="pct"/>
            <w:shd w:val="clear" w:color="auto" w:fill="auto"/>
            <w:noWrap/>
            <w:vAlign w:val="center"/>
          </w:tcPr>
          <w:p w14:paraId="416CF6C6">
            <w:pPr>
              <w:widowControl/>
              <w:spacing w:line="320" w:lineRule="exact"/>
              <w:ind w:firstLine="0" w:firstLineChars="0"/>
              <w:jc w:val="center"/>
              <w:rPr>
                <w:rFonts w:hint="eastAsia"/>
                <w:kern w:val="0"/>
                <w:sz w:val="24"/>
                <w:szCs w:val="24"/>
              </w:rPr>
            </w:pPr>
            <w:r>
              <w:rPr>
                <w:rFonts w:hint="eastAsia"/>
                <w:kern w:val="0"/>
                <w:sz w:val="24"/>
                <w:szCs w:val="24"/>
              </w:rPr>
              <w:t>所有街道</w:t>
            </w:r>
          </w:p>
        </w:tc>
        <w:tc>
          <w:tcPr>
            <w:tcW w:w="402" w:type="pct"/>
            <w:shd w:val="clear" w:color="auto" w:fill="auto"/>
            <w:noWrap/>
            <w:vAlign w:val="center"/>
          </w:tcPr>
          <w:p w14:paraId="0C43F00F">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255D3908">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0461A99F">
            <w:pPr>
              <w:widowControl/>
              <w:spacing w:line="320" w:lineRule="exact"/>
              <w:ind w:firstLine="0" w:firstLineChars="0"/>
              <w:jc w:val="center"/>
              <w:rPr>
                <w:rFonts w:hint="eastAsia"/>
                <w:kern w:val="0"/>
                <w:sz w:val="24"/>
                <w:szCs w:val="24"/>
              </w:rPr>
            </w:pPr>
          </w:p>
        </w:tc>
        <w:tc>
          <w:tcPr>
            <w:tcW w:w="352" w:type="pct"/>
            <w:shd w:val="clear" w:color="auto" w:fill="auto"/>
            <w:noWrap/>
            <w:vAlign w:val="center"/>
          </w:tcPr>
          <w:p w14:paraId="31B4F7B4">
            <w:pPr>
              <w:widowControl/>
              <w:spacing w:line="320" w:lineRule="exact"/>
              <w:ind w:firstLine="0" w:firstLineChars="0"/>
              <w:jc w:val="center"/>
              <w:rPr>
                <w:rFonts w:hint="eastAsia"/>
                <w:kern w:val="0"/>
                <w:sz w:val="24"/>
                <w:szCs w:val="24"/>
              </w:rPr>
            </w:pPr>
            <w:r>
              <w:rPr>
                <w:rFonts w:hint="eastAsia"/>
                <w:kern w:val="0"/>
                <w:sz w:val="24"/>
                <w:szCs w:val="24"/>
              </w:rPr>
              <w:t>体育局</w:t>
            </w:r>
          </w:p>
        </w:tc>
      </w:tr>
      <w:tr w14:paraId="6050B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vAlign w:val="center"/>
          </w:tcPr>
          <w:p w14:paraId="49E35B0A">
            <w:pPr>
              <w:widowControl/>
              <w:spacing w:line="320" w:lineRule="exact"/>
              <w:ind w:firstLine="0" w:firstLineChars="0"/>
              <w:jc w:val="center"/>
              <w:rPr>
                <w:rFonts w:hint="eastAsia"/>
                <w:kern w:val="0"/>
                <w:sz w:val="24"/>
                <w:szCs w:val="24"/>
              </w:rPr>
            </w:pPr>
            <w:r>
              <w:rPr>
                <w:rFonts w:hint="eastAsia"/>
                <w:kern w:val="0"/>
                <w:sz w:val="24"/>
                <w:szCs w:val="24"/>
              </w:rPr>
              <w:t>16</w:t>
            </w:r>
          </w:p>
        </w:tc>
        <w:tc>
          <w:tcPr>
            <w:tcW w:w="348" w:type="pct"/>
            <w:shd w:val="clear" w:color="auto" w:fill="auto"/>
            <w:vAlign w:val="center"/>
          </w:tcPr>
          <w:p w14:paraId="32286FD1">
            <w:pPr>
              <w:widowControl/>
              <w:spacing w:line="320" w:lineRule="exact"/>
              <w:ind w:firstLine="0" w:firstLineChars="0"/>
              <w:jc w:val="center"/>
              <w:rPr>
                <w:rFonts w:hint="eastAsia"/>
                <w:kern w:val="0"/>
                <w:sz w:val="24"/>
                <w:szCs w:val="24"/>
              </w:rPr>
            </w:pPr>
            <w:r>
              <w:rPr>
                <w:rFonts w:hint="eastAsia"/>
                <w:kern w:val="0"/>
                <w:sz w:val="24"/>
                <w:szCs w:val="24"/>
              </w:rPr>
              <w:t>未达标配建文化活动中心的数量（个）</w:t>
            </w:r>
          </w:p>
        </w:tc>
        <w:tc>
          <w:tcPr>
            <w:tcW w:w="292" w:type="pct"/>
            <w:shd w:val="clear" w:color="auto" w:fill="auto"/>
            <w:noWrap/>
            <w:vAlign w:val="center"/>
          </w:tcPr>
          <w:p w14:paraId="54566EF4">
            <w:pPr>
              <w:widowControl/>
              <w:spacing w:line="320" w:lineRule="exact"/>
              <w:ind w:firstLine="0" w:firstLineChars="0"/>
              <w:jc w:val="center"/>
              <w:rPr>
                <w:rFonts w:hint="eastAsia"/>
                <w:kern w:val="0"/>
                <w:sz w:val="24"/>
                <w:szCs w:val="24"/>
              </w:rPr>
            </w:pPr>
            <w:r>
              <w:rPr>
                <w:rFonts w:hint="eastAsia"/>
                <w:kern w:val="0"/>
                <w:sz w:val="24"/>
                <w:szCs w:val="24"/>
              </w:rPr>
              <w:t>10</w:t>
            </w:r>
          </w:p>
        </w:tc>
        <w:tc>
          <w:tcPr>
            <w:tcW w:w="574" w:type="pct"/>
            <w:shd w:val="clear" w:color="auto" w:fill="auto"/>
            <w:noWrap/>
            <w:vAlign w:val="center"/>
          </w:tcPr>
          <w:p w14:paraId="12EB722A">
            <w:pPr>
              <w:widowControl/>
              <w:spacing w:line="320" w:lineRule="exact"/>
              <w:ind w:firstLine="0" w:firstLineChars="0"/>
              <w:jc w:val="center"/>
              <w:rPr>
                <w:rFonts w:hint="eastAsia"/>
                <w:kern w:val="0"/>
                <w:sz w:val="24"/>
                <w:szCs w:val="24"/>
              </w:rPr>
            </w:pPr>
            <w:r>
              <w:rPr>
                <w:rFonts w:hint="eastAsia"/>
                <w:kern w:val="0"/>
                <w:sz w:val="24"/>
                <w:szCs w:val="24"/>
              </w:rPr>
              <w:t>文化活动中心服务覆盖不足。</w:t>
            </w:r>
          </w:p>
        </w:tc>
        <w:tc>
          <w:tcPr>
            <w:tcW w:w="1836" w:type="pct"/>
            <w:shd w:val="clear" w:color="auto" w:fill="auto"/>
            <w:noWrap/>
            <w:vAlign w:val="center"/>
          </w:tcPr>
          <w:p w14:paraId="6D8781D5">
            <w:pPr>
              <w:widowControl/>
              <w:spacing w:line="320" w:lineRule="exact"/>
              <w:ind w:firstLine="0" w:firstLineChars="0"/>
              <w:jc w:val="center"/>
              <w:rPr>
                <w:rFonts w:hint="eastAsia"/>
                <w:kern w:val="0"/>
                <w:sz w:val="24"/>
                <w:szCs w:val="24"/>
              </w:rPr>
            </w:pPr>
            <w:r>
              <w:rPr>
                <w:rFonts w:hint="eastAsia"/>
                <w:kern w:val="0"/>
                <w:sz w:val="24"/>
                <w:szCs w:val="24"/>
              </w:rPr>
              <w:t>各街道依托原有文化中心开展多样的文化活动，提高文化中心的服务水平，保证文化中心面向公众的开放时间，建设标准化的文化惠民中心。</w:t>
            </w:r>
          </w:p>
        </w:tc>
        <w:tc>
          <w:tcPr>
            <w:tcW w:w="1092" w:type="pct"/>
            <w:shd w:val="clear" w:color="auto" w:fill="auto"/>
            <w:noWrap/>
            <w:vAlign w:val="center"/>
          </w:tcPr>
          <w:p w14:paraId="028CBAA6">
            <w:pPr>
              <w:widowControl/>
              <w:spacing w:line="320" w:lineRule="exact"/>
              <w:ind w:firstLine="0" w:firstLineChars="0"/>
              <w:jc w:val="center"/>
              <w:rPr>
                <w:rFonts w:hint="eastAsia"/>
                <w:kern w:val="0"/>
                <w:sz w:val="24"/>
                <w:szCs w:val="24"/>
              </w:rPr>
            </w:pPr>
            <w:r>
              <w:rPr>
                <w:rFonts w:hint="eastAsia"/>
                <w:kern w:val="0"/>
                <w:sz w:val="24"/>
                <w:szCs w:val="24"/>
              </w:rPr>
              <w:t>光明西道街道大部分区域、龙河高新区大部分区域以及永华道街道西部、爱民东道北部、新源道西北部以及南尖塔镇大部分区域、龙河高新区、开发区</w:t>
            </w:r>
          </w:p>
        </w:tc>
        <w:tc>
          <w:tcPr>
            <w:tcW w:w="402" w:type="pct"/>
            <w:shd w:val="clear" w:color="auto" w:fill="auto"/>
            <w:noWrap/>
            <w:vAlign w:val="center"/>
          </w:tcPr>
          <w:p w14:paraId="6BE125EE">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3778FB13">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3744C9C4">
            <w:pPr>
              <w:widowControl/>
              <w:spacing w:line="320" w:lineRule="exact"/>
              <w:ind w:firstLine="0" w:firstLineChars="0"/>
              <w:jc w:val="center"/>
              <w:rPr>
                <w:rFonts w:hint="eastAsia"/>
                <w:kern w:val="0"/>
                <w:sz w:val="24"/>
                <w:szCs w:val="24"/>
              </w:rPr>
            </w:pPr>
          </w:p>
        </w:tc>
        <w:tc>
          <w:tcPr>
            <w:tcW w:w="352" w:type="pct"/>
            <w:shd w:val="clear" w:color="auto" w:fill="auto"/>
            <w:noWrap/>
            <w:vAlign w:val="center"/>
          </w:tcPr>
          <w:p w14:paraId="64FD3114">
            <w:pPr>
              <w:widowControl/>
              <w:spacing w:line="320" w:lineRule="exact"/>
              <w:ind w:firstLine="0" w:firstLineChars="0"/>
              <w:jc w:val="center"/>
              <w:rPr>
                <w:rFonts w:hint="eastAsia"/>
                <w:kern w:val="0"/>
                <w:sz w:val="24"/>
                <w:szCs w:val="24"/>
              </w:rPr>
            </w:pPr>
            <w:r>
              <w:rPr>
                <w:rFonts w:hint="eastAsia"/>
                <w:kern w:val="0"/>
                <w:sz w:val="24"/>
                <w:szCs w:val="24"/>
              </w:rPr>
              <w:t>住建局</w:t>
            </w:r>
          </w:p>
        </w:tc>
      </w:tr>
      <w:tr w14:paraId="46DA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vAlign w:val="center"/>
          </w:tcPr>
          <w:p w14:paraId="1317D36E">
            <w:pPr>
              <w:widowControl/>
              <w:spacing w:line="320" w:lineRule="exact"/>
              <w:ind w:firstLine="0" w:firstLineChars="0"/>
              <w:jc w:val="center"/>
              <w:rPr>
                <w:rFonts w:hint="eastAsia"/>
                <w:kern w:val="0"/>
                <w:sz w:val="24"/>
                <w:szCs w:val="24"/>
              </w:rPr>
            </w:pPr>
            <w:r>
              <w:rPr>
                <w:rFonts w:hint="eastAsia"/>
                <w:kern w:val="0"/>
                <w:sz w:val="24"/>
                <w:szCs w:val="24"/>
              </w:rPr>
              <w:t>17☆</w:t>
            </w:r>
          </w:p>
        </w:tc>
        <w:tc>
          <w:tcPr>
            <w:tcW w:w="348" w:type="pct"/>
            <w:shd w:val="clear" w:color="auto" w:fill="auto"/>
            <w:vAlign w:val="center"/>
          </w:tcPr>
          <w:p w14:paraId="1416D6BD">
            <w:pPr>
              <w:widowControl/>
              <w:spacing w:line="320" w:lineRule="exact"/>
              <w:ind w:firstLine="0" w:firstLineChars="0"/>
              <w:jc w:val="center"/>
              <w:rPr>
                <w:rFonts w:hint="eastAsia"/>
                <w:kern w:val="0"/>
                <w:sz w:val="24"/>
                <w:szCs w:val="24"/>
              </w:rPr>
            </w:pPr>
            <w:r>
              <w:rPr>
                <w:rFonts w:hint="eastAsia"/>
                <w:kern w:val="0"/>
                <w:sz w:val="24"/>
                <w:szCs w:val="24"/>
              </w:rPr>
              <w:t>公园绿化活动场地服务半径覆盖率（%）</w:t>
            </w:r>
          </w:p>
        </w:tc>
        <w:tc>
          <w:tcPr>
            <w:tcW w:w="292" w:type="pct"/>
            <w:shd w:val="clear" w:color="auto" w:fill="auto"/>
            <w:noWrap/>
            <w:vAlign w:val="center"/>
          </w:tcPr>
          <w:p w14:paraId="4B38D7D7">
            <w:pPr>
              <w:widowControl/>
              <w:spacing w:line="320" w:lineRule="exact"/>
              <w:ind w:firstLine="0" w:firstLineChars="0"/>
              <w:jc w:val="center"/>
              <w:rPr>
                <w:rFonts w:hint="eastAsia"/>
                <w:kern w:val="0"/>
                <w:sz w:val="24"/>
                <w:szCs w:val="24"/>
              </w:rPr>
            </w:pPr>
            <w:r>
              <w:rPr>
                <w:rFonts w:hint="eastAsia"/>
                <w:kern w:val="0"/>
                <w:sz w:val="24"/>
                <w:szCs w:val="24"/>
              </w:rPr>
              <w:t>75.33%</w:t>
            </w:r>
            <w:r>
              <w:rPr>
                <w:rStyle w:val="65"/>
                <w:rFonts w:hint="eastAsia"/>
              </w:rPr>
              <w:t>（非建成区综合结果）</w:t>
            </w:r>
          </w:p>
        </w:tc>
        <w:tc>
          <w:tcPr>
            <w:tcW w:w="574" w:type="pct"/>
            <w:shd w:val="clear" w:color="auto" w:fill="auto"/>
            <w:noWrap/>
            <w:vAlign w:val="center"/>
          </w:tcPr>
          <w:p w14:paraId="5EBD425F">
            <w:pPr>
              <w:widowControl/>
              <w:spacing w:line="320" w:lineRule="exact"/>
              <w:ind w:firstLine="0" w:firstLineChars="0"/>
              <w:jc w:val="center"/>
              <w:rPr>
                <w:rFonts w:hint="eastAsia"/>
                <w:kern w:val="0"/>
                <w:sz w:val="24"/>
                <w:szCs w:val="24"/>
              </w:rPr>
            </w:pPr>
            <w:r>
              <w:rPr>
                <w:rFonts w:hint="eastAsia"/>
                <w:kern w:val="0"/>
                <w:sz w:val="24"/>
                <w:szCs w:val="24"/>
              </w:rPr>
              <w:t>缺乏公园绿化活动场地。</w:t>
            </w:r>
          </w:p>
        </w:tc>
        <w:tc>
          <w:tcPr>
            <w:tcW w:w="1836" w:type="pct"/>
            <w:shd w:val="clear" w:color="auto" w:fill="auto"/>
            <w:noWrap/>
            <w:vAlign w:val="center"/>
          </w:tcPr>
          <w:p w14:paraId="1DA82C9A">
            <w:pPr>
              <w:widowControl/>
              <w:spacing w:line="320" w:lineRule="exact"/>
              <w:ind w:firstLine="0" w:firstLineChars="0"/>
              <w:jc w:val="center"/>
              <w:rPr>
                <w:rFonts w:hint="eastAsia"/>
                <w:kern w:val="0"/>
                <w:sz w:val="24"/>
                <w:szCs w:val="24"/>
              </w:rPr>
            </w:pPr>
            <w:r>
              <w:rPr>
                <w:rFonts w:hint="eastAsia"/>
                <w:kern w:val="0"/>
                <w:sz w:val="24"/>
                <w:szCs w:val="24"/>
              </w:rPr>
              <w:t>一是严格落实社区（小区）的绿地建设，弥补绿地不足。将绿地建设纳入项目整体验收制度，特别是旧城区的社区（小区）改造项目，必须按规划实施绿地率，绿化用地不得作他用。</w:t>
            </w:r>
          </w:p>
          <w:p w14:paraId="57C3CD9C">
            <w:pPr>
              <w:widowControl/>
              <w:spacing w:line="320" w:lineRule="exact"/>
              <w:ind w:firstLine="0" w:firstLineChars="0"/>
              <w:jc w:val="center"/>
              <w:rPr>
                <w:rFonts w:hint="eastAsia"/>
                <w:kern w:val="0"/>
                <w:sz w:val="24"/>
                <w:szCs w:val="24"/>
              </w:rPr>
            </w:pPr>
            <w:r>
              <w:rPr>
                <w:rFonts w:hint="eastAsia"/>
                <w:kern w:val="0"/>
                <w:sz w:val="24"/>
                <w:szCs w:val="24"/>
              </w:rPr>
              <w:t>二是合理规划，增建公园绿地补短板。在旧城区改造中腾挪地块，均衡布局，采取强有力措施，拆违建绿，见缝插绿。二是合理规划，增建公园绿地补短板。在更新改造中腾挪地块，均衡布局，采取强有力措施，拆违建绿，见缝插绿。</w:t>
            </w:r>
          </w:p>
        </w:tc>
        <w:tc>
          <w:tcPr>
            <w:tcW w:w="1092" w:type="pct"/>
            <w:shd w:val="clear" w:color="auto" w:fill="auto"/>
            <w:noWrap/>
            <w:vAlign w:val="center"/>
          </w:tcPr>
          <w:p w14:paraId="0DB3C652">
            <w:pPr>
              <w:pStyle w:val="41"/>
              <w:rPr>
                <w:rFonts w:hint="eastAsia" w:cs="方正仿宋_GBK"/>
              </w:rPr>
            </w:pPr>
            <w:r>
              <w:rPr>
                <w:rFonts w:hint="eastAsia"/>
              </w:rPr>
              <w:t>广阳区北旺镇东部、安次区龙河高新区东北部、开发区北部大部分区域缺乏公园绿化活动场地。</w:t>
            </w:r>
          </w:p>
        </w:tc>
        <w:tc>
          <w:tcPr>
            <w:tcW w:w="402" w:type="pct"/>
            <w:shd w:val="clear" w:color="auto" w:fill="auto"/>
            <w:noWrap/>
            <w:vAlign w:val="center"/>
          </w:tcPr>
          <w:p w14:paraId="44CBF9CD">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603B0849">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53B9B80D">
            <w:pPr>
              <w:widowControl/>
              <w:spacing w:line="320" w:lineRule="exact"/>
              <w:ind w:firstLine="0" w:firstLineChars="0"/>
              <w:jc w:val="center"/>
              <w:rPr>
                <w:rFonts w:hint="eastAsia"/>
                <w:kern w:val="0"/>
                <w:sz w:val="24"/>
                <w:szCs w:val="24"/>
              </w:rPr>
            </w:pPr>
          </w:p>
        </w:tc>
        <w:tc>
          <w:tcPr>
            <w:tcW w:w="352" w:type="pct"/>
            <w:shd w:val="clear" w:color="auto" w:fill="auto"/>
            <w:noWrap/>
            <w:vAlign w:val="center"/>
          </w:tcPr>
          <w:p w14:paraId="16D6BB45">
            <w:pPr>
              <w:widowControl/>
              <w:spacing w:line="320" w:lineRule="exact"/>
              <w:ind w:firstLine="0" w:firstLineChars="0"/>
              <w:jc w:val="center"/>
              <w:rPr>
                <w:rFonts w:hint="eastAsia"/>
                <w:kern w:val="0"/>
                <w:sz w:val="24"/>
                <w:szCs w:val="24"/>
              </w:rPr>
            </w:pPr>
            <w:r>
              <w:rPr>
                <w:rFonts w:hint="eastAsia"/>
                <w:kern w:val="0"/>
                <w:sz w:val="24"/>
                <w:szCs w:val="24"/>
              </w:rPr>
              <w:t>住建局</w:t>
            </w:r>
          </w:p>
        </w:tc>
      </w:tr>
      <w:tr w14:paraId="6680D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02" w:type="pct"/>
            <w:shd w:val="clear" w:color="auto" w:fill="auto"/>
            <w:vAlign w:val="center"/>
          </w:tcPr>
          <w:p w14:paraId="58A166CE">
            <w:pPr>
              <w:widowControl/>
              <w:spacing w:line="320" w:lineRule="exact"/>
              <w:ind w:firstLine="0" w:firstLineChars="0"/>
              <w:jc w:val="center"/>
              <w:rPr>
                <w:rFonts w:hint="eastAsia"/>
                <w:kern w:val="0"/>
                <w:sz w:val="24"/>
                <w:szCs w:val="24"/>
              </w:rPr>
            </w:pPr>
            <w:r>
              <w:rPr>
                <w:rFonts w:hint="eastAsia"/>
                <w:kern w:val="0"/>
                <w:sz w:val="24"/>
                <w:szCs w:val="24"/>
              </w:rPr>
              <w:t>18☆</w:t>
            </w:r>
          </w:p>
        </w:tc>
        <w:tc>
          <w:tcPr>
            <w:tcW w:w="348" w:type="pct"/>
            <w:shd w:val="clear" w:color="auto" w:fill="auto"/>
            <w:vAlign w:val="center"/>
          </w:tcPr>
          <w:p w14:paraId="42F1DFDA">
            <w:pPr>
              <w:widowControl/>
              <w:spacing w:line="320" w:lineRule="exact"/>
              <w:ind w:firstLine="0" w:firstLineChars="0"/>
              <w:jc w:val="center"/>
              <w:rPr>
                <w:rFonts w:hint="eastAsia"/>
                <w:kern w:val="0"/>
                <w:sz w:val="24"/>
                <w:szCs w:val="24"/>
              </w:rPr>
            </w:pPr>
            <w:r>
              <w:rPr>
                <w:rFonts w:hint="eastAsia"/>
                <w:kern w:val="0"/>
                <w:sz w:val="24"/>
                <w:szCs w:val="24"/>
              </w:rPr>
              <w:t>存在乱停放车辆问题的道路数量（条）</w:t>
            </w:r>
          </w:p>
        </w:tc>
        <w:tc>
          <w:tcPr>
            <w:tcW w:w="292" w:type="pct"/>
            <w:shd w:val="clear" w:color="auto" w:fill="auto"/>
            <w:noWrap/>
            <w:vAlign w:val="center"/>
          </w:tcPr>
          <w:p w14:paraId="54258111">
            <w:pPr>
              <w:widowControl/>
              <w:spacing w:line="320" w:lineRule="exact"/>
              <w:ind w:firstLine="0" w:firstLineChars="0"/>
              <w:jc w:val="center"/>
              <w:rPr>
                <w:rFonts w:hint="eastAsia"/>
                <w:kern w:val="0"/>
                <w:sz w:val="24"/>
                <w:szCs w:val="24"/>
              </w:rPr>
            </w:pPr>
            <w:r>
              <w:rPr>
                <w:rFonts w:hint="eastAsia"/>
                <w:kern w:val="0"/>
                <w:sz w:val="24"/>
                <w:szCs w:val="24"/>
              </w:rPr>
              <w:t>27</w:t>
            </w:r>
          </w:p>
        </w:tc>
        <w:tc>
          <w:tcPr>
            <w:tcW w:w="574" w:type="pct"/>
            <w:shd w:val="clear" w:color="auto" w:fill="auto"/>
            <w:noWrap/>
            <w:vAlign w:val="center"/>
          </w:tcPr>
          <w:p w14:paraId="3DD53EF8">
            <w:pPr>
              <w:widowControl/>
              <w:spacing w:line="320" w:lineRule="exact"/>
              <w:ind w:firstLine="0" w:firstLineChars="0"/>
              <w:jc w:val="center"/>
              <w:rPr>
                <w:rFonts w:hint="eastAsia"/>
                <w:kern w:val="0"/>
                <w:sz w:val="24"/>
                <w:szCs w:val="24"/>
              </w:rPr>
            </w:pPr>
            <w:r>
              <w:rPr>
                <w:rFonts w:hint="eastAsia"/>
                <w:kern w:val="0"/>
                <w:sz w:val="24"/>
                <w:szCs w:val="24"/>
              </w:rPr>
              <w:t>一是居住区停车位供给不足，导致停车需求外溢至附近道路；二是学校附近接送学生导致的潮汐式乱停放车辆问题。</w:t>
            </w:r>
          </w:p>
        </w:tc>
        <w:tc>
          <w:tcPr>
            <w:tcW w:w="1836" w:type="pct"/>
            <w:shd w:val="clear" w:color="auto" w:fill="auto"/>
            <w:noWrap/>
            <w:vAlign w:val="center"/>
          </w:tcPr>
          <w:p w14:paraId="38DD891C">
            <w:pPr>
              <w:widowControl/>
              <w:spacing w:line="320" w:lineRule="exact"/>
              <w:ind w:firstLine="0" w:firstLineChars="0"/>
              <w:jc w:val="center"/>
              <w:rPr>
                <w:rFonts w:hint="eastAsia"/>
                <w:kern w:val="0"/>
                <w:sz w:val="24"/>
                <w:szCs w:val="24"/>
              </w:rPr>
            </w:pPr>
            <w:r>
              <w:rPr>
                <w:rFonts w:hint="eastAsia"/>
                <w:kern w:val="0"/>
                <w:sz w:val="24"/>
                <w:szCs w:val="24"/>
              </w:rPr>
              <w:t>一是合理规划停车场。结合城市更新改造项目、最大限度利用小区内的闲置用地建设停车场，规定使用时间弹性使用停车位，避免在早晚高峰时段停车；二是持续加强车辆停放管理工作，提升综合管理水平，提升停车的有序性；三是提高停车位使用效率。</w:t>
            </w:r>
          </w:p>
          <w:p w14:paraId="25E1C8EC">
            <w:pPr>
              <w:widowControl/>
              <w:spacing w:line="320" w:lineRule="exact"/>
              <w:ind w:firstLine="0" w:firstLineChars="0"/>
              <w:jc w:val="center"/>
              <w:rPr>
                <w:rFonts w:hint="eastAsia"/>
                <w:kern w:val="0"/>
                <w:sz w:val="24"/>
                <w:szCs w:val="24"/>
              </w:rPr>
            </w:pPr>
            <w:r>
              <w:rPr>
                <w:rFonts w:hint="eastAsia"/>
                <w:kern w:val="0"/>
                <w:sz w:val="24"/>
                <w:szCs w:val="24"/>
              </w:rPr>
              <w:t>由于部分非机动车停车区处于闲置状态，可调整非机动车停车位和机动车停车位的数量，将部分使用率不高的非机动车停车位用于机动车停放。</w:t>
            </w:r>
          </w:p>
        </w:tc>
        <w:tc>
          <w:tcPr>
            <w:tcW w:w="1092" w:type="pct"/>
            <w:shd w:val="clear" w:color="auto" w:fill="auto"/>
            <w:noWrap/>
            <w:vAlign w:val="center"/>
          </w:tcPr>
          <w:p w14:paraId="61E5BFBA">
            <w:pPr>
              <w:widowControl/>
              <w:spacing w:line="320" w:lineRule="exact"/>
              <w:ind w:firstLine="0" w:firstLineChars="0"/>
              <w:jc w:val="center"/>
              <w:rPr>
                <w:rFonts w:hint="eastAsia"/>
                <w:kern w:val="0"/>
                <w:sz w:val="24"/>
                <w:szCs w:val="24"/>
              </w:rPr>
            </w:pPr>
            <w:r>
              <w:rPr>
                <w:rFonts w:hint="eastAsia"/>
                <w:kern w:val="0"/>
                <w:sz w:val="24"/>
                <w:szCs w:val="24"/>
              </w:rPr>
              <w:t>解放道街道、光明西路街道、银河北路街道、开发区。</w:t>
            </w:r>
          </w:p>
        </w:tc>
        <w:tc>
          <w:tcPr>
            <w:tcW w:w="402" w:type="pct"/>
            <w:shd w:val="clear" w:color="auto" w:fill="auto"/>
            <w:noWrap/>
            <w:vAlign w:val="center"/>
          </w:tcPr>
          <w:p w14:paraId="45F9330A">
            <w:pPr>
              <w:widowControl/>
              <w:spacing w:line="320" w:lineRule="exact"/>
              <w:ind w:firstLine="0" w:firstLineChars="0"/>
              <w:jc w:val="center"/>
              <w:rPr>
                <w:rFonts w:hint="eastAsia"/>
                <w:kern w:val="0"/>
                <w:sz w:val="24"/>
                <w:szCs w:val="24"/>
              </w:rPr>
            </w:pPr>
            <w:r>
              <w:rPr>
                <w:rFonts w:hint="eastAsia"/>
                <w:kern w:val="0"/>
                <w:sz w:val="24"/>
                <w:szCs w:val="24"/>
              </w:rPr>
              <w:t>☑限时解决</w:t>
            </w:r>
          </w:p>
          <w:p w14:paraId="0427D2C4">
            <w:pPr>
              <w:widowControl/>
              <w:spacing w:line="320" w:lineRule="exact"/>
              <w:ind w:firstLine="0" w:firstLineChars="0"/>
              <w:jc w:val="center"/>
              <w:rPr>
                <w:rFonts w:hint="eastAsia"/>
                <w:kern w:val="0"/>
                <w:sz w:val="24"/>
                <w:szCs w:val="24"/>
              </w:rPr>
            </w:pPr>
            <w:r>
              <w:rPr>
                <w:rFonts w:hint="eastAsia"/>
                <w:kern w:val="0"/>
                <w:sz w:val="24"/>
                <w:szCs w:val="24"/>
              </w:rPr>
              <w:t>□尽力解决</w:t>
            </w:r>
          </w:p>
          <w:p w14:paraId="06CD4B4D">
            <w:pPr>
              <w:widowControl/>
              <w:spacing w:line="320" w:lineRule="exact"/>
              <w:ind w:firstLine="0" w:firstLineChars="0"/>
              <w:jc w:val="center"/>
              <w:rPr>
                <w:rFonts w:hint="eastAsia"/>
                <w:kern w:val="0"/>
                <w:sz w:val="24"/>
                <w:szCs w:val="24"/>
              </w:rPr>
            </w:pPr>
          </w:p>
        </w:tc>
        <w:tc>
          <w:tcPr>
            <w:tcW w:w="352" w:type="pct"/>
            <w:shd w:val="clear" w:color="auto" w:fill="auto"/>
            <w:noWrap/>
            <w:vAlign w:val="center"/>
          </w:tcPr>
          <w:p w14:paraId="0CCE6EE4">
            <w:pPr>
              <w:widowControl/>
              <w:spacing w:line="320" w:lineRule="exact"/>
              <w:ind w:firstLine="0" w:firstLineChars="0"/>
              <w:jc w:val="center"/>
              <w:rPr>
                <w:rFonts w:hint="eastAsia"/>
                <w:kern w:val="0"/>
                <w:sz w:val="24"/>
                <w:szCs w:val="24"/>
              </w:rPr>
            </w:pPr>
            <w:r>
              <w:rPr>
                <w:rFonts w:hint="eastAsia"/>
                <w:kern w:val="0"/>
                <w:sz w:val="24"/>
                <w:szCs w:val="24"/>
              </w:rPr>
              <w:t>城市管理综合行政执法局</w:t>
            </w:r>
          </w:p>
        </w:tc>
      </w:tr>
    </w:tbl>
    <w:p w14:paraId="76D94BF4">
      <w:pPr>
        <w:pStyle w:val="48"/>
        <w:outlineLvl w:val="2"/>
        <w:rPr>
          <w:rFonts w:hint="eastAsia"/>
        </w:rPr>
        <w:sectPr>
          <w:pgSz w:w="16838" w:h="11906" w:orient="landscape"/>
          <w:pgMar w:top="1803" w:right="1440" w:bottom="1803" w:left="1440" w:header="851" w:footer="992" w:gutter="0"/>
          <w:pgNumType w:fmt="decimal"/>
          <w:cols w:space="425" w:num="1"/>
          <w:docGrid w:type="lines" w:linePitch="312" w:charSpace="0"/>
        </w:sectPr>
      </w:pPr>
    </w:p>
    <w:p w14:paraId="0943CD26">
      <w:pPr>
        <w:pStyle w:val="48"/>
        <w:outlineLvl w:val="2"/>
        <w:rPr>
          <w:rFonts w:hint="eastAsia"/>
        </w:rPr>
      </w:pPr>
      <w:r>
        <w:rPr>
          <w:rFonts w:hint="eastAsia"/>
        </w:rPr>
        <w:t>城区维度体检整治建议清单表</w:t>
      </w:r>
    </w:p>
    <w:tbl>
      <w:tblPr>
        <w:tblStyle w:val="30"/>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632"/>
        <w:gridCol w:w="1695"/>
        <w:gridCol w:w="1335"/>
        <w:gridCol w:w="2431"/>
        <w:gridCol w:w="2808"/>
        <w:gridCol w:w="1122"/>
        <w:gridCol w:w="963"/>
        <w:gridCol w:w="1227"/>
        <w:gridCol w:w="1199"/>
      </w:tblGrid>
      <w:tr w14:paraId="07486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64" w:type="pct"/>
            <w:vAlign w:val="center"/>
          </w:tcPr>
          <w:p w14:paraId="0921E7E0">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维度</w:t>
            </w:r>
          </w:p>
        </w:tc>
        <w:tc>
          <w:tcPr>
            <w:tcW w:w="223" w:type="pct"/>
            <w:vAlign w:val="center"/>
          </w:tcPr>
          <w:p w14:paraId="74C93145">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序号</w:t>
            </w:r>
          </w:p>
        </w:tc>
        <w:tc>
          <w:tcPr>
            <w:tcW w:w="598" w:type="pct"/>
            <w:vAlign w:val="center"/>
          </w:tcPr>
          <w:p w14:paraId="65742D68">
            <w:pPr>
              <w:widowControl/>
              <w:spacing w:line="320" w:lineRule="exact"/>
              <w:ind w:firstLine="0" w:firstLineChars="0"/>
              <w:jc w:val="center"/>
              <w:rPr>
                <w:rFonts w:ascii="Times New Roman" w:hAnsi="Times New Roman" w:eastAsia="黑体" w:cs="Times New Roman"/>
                <w:kern w:val="0"/>
                <w:sz w:val="24"/>
                <w:szCs w:val="24"/>
              </w:rPr>
            </w:pPr>
            <w:r>
              <w:rPr>
                <w:rFonts w:hint="eastAsia" w:ascii="Times New Roman" w:hAnsi="Times New Roman" w:eastAsia="黑体" w:cs="Times New Roman"/>
                <w:kern w:val="0"/>
                <w:sz w:val="24"/>
                <w:szCs w:val="24"/>
              </w:rPr>
              <w:t>指标项</w:t>
            </w:r>
          </w:p>
        </w:tc>
        <w:tc>
          <w:tcPr>
            <w:tcW w:w="471" w:type="pct"/>
            <w:vAlign w:val="center"/>
          </w:tcPr>
          <w:p w14:paraId="34FEED09">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指标结果</w:t>
            </w:r>
          </w:p>
        </w:tc>
        <w:tc>
          <w:tcPr>
            <w:tcW w:w="858" w:type="pct"/>
            <w:vAlign w:val="center"/>
          </w:tcPr>
          <w:p w14:paraId="32D84E95">
            <w:pPr>
              <w:widowControl/>
              <w:spacing w:line="320" w:lineRule="exact"/>
              <w:ind w:firstLine="0" w:firstLineChars="0"/>
              <w:jc w:val="center"/>
              <w:rPr>
                <w:rFonts w:ascii="Times New Roman" w:hAnsi="Times New Roman" w:eastAsia="黑体" w:cs="Times New Roman"/>
                <w:kern w:val="0"/>
                <w:sz w:val="24"/>
                <w:szCs w:val="24"/>
              </w:rPr>
            </w:pPr>
            <w:r>
              <w:rPr>
                <w:rFonts w:hint="eastAsia" w:eastAsia="黑体" w:cs="Times New Roman"/>
                <w:kern w:val="0"/>
                <w:sz w:val="24"/>
                <w:szCs w:val="24"/>
              </w:rPr>
              <w:t>存在问题</w:t>
            </w:r>
          </w:p>
        </w:tc>
        <w:tc>
          <w:tcPr>
            <w:tcW w:w="991" w:type="pct"/>
            <w:vAlign w:val="center"/>
          </w:tcPr>
          <w:p w14:paraId="2F4B7B94">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整治建议</w:t>
            </w:r>
          </w:p>
        </w:tc>
        <w:tc>
          <w:tcPr>
            <w:tcW w:w="396" w:type="pct"/>
            <w:vAlign w:val="center"/>
          </w:tcPr>
          <w:p w14:paraId="7DD0A13F">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整治区域</w:t>
            </w:r>
          </w:p>
        </w:tc>
        <w:tc>
          <w:tcPr>
            <w:tcW w:w="340" w:type="pct"/>
            <w:vAlign w:val="center"/>
          </w:tcPr>
          <w:p w14:paraId="47C6EED7">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整治类型</w:t>
            </w:r>
          </w:p>
        </w:tc>
        <w:tc>
          <w:tcPr>
            <w:tcW w:w="433" w:type="pct"/>
            <w:vAlign w:val="center"/>
          </w:tcPr>
          <w:p w14:paraId="35C578CF">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问题分级</w:t>
            </w:r>
          </w:p>
        </w:tc>
        <w:tc>
          <w:tcPr>
            <w:tcW w:w="423" w:type="pct"/>
            <w:vAlign w:val="center"/>
          </w:tcPr>
          <w:p w14:paraId="73B87AB5">
            <w:pPr>
              <w:widowControl/>
              <w:spacing w:line="320" w:lineRule="exact"/>
              <w:ind w:firstLine="0" w:firstLineChars="0"/>
              <w:jc w:val="center"/>
              <w:rPr>
                <w:rFonts w:hint="eastAsia" w:eastAsia="黑体" w:cs="Times New Roman"/>
                <w:kern w:val="0"/>
                <w:sz w:val="24"/>
                <w:szCs w:val="24"/>
              </w:rPr>
            </w:pPr>
            <w:r>
              <w:rPr>
                <w:rFonts w:hint="eastAsia" w:eastAsia="黑体" w:cs="Times New Roman"/>
                <w:kern w:val="0"/>
                <w:sz w:val="24"/>
                <w:szCs w:val="24"/>
              </w:rPr>
              <w:t>责任单位</w:t>
            </w:r>
          </w:p>
        </w:tc>
      </w:tr>
      <w:tr w14:paraId="01B6C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14:paraId="7F7CAA70">
            <w:pPr>
              <w:widowControl/>
              <w:spacing w:line="320" w:lineRule="exact"/>
              <w:ind w:firstLine="0" w:firstLineChars="0"/>
              <w:jc w:val="center"/>
              <w:rPr>
                <w:rFonts w:hint="eastAsia"/>
                <w:kern w:val="0"/>
                <w:sz w:val="24"/>
                <w:szCs w:val="24"/>
              </w:rPr>
            </w:pPr>
            <w:r>
              <w:rPr>
                <w:rFonts w:hint="eastAsia"/>
                <w:kern w:val="0"/>
                <w:sz w:val="24"/>
                <w:szCs w:val="24"/>
              </w:rPr>
              <w:t>生态宜居</w:t>
            </w:r>
          </w:p>
        </w:tc>
        <w:tc>
          <w:tcPr>
            <w:tcW w:w="223" w:type="pct"/>
            <w:vAlign w:val="center"/>
          </w:tcPr>
          <w:p w14:paraId="6CA39899">
            <w:pPr>
              <w:widowControl/>
              <w:spacing w:line="320" w:lineRule="exact"/>
              <w:ind w:firstLine="0" w:firstLineChars="0"/>
              <w:jc w:val="center"/>
              <w:rPr>
                <w:rFonts w:hint="eastAsia"/>
                <w:kern w:val="0"/>
                <w:sz w:val="24"/>
                <w:szCs w:val="24"/>
              </w:rPr>
            </w:pPr>
            <w:r>
              <w:rPr>
                <w:rFonts w:hint="eastAsia"/>
                <w:kern w:val="0"/>
                <w:sz w:val="24"/>
                <w:szCs w:val="24"/>
              </w:rPr>
              <w:t>19</w:t>
            </w:r>
          </w:p>
        </w:tc>
        <w:tc>
          <w:tcPr>
            <w:tcW w:w="598" w:type="pct"/>
            <w:vAlign w:val="center"/>
          </w:tcPr>
          <w:p w14:paraId="5B2226FB">
            <w:pPr>
              <w:widowControl/>
              <w:spacing w:line="320" w:lineRule="exact"/>
              <w:ind w:firstLine="0" w:firstLineChars="0"/>
              <w:jc w:val="center"/>
              <w:rPr>
                <w:rFonts w:hint="eastAsia"/>
                <w:kern w:val="0"/>
                <w:sz w:val="24"/>
                <w:szCs w:val="24"/>
              </w:rPr>
            </w:pPr>
            <w:r>
              <w:rPr>
                <w:kern w:val="0"/>
                <w:sz w:val="24"/>
                <w:szCs w:val="24"/>
              </w:rPr>
              <w:t>未达标配建的妇幼保健机构数量（个）</w:t>
            </w:r>
          </w:p>
        </w:tc>
        <w:tc>
          <w:tcPr>
            <w:tcW w:w="471" w:type="pct"/>
            <w:vAlign w:val="center"/>
          </w:tcPr>
          <w:p w14:paraId="483E5FB2">
            <w:pPr>
              <w:widowControl/>
              <w:spacing w:line="320" w:lineRule="exact"/>
              <w:ind w:firstLine="0" w:firstLineChars="0"/>
              <w:jc w:val="center"/>
              <w:rPr>
                <w:rFonts w:hint="eastAsia"/>
                <w:kern w:val="0"/>
                <w:sz w:val="24"/>
                <w:szCs w:val="24"/>
              </w:rPr>
            </w:pPr>
            <w:r>
              <w:rPr>
                <w:rFonts w:hint="eastAsia"/>
                <w:kern w:val="0"/>
                <w:sz w:val="24"/>
                <w:szCs w:val="24"/>
              </w:rPr>
              <w:t>1</w:t>
            </w:r>
          </w:p>
        </w:tc>
        <w:tc>
          <w:tcPr>
            <w:tcW w:w="858" w:type="pct"/>
            <w:vAlign w:val="center"/>
          </w:tcPr>
          <w:p w14:paraId="1BEA1AD0">
            <w:pPr>
              <w:widowControl/>
              <w:spacing w:line="320" w:lineRule="exact"/>
              <w:ind w:firstLine="0" w:firstLineChars="0"/>
              <w:jc w:val="center"/>
              <w:rPr>
                <w:rFonts w:hint="eastAsia"/>
                <w:kern w:val="0"/>
                <w:sz w:val="24"/>
                <w:szCs w:val="24"/>
              </w:rPr>
            </w:pPr>
            <w:r>
              <w:rPr>
                <w:rFonts w:hint="eastAsia"/>
                <w:kern w:val="0"/>
                <w:sz w:val="24"/>
                <w:szCs w:val="24"/>
              </w:rPr>
              <w:t>资源分配不均，对妇幼保健的投入不足，安次区没有独立设置妇幼保健机构。</w:t>
            </w:r>
          </w:p>
        </w:tc>
        <w:tc>
          <w:tcPr>
            <w:tcW w:w="991" w:type="pct"/>
            <w:vAlign w:val="center"/>
          </w:tcPr>
          <w:p w14:paraId="7F136DA8">
            <w:pPr>
              <w:widowControl/>
              <w:spacing w:line="320" w:lineRule="exact"/>
              <w:ind w:firstLine="0" w:firstLineChars="0"/>
              <w:jc w:val="center"/>
              <w:rPr>
                <w:rFonts w:hint="eastAsia"/>
                <w:kern w:val="0"/>
                <w:sz w:val="24"/>
                <w:szCs w:val="24"/>
              </w:rPr>
            </w:pPr>
            <w:r>
              <w:rPr>
                <w:rFonts w:hint="eastAsia"/>
                <w:sz w:val="22"/>
                <w:szCs w:val="22"/>
              </w:rPr>
              <w:t>安次区需选择合适的区域独立建设妇幼保健机构</w:t>
            </w:r>
          </w:p>
        </w:tc>
        <w:tc>
          <w:tcPr>
            <w:tcW w:w="396" w:type="pct"/>
            <w:vAlign w:val="center"/>
          </w:tcPr>
          <w:p w14:paraId="2762CCE7">
            <w:pPr>
              <w:widowControl/>
              <w:spacing w:line="320" w:lineRule="exact"/>
              <w:ind w:firstLine="0" w:firstLineChars="0"/>
              <w:jc w:val="center"/>
              <w:rPr>
                <w:rFonts w:hint="eastAsia"/>
                <w:kern w:val="0"/>
                <w:sz w:val="24"/>
                <w:szCs w:val="24"/>
              </w:rPr>
            </w:pPr>
            <w:r>
              <w:rPr>
                <w:rFonts w:hint="eastAsia"/>
                <w:kern w:val="0"/>
                <w:sz w:val="24"/>
                <w:szCs w:val="24"/>
              </w:rPr>
              <w:t>安次区</w:t>
            </w:r>
          </w:p>
        </w:tc>
        <w:tc>
          <w:tcPr>
            <w:tcW w:w="340" w:type="pct"/>
            <w:vAlign w:val="center"/>
          </w:tcPr>
          <w:p w14:paraId="145B91F6">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433" w:type="pct"/>
            <w:vAlign w:val="center"/>
          </w:tcPr>
          <w:p w14:paraId="17FB4E41">
            <w:pPr>
              <w:widowControl/>
              <w:spacing w:line="320" w:lineRule="exact"/>
              <w:ind w:firstLine="0" w:firstLineChars="0"/>
              <w:jc w:val="center"/>
              <w:rPr>
                <w:rFonts w:hint="eastAsia"/>
                <w:kern w:val="0"/>
                <w:sz w:val="24"/>
                <w:szCs w:val="24"/>
              </w:rPr>
            </w:pPr>
            <w:r>
              <w:rPr>
                <w:kern w:val="0"/>
                <w:sz w:val="24"/>
                <w:szCs w:val="24"/>
              </w:rPr>
              <w:t>I</w:t>
            </w:r>
          </w:p>
        </w:tc>
        <w:tc>
          <w:tcPr>
            <w:tcW w:w="423" w:type="pct"/>
            <w:vAlign w:val="center"/>
          </w:tcPr>
          <w:p w14:paraId="1EF5DCD2">
            <w:pPr>
              <w:widowControl/>
              <w:spacing w:line="320" w:lineRule="exact"/>
              <w:ind w:firstLine="0" w:firstLineChars="0"/>
              <w:jc w:val="center"/>
              <w:rPr>
                <w:rFonts w:hint="eastAsia"/>
                <w:kern w:val="0"/>
                <w:sz w:val="24"/>
                <w:szCs w:val="24"/>
              </w:rPr>
            </w:pPr>
            <w:r>
              <w:rPr>
                <w:rFonts w:hint="eastAsia"/>
                <w:kern w:val="0"/>
                <w:sz w:val="24"/>
                <w:szCs w:val="24"/>
              </w:rPr>
              <w:t>市卫健委</w:t>
            </w:r>
          </w:p>
          <w:p w14:paraId="59252986">
            <w:pPr>
              <w:widowControl/>
              <w:spacing w:line="320" w:lineRule="exact"/>
              <w:ind w:firstLine="0" w:firstLineChars="0"/>
              <w:jc w:val="center"/>
              <w:rPr>
                <w:rFonts w:hint="eastAsia"/>
                <w:kern w:val="0"/>
                <w:sz w:val="24"/>
                <w:szCs w:val="24"/>
              </w:rPr>
            </w:pPr>
            <w:r>
              <w:rPr>
                <w:rFonts w:hint="eastAsia"/>
                <w:kern w:val="0"/>
                <w:sz w:val="24"/>
                <w:szCs w:val="24"/>
              </w:rPr>
              <w:t>安次区政府</w:t>
            </w:r>
          </w:p>
        </w:tc>
      </w:tr>
      <w:tr w14:paraId="104F8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14:paraId="5CEBF1DA">
            <w:pPr>
              <w:widowControl/>
              <w:spacing w:line="320" w:lineRule="exact"/>
              <w:ind w:firstLine="0" w:firstLineChars="0"/>
              <w:jc w:val="center"/>
              <w:rPr>
                <w:rFonts w:hint="eastAsia"/>
                <w:kern w:val="0"/>
                <w:sz w:val="24"/>
                <w:szCs w:val="24"/>
              </w:rPr>
            </w:pPr>
            <w:r>
              <w:rPr>
                <w:rFonts w:hint="eastAsia"/>
                <w:kern w:val="0"/>
                <w:sz w:val="24"/>
                <w:szCs w:val="24"/>
              </w:rPr>
              <w:t>产城融合职住平衡</w:t>
            </w:r>
          </w:p>
        </w:tc>
        <w:tc>
          <w:tcPr>
            <w:tcW w:w="223" w:type="pct"/>
            <w:vAlign w:val="center"/>
          </w:tcPr>
          <w:p w14:paraId="62AA127C">
            <w:pPr>
              <w:widowControl/>
              <w:spacing w:line="320" w:lineRule="exact"/>
              <w:ind w:firstLine="0" w:firstLineChars="0"/>
              <w:jc w:val="center"/>
              <w:rPr>
                <w:rFonts w:hint="eastAsia"/>
                <w:kern w:val="0"/>
                <w:sz w:val="24"/>
                <w:szCs w:val="24"/>
              </w:rPr>
            </w:pPr>
            <w:r>
              <w:rPr>
                <w:rFonts w:hint="eastAsia"/>
                <w:kern w:val="0"/>
                <w:sz w:val="24"/>
                <w:szCs w:val="24"/>
              </w:rPr>
              <w:t>20</w:t>
            </w:r>
          </w:p>
        </w:tc>
        <w:tc>
          <w:tcPr>
            <w:tcW w:w="598" w:type="pct"/>
            <w:vAlign w:val="center"/>
          </w:tcPr>
          <w:p w14:paraId="31940B2B">
            <w:pPr>
              <w:widowControl/>
              <w:spacing w:line="320" w:lineRule="exact"/>
              <w:ind w:firstLine="0" w:firstLineChars="0"/>
              <w:jc w:val="center"/>
              <w:rPr>
                <w:rFonts w:hint="eastAsia"/>
                <w:kern w:val="0"/>
                <w:sz w:val="24"/>
                <w:szCs w:val="24"/>
              </w:rPr>
            </w:pPr>
            <w:r>
              <w:rPr>
                <w:kern w:val="0"/>
                <w:sz w:val="24"/>
                <w:szCs w:val="24"/>
              </w:rPr>
              <w:t>☆年度保障性住房占比（%）</w:t>
            </w:r>
          </w:p>
        </w:tc>
        <w:tc>
          <w:tcPr>
            <w:tcW w:w="471" w:type="pct"/>
            <w:vAlign w:val="center"/>
          </w:tcPr>
          <w:p w14:paraId="177D4E95">
            <w:pPr>
              <w:widowControl/>
              <w:spacing w:line="320" w:lineRule="exact"/>
              <w:ind w:firstLine="0" w:firstLineChars="0"/>
              <w:jc w:val="center"/>
              <w:rPr>
                <w:rFonts w:hint="eastAsia"/>
                <w:kern w:val="0"/>
                <w:sz w:val="24"/>
                <w:szCs w:val="24"/>
              </w:rPr>
            </w:pPr>
            <w:r>
              <w:rPr>
                <w:rFonts w:hint="eastAsia"/>
                <w:kern w:val="0"/>
                <w:sz w:val="24"/>
                <w:szCs w:val="24"/>
              </w:rPr>
              <w:t>24%</w:t>
            </w:r>
          </w:p>
        </w:tc>
        <w:tc>
          <w:tcPr>
            <w:tcW w:w="858" w:type="pct"/>
            <w:vAlign w:val="center"/>
          </w:tcPr>
          <w:p w14:paraId="3D3C7B6D">
            <w:pPr>
              <w:widowControl/>
              <w:spacing w:line="320" w:lineRule="exact"/>
              <w:ind w:firstLine="0" w:firstLineChars="0"/>
              <w:jc w:val="center"/>
              <w:rPr>
                <w:rFonts w:hint="eastAsia"/>
                <w:kern w:val="0"/>
                <w:sz w:val="24"/>
                <w:szCs w:val="24"/>
              </w:rPr>
            </w:pPr>
            <w:r>
              <w:rPr>
                <w:rFonts w:hint="eastAsia"/>
                <w:kern w:val="0"/>
                <w:sz w:val="24"/>
                <w:szCs w:val="24"/>
              </w:rPr>
              <w:t>2022年才开展保障性租赁住房分配工作，工作尚在起步阶段</w:t>
            </w:r>
          </w:p>
        </w:tc>
        <w:tc>
          <w:tcPr>
            <w:tcW w:w="991" w:type="pct"/>
            <w:vAlign w:val="center"/>
          </w:tcPr>
          <w:p w14:paraId="5457E182">
            <w:pPr>
              <w:widowControl/>
              <w:spacing w:line="320" w:lineRule="exact"/>
              <w:ind w:firstLine="0" w:firstLineChars="0"/>
              <w:jc w:val="center"/>
              <w:rPr>
                <w:rFonts w:hint="eastAsia"/>
                <w:kern w:val="0"/>
                <w:sz w:val="24"/>
                <w:szCs w:val="24"/>
              </w:rPr>
            </w:pPr>
            <w:r>
              <w:rPr>
                <w:rFonts w:hint="eastAsia"/>
                <w:kern w:val="0"/>
                <w:sz w:val="24"/>
                <w:szCs w:val="24"/>
              </w:rPr>
              <w:t>做好保租房筹集。着眼解决新市民、青年人等群体住房问题，稳妥有序发展保障性租赁住房，加快完善保障性租赁住房政策体系，拓展筹集渠道，扩大保障性租赁住房供给。</w:t>
            </w:r>
          </w:p>
        </w:tc>
        <w:tc>
          <w:tcPr>
            <w:tcW w:w="396" w:type="pct"/>
            <w:vAlign w:val="center"/>
          </w:tcPr>
          <w:p w14:paraId="4A731B0F">
            <w:pPr>
              <w:widowControl/>
              <w:spacing w:line="320" w:lineRule="exact"/>
              <w:ind w:firstLine="0" w:firstLineChars="0"/>
              <w:jc w:val="center"/>
              <w:rPr>
                <w:rFonts w:hint="eastAsia"/>
                <w:kern w:val="0"/>
                <w:sz w:val="24"/>
                <w:szCs w:val="24"/>
              </w:rPr>
            </w:pPr>
            <w:r>
              <w:rPr>
                <w:rFonts w:hint="eastAsia"/>
                <w:kern w:val="0"/>
                <w:sz w:val="24"/>
                <w:szCs w:val="24"/>
              </w:rPr>
              <w:t>安次区</w:t>
            </w:r>
          </w:p>
          <w:p w14:paraId="3CE1D854">
            <w:pPr>
              <w:widowControl/>
              <w:spacing w:line="320" w:lineRule="exact"/>
              <w:ind w:firstLine="0" w:firstLineChars="0"/>
              <w:jc w:val="center"/>
              <w:rPr>
                <w:rFonts w:hint="eastAsia"/>
                <w:kern w:val="0"/>
                <w:sz w:val="24"/>
                <w:szCs w:val="24"/>
              </w:rPr>
            </w:pPr>
            <w:r>
              <w:rPr>
                <w:rFonts w:hint="eastAsia"/>
                <w:kern w:val="0"/>
                <w:sz w:val="24"/>
                <w:szCs w:val="24"/>
              </w:rPr>
              <w:t>广阳区</w:t>
            </w:r>
          </w:p>
          <w:p w14:paraId="3F34EC1A">
            <w:pPr>
              <w:widowControl/>
              <w:spacing w:line="320" w:lineRule="exact"/>
              <w:ind w:firstLine="0" w:firstLineChars="0"/>
              <w:jc w:val="center"/>
              <w:rPr>
                <w:rFonts w:hint="eastAsia"/>
                <w:kern w:val="0"/>
                <w:sz w:val="24"/>
                <w:szCs w:val="24"/>
              </w:rPr>
            </w:pPr>
            <w:r>
              <w:rPr>
                <w:rFonts w:hint="eastAsia"/>
                <w:kern w:val="0"/>
                <w:sz w:val="24"/>
                <w:szCs w:val="24"/>
              </w:rPr>
              <w:t>开发区</w:t>
            </w:r>
          </w:p>
        </w:tc>
        <w:tc>
          <w:tcPr>
            <w:tcW w:w="340" w:type="pct"/>
            <w:vAlign w:val="center"/>
          </w:tcPr>
          <w:p w14:paraId="6C527643">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433" w:type="pct"/>
            <w:vAlign w:val="center"/>
          </w:tcPr>
          <w:p w14:paraId="328FD9DB">
            <w:pPr>
              <w:widowControl/>
              <w:spacing w:line="320" w:lineRule="exact"/>
              <w:ind w:firstLine="0" w:firstLineChars="0"/>
              <w:jc w:val="center"/>
              <w:rPr>
                <w:rFonts w:hint="eastAsia"/>
                <w:kern w:val="0"/>
                <w:sz w:val="24"/>
                <w:szCs w:val="24"/>
              </w:rPr>
            </w:pPr>
            <w:r>
              <w:rPr>
                <w:kern w:val="0"/>
                <w:sz w:val="24"/>
                <w:szCs w:val="24"/>
              </w:rPr>
              <w:t>III</w:t>
            </w:r>
          </w:p>
        </w:tc>
        <w:tc>
          <w:tcPr>
            <w:tcW w:w="423" w:type="pct"/>
            <w:vAlign w:val="center"/>
          </w:tcPr>
          <w:p w14:paraId="53A58797">
            <w:pPr>
              <w:widowControl/>
              <w:spacing w:line="320" w:lineRule="exact"/>
              <w:ind w:firstLine="0" w:firstLineChars="0"/>
              <w:jc w:val="center"/>
              <w:rPr>
                <w:rFonts w:hint="eastAsia"/>
                <w:kern w:val="0"/>
                <w:sz w:val="24"/>
                <w:szCs w:val="24"/>
              </w:rPr>
            </w:pPr>
            <w:r>
              <w:rPr>
                <w:rFonts w:hint="eastAsia"/>
                <w:kern w:val="0"/>
                <w:sz w:val="24"/>
                <w:szCs w:val="24"/>
              </w:rPr>
              <w:t>市住建局</w:t>
            </w:r>
          </w:p>
        </w:tc>
      </w:tr>
      <w:tr w14:paraId="6622D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 w:type="pct"/>
            <w:vMerge w:val="restart"/>
            <w:vAlign w:val="center"/>
          </w:tcPr>
          <w:p w14:paraId="57136076">
            <w:pPr>
              <w:widowControl/>
              <w:spacing w:line="320" w:lineRule="exact"/>
              <w:ind w:firstLine="0" w:firstLineChars="0"/>
              <w:jc w:val="center"/>
              <w:rPr>
                <w:rFonts w:hint="eastAsia"/>
                <w:kern w:val="0"/>
                <w:sz w:val="24"/>
                <w:szCs w:val="24"/>
              </w:rPr>
            </w:pPr>
            <w:r>
              <w:rPr>
                <w:rFonts w:hint="eastAsia"/>
                <w:kern w:val="0"/>
                <w:sz w:val="24"/>
                <w:szCs w:val="24"/>
              </w:rPr>
              <w:t>智慧高效</w:t>
            </w:r>
          </w:p>
        </w:tc>
        <w:tc>
          <w:tcPr>
            <w:tcW w:w="223" w:type="pct"/>
            <w:vAlign w:val="center"/>
          </w:tcPr>
          <w:p w14:paraId="1D68810F">
            <w:pPr>
              <w:widowControl/>
              <w:spacing w:line="320" w:lineRule="exact"/>
              <w:ind w:firstLine="0" w:firstLineChars="0"/>
              <w:jc w:val="center"/>
              <w:rPr>
                <w:rFonts w:hint="eastAsia"/>
                <w:kern w:val="0"/>
                <w:sz w:val="24"/>
                <w:szCs w:val="24"/>
              </w:rPr>
            </w:pPr>
            <w:r>
              <w:rPr>
                <w:rFonts w:hint="eastAsia"/>
                <w:kern w:val="0"/>
                <w:sz w:val="24"/>
                <w:szCs w:val="24"/>
              </w:rPr>
              <w:t>21</w:t>
            </w:r>
          </w:p>
        </w:tc>
        <w:tc>
          <w:tcPr>
            <w:tcW w:w="598" w:type="pct"/>
            <w:vAlign w:val="center"/>
          </w:tcPr>
          <w:p w14:paraId="4D2BEF65">
            <w:pPr>
              <w:widowControl/>
              <w:spacing w:line="320" w:lineRule="exact"/>
              <w:ind w:firstLine="0" w:firstLineChars="0"/>
              <w:jc w:val="center"/>
              <w:rPr>
                <w:rFonts w:hint="eastAsia"/>
                <w:kern w:val="0"/>
                <w:sz w:val="24"/>
                <w:szCs w:val="24"/>
              </w:rPr>
            </w:pPr>
            <w:r>
              <w:rPr>
                <w:kern w:val="0"/>
                <w:sz w:val="24"/>
                <w:szCs w:val="24"/>
              </w:rPr>
              <w:t>☆市政管网管线智能化监测管理率（%）</w:t>
            </w:r>
          </w:p>
        </w:tc>
        <w:tc>
          <w:tcPr>
            <w:tcW w:w="471" w:type="pct"/>
            <w:vAlign w:val="center"/>
          </w:tcPr>
          <w:p w14:paraId="298BD274">
            <w:pPr>
              <w:widowControl/>
              <w:spacing w:line="320" w:lineRule="exact"/>
              <w:ind w:firstLine="0" w:firstLineChars="0"/>
              <w:jc w:val="center"/>
              <w:rPr>
                <w:rFonts w:hint="eastAsia"/>
                <w:kern w:val="0"/>
                <w:sz w:val="24"/>
                <w:szCs w:val="24"/>
              </w:rPr>
            </w:pPr>
            <w:r>
              <w:rPr>
                <w:rFonts w:hint="eastAsia"/>
                <w:kern w:val="0"/>
                <w:sz w:val="24"/>
                <w:szCs w:val="24"/>
              </w:rPr>
              <w:t>供水100%，供热100%，燃气84.1%，排水：0</w:t>
            </w:r>
          </w:p>
        </w:tc>
        <w:tc>
          <w:tcPr>
            <w:tcW w:w="858" w:type="pct"/>
            <w:vAlign w:val="center"/>
          </w:tcPr>
          <w:p w14:paraId="74158108">
            <w:pPr>
              <w:widowControl/>
              <w:spacing w:line="320" w:lineRule="exact"/>
              <w:ind w:firstLine="0" w:firstLineChars="0"/>
              <w:jc w:val="center"/>
              <w:rPr>
                <w:rFonts w:hint="eastAsia"/>
                <w:kern w:val="0"/>
                <w:sz w:val="24"/>
                <w:szCs w:val="24"/>
              </w:rPr>
            </w:pPr>
            <w:r>
              <w:rPr>
                <w:rFonts w:hint="eastAsia"/>
                <w:kern w:val="0"/>
                <w:sz w:val="24"/>
                <w:szCs w:val="24"/>
              </w:rPr>
              <w:t>智能化技术应用和基础设施建设滞后，排水设施智能化检测缺失。</w:t>
            </w:r>
          </w:p>
        </w:tc>
        <w:tc>
          <w:tcPr>
            <w:tcW w:w="991" w:type="pct"/>
            <w:vAlign w:val="center"/>
          </w:tcPr>
          <w:p w14:paraId="78040863">
            <w:pPr>
              <w:widowControl/>
              <w:spacing w:line="320" w:lineRule="exact"/>
              <w:ind w:firstLine="0" w:firstLineChars="0"/>
              <w:jc w:val="center"/>
              <w:rPr>
                <w:rFonts w:hint="eastAsia"/>
                <w:kern w:val="0"/>
                <w:sz w:val="24"/>
                <w:szCs w:val="24"/>
              </w:rPr>
            </w:pPr>
            <w:r>
              <w:rPr>
                <w:rFonts w:hint="eastAsia"/>
                <w:kern w:val="0"/>
                <w:sz w:val="24"/>
                <w:szCs w:val="24"/>
              </w:rPr>
              <w:t>廊坊城区应加强城市排水、燃气市政管线的智能化监测管理工作，逐步提高市政管网管线智能化监测管理效率。</w:t>
            </w:r>
          </w:p>
        </w:tc>
        <w:tc>
          <w:tcPr>
            <w:tcW w:w="396" w:type="pct"/>
            <w:vAlign w:val="center"/>
          </w:tcPr>
          <w:p w14:paraId="4DC2C12A">
            <w:pPr>
              <w:widowControl/>
              <w:spacing w:line="320" w:lineRule="exact"/>
              <w:ind w:firstLine="0" w:firstLineChars="0"/>
              <w:jc w:val="center"/>
              <w:rPr>
                <w:rFonts w:hint="eastAsia"/>
                <w:kern w:val="0"/>
                <w:sz w:val="24"/>
                <w:szCs w:val="24"/>
              </w:rPr>
            </w:pPr>
            <w:r>
              <w:rPr>
                <w:rFonts w:hint="eastAsia"/>
                <w:kern w:val="0"/>
                <w:sz w:val="24"/>
                <w:szCs w:val="24"/>
              </w:rPr>
              <w:t>排水管网、燃气管网</w:t>
            </w:r>
          </w:p>
        </w:tc>
        <w:tc>
          <w:tcPr>
            <w:tcW w:w="340" w:type="pct"/>
            <w:vAlign w:val="center"/>
          </w:tcPr>
          <w:p w14:paraId="43794432">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433" w:type="pct"/>
            <w:vAlign w:val="center"/>
          </w:tcPr>
          <w:p w14:paraId="1E3A0723">
            <w:pPr>
              <w:widowControl/>
              <w:spacing w:line="320" w:lineRule="exact"/>
              <w:ind w:firstLine="0" w:firstLineChars="0"/>
              <w:jc w:val="center"/>
              <w:rPr>
                <w:rFonts w:hint="eastAsia"/>
                <w:kern w:val="0"/>
                <w:sz w:val="24"/>
                <w:szCs w:val="24"/>
              </w:rPr>
            </w:pPr>
            <w:r>
              <w:rPr>
                <w:kern w:val="0"/>
                <w:sz w:val="24"/>
                <w:szCs w:val="24"/>
              </w:rPr>
              <w:t>III</w:t>
            </w:r>
          </w:p>
        </w:tc>
        <w:tc>
          <w:tcPr>
            <w:tcW w:w="423" w:type="pct"/>
            <w:vAlign w:val="center"/>
          </w:tcPr>
          <w:p w14:paraId="33307C71">
            <w:pPr>
              <w:widowControl/>
              <w:spacing w:line="320" w:lineRule="exact"/>
              <w:ind w:firstLine="0" w:firstLineChars="0"/>
              <w:jc w:val="center"/>
              <w:rPr>
                <w:rFonts w:hint="eastAsia"/>
                <w:kern w:val="0"/>
                <w:sz w:val="24"/>
                <w:szCs w:val="24"/>
              </w:rPr>
            </w:pPr>
            <w:r>
              <w:rPr>
                <w:rFonts w:hint="eastAsia"/>
                <w:kern w:val="0"/>
                <w:sz w:val="24"/>
                <w:szCs w:val="24"/>
              </w:rPr>
              <w:t>市执法局</w:t>
            </w:r>
          </w:p>
        </w:tc>
      </w:tr>
      <w:tr w14:paraId="6903B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 w:type="pct"/>
            <w:vMerge w:val="continue"/>
            <w:vAlign w:val="center"/>
          </w:tcPr>
          <w:p w14:paraId="6122E270">
            <w:pPr>
              <w:widowControl/>
              <w:spacing w:line="320" w:lineRule="exact"/>
              <w:ind w:firstLine="0" w:firstLineChars="0"/>
              <w:jc w:val="center"/>
              <w:rPr>
                <w:rFonts w:hint="eastAsia"/>
                <w:kern w:val="0"/>
                <w:sz w:val="24"/>
                <w:szCs w:val="24"/>
              </w:rPr>
            </w:pPr>
          </w:p>
        </w:tc>
        <w:tc>
          <w:tcPr>
            <w:tcW w:w="223" w:type="pct"/>
            <w:vAlign w:val="center"/>
          </w:tcPr>
          <w:p w14:paraId="1255D388">
            <w:pPr>
              <w:widowControl/>
              <w:spacing w:line="320" w:lineRule="exact"/>
              <w:ind w:firstLine="0" w:firstLineChars="0"/>
              <w:jc w:val="center"/>
              <w:rPr>
                <w:rFonts w:hint="eastAsia"/>
                <w:kern w:val="0"/>
                <w:sz w:val="24"/>
                <w:szCs w:val="24"/>
              </w:rPr>
            </w:pPr>
            <w:r>
              <w:rPr>
                <w:rFonts w:hint="eastAsia"/>
                <w:kern w:val="0"/>
                <w:sz w:val="24"/>
                <w:szCs w:val="24"/>
              </w:rPr>
              <w:t>22</w:t>
            </w:r>
          </w:p>
        </w:tc>
        <w:tc>
          <w:tcPr>
            <w:tcW w:w="598" w:type="pct"/>
            <w:vAlign w:val="center"/>
          </w:tcPr>
          <w:p w14:paraId="01A0D104">
            <w:pPr>
              <w:widowControl/>
              <w:spacing w:line="320" w:lineRule="exact"/>
              <w:ind w:firstLine="0" w:firstLineChars="0"/>
              <w:jc w:val="center"/>
              <w:rPr>
                <w:rFonts w:hint="eastAsia"/>
                <w:kern w:val="0"/>
                <w:sz w:val="24"/>
                <w:szCs w:val="24"/>
              </w:rPr>
            </w:pPr>
            <w:r>
              <w:rPr>
                <w:rFonts w:hint="eastAsia"/>
                <w:kern w:val="0"/>
                <w:sz w:val="24"/>
                <w:szCs w:val="24"/>
              </w:rPr>
              <w:t>城市运行管理服务平台覆盖率（%）</w:t>
            </w:r>
          </w:p>
        </w:tc>
        <w:tc>
          <w:tcPr>
            <w:tcW w:w="471" w:type="pct"/>
            <w:vAlign w:val="center"/>
          </w:tcPr>
          <w:p w14:paraId="117F3A4F">
            <w:pPr>
              <w:widowControl/>
              <w:spacing w:line="320" w:lineRule="exact"/>
              <w:ind w:firstLine="0" w:firstLineChars="0"/>
              <w:jc w:val="center"/>
              <w:rPr>
                <w:rFonts w:hint="eastAsia"/>
                <w:kern w:val="0"/>
                <w:sz w:val="24"/>
                <w:szCs w:val="24"/>
              </w:rPr>
            </w:pPr>
            <w:r>
              <w:rPr>
                <w:rFonts w:hint="eastAsia"/>
                <w:kern w:val="0"/>
                <w:sz w:val="24"/>
                <w:szCs w:val="24"/>
              </w:rPr>
              <w:t>0</w:t>
            </w:r>
          </w:p>
        </w:tc>
        <w:tc>
          <w:tcPr>
            <w:tcW w:w="858" w:type="pct"/>
            <w:vAlign w:val="center"/>
          </w:tcPr>
          <w:p w14:paraId="58EC907C">
            <w:pPr>
              <w:widowControl/>
              <w:spacing w:line="320" w:lineRule="exact"/>
              <w:ind w:firstLine="0" w:firstLineChars="0"/>
              <w:jc w:val="center"/>
              <w:rPr>
                <w:rFonts w:hint="eastAsia"/>
                <w:kern w:val="0"/>
                <w:sz w:val="24"/>
                <w:szCs w:val="24"/>
              </w:rPr>
            </w:pPr>
            <w:r>
              <w:rPr>
                <w:rFonts w:hint="eastAsia"/>
                <w:kern w:val="0"/>
                <w:sz w:val="24"/>
                <w:szCs w:val="24"/>
              </w:rPr>
              <w:t>因市级城市运行管理服务平台建成资金迟迟无法落实，城市运行管理服务平台建设工作尚未正式开展。</w:t>
            </w:r>
          </w:p>
        </w:tc>
        <w:tc>
          <w:tcPr>
            <w:tcW w:w="991" w:type="pct"/>
            <w:vAlign w:val="center"/>
          </w:tcPr>
          <w:p w14:paraId="066FDBB3">
            <w:pPr>
              <w:widowControl/>
              <w:spacing w:line="320" w:lineRule="exact"/>
              <w:ind w:firstLine="0" w:firstLineChars="0"/>
              <w:jc w:val="center"/>
              <w:rPr>
                <w:rFonts w:hint="eastAsia"/>
                <w:kern w:val="0"/>
                <w:sz w:val="24"/>
                <w:szCs w:val="24"/>
              </w:rPr>
            </w:pPr>
            <w:r>
              <w:rPr>
                <w:rFonts w:hint="eastAsia"/>
                <w:kern w:val="0"/>
                <w:sz w:val="24"/>
                <w:szCs w:val="24"/>
              </w:rPr>
              <w:t>建议有关部门尽快落实资金来源和明确时间表。同时，吸引社会资本参与，以减轻财政压力。此外，可先启动关键模块建设，逐步完善平台功能。</w:t>
            </w:r>
          </w:p>
        </w:tc>
        <w:tc>
          <w:tcPr>
            <w:tcW w:w="396" w:type="pct"/>
            <w:vAlign w:val="center"/>
          </w:tcPr>
          <w:p w14:paraId="0C4C1A60">
            <w:pPr>
              <w:widowControl/>
              <w:spacing w:line="320" w:lineRule="exact"/>
              <w:ind w:firstLine="0" w:firstLineChars="0"/>
              <w:jc w:val="center"/>
              <w:rPr>
                <w:rFonts w:hint="eastAsia"/>
                <w:kern w:val="0"/>
                <w:sz w:val="24"/>
                <w:szCs w:val="24"/>
              </w:rPr>
            </w:pPr>
            <w:r>
              <w:rPr>
                <w:rFonts w:hint="eastAsia"/>
                <w:kern w:val="0"/>
                <w:sz w:val="24"/>
                <w:szCs w:val="24"/>
              </w:rPr>
              <w:t>安次区</w:t>
            </w:r>
          </w:p>
          <w:p w14:paraId="5E9C9F21">
            <w:pPr>
              <w:widowControl/>
              <w:spacing w:line="320" w:lineRule="exact"/>
              <w:ind w:firstLine="0" w:firstLineChars="0"/>
              <w:jc w:val="center"/>
              <w:rPr>
                <w:rFonts w:hint="eastAsia"/>
                <w:kern w:val="0"/>
                <w:sz w:val="24"/>
                <w:szCs w:val="24"/>
              </w:rPr>
            </w:pPr>
            <w:r>
              <w:rPr>
                <w:rFonts w:hint="eastAsia"/>
                <w:kern w:val="0"/>
                <w:sz w:val="24"/>
                <w:szCs w:val="24"/>
              </w:rPr>
              <w:t>广阳区</w:t>
            </w:r>
          </w:p>
          <w:p w14:paraId="39918F0E">
            <w:pPr>
              <w:widowControl/>
              <w:spacing w:line="320" w:lineRule="exact"/>
              <w:ind w:firstLine="0" w:firstLineChars="0"/>
              <w:jc w:val="center"/>
              <w:rPr>
                <w:rFonts w:hint="eastAsia"/>
                <w:kern w:val="0"/>
                <w:sz w:val="24"/>
                <w:szCs w:val="24"/>
              </w:rPr>
            </w:pPr>
            <w:r>
              <w:rPr>
                <w:rFonts w:hint="eastAsia"/>
                <w:kern w:val="0"/>
                <w:sz w:val="24"/>
                <w:szCs w:val="24"/>
              </w:rPr>
              <w:t>开发区</w:t>
            </w:r>
          </w:p>
        </w:tc>
        <w:tc>
          <w:tcPr>
            <w:tcW w:w="340" w:type="pct"/>
            <w:vAlign w:val="center"/>
          </w:tcPr>
          <w:p w14:paraId="2029CC4D">
            <w:pPr>
              <w:widowControl/>
              <w:spacing w:line="320" w:lineRule="exact"/>
              <w:ind w:firstLine="0" w:firstLineChars="0"/>
              <w:jc w:val="center"/>
              <w:rPr>
                <w:rFonts w:hint="eastAsia"/>
                <w:kern w:val="0"/>
                <w:sz w:val="24"/>
                <w:szCs w:val="24"/>
              </w:rPr>
            </w:pPr>
            <w:r>
              <w:rPr>
                <w:rFonts w:hint="eastAsia"/>
                <w:kern w:val="0"/>
                <w:sz w:val="24"/>
                <w:szCs w:val="24"/>
              </w:rPr>
              <w:t>□限时解决</w:t>
            </w:r>
            <w:r>
              <w:rPr>
                <w:rFonts w:hint="eastAsia"/>
                <w:kern w:val="0"/>
                <w:sz w:val="24"/>
                <w:szCs w:val="24"/>
              </w:rPr>
              <w:br w:type="textWrapping"/>
            </w:r>
            <w:r>
              <w:rPr>
                <w:rFonts w:hint="eastAsia"/>
                <w:kern w:val="0"/>
                <w:sz w:val="24"/>
                <w:szCs w:val="24"/>
              </w:rPr>
              <w:t>☑尽力解决</w:t>
            </w:r>
          </w:p>
        </w:tc>
        <w:tc>
          <w:tcPr>
            <w:tcW w:w="433" w:type="pct"/>
            <w:vAlign w:val="center"/>
          </w:tcPr>
          <w:p w14:paraId="7E8F72FF">
            <w:pPr>
              <w:widowControl/>
              <w:spacing w:line="320" w:lineRule="exact"/>
              <w:ind w:firstLine="0" w:firstLineChars="0"/>
              <w:jc w:val="center"/>
              <w:rPr>
                <w:rFonts w:hint="eastAsia"/>
                <w:kern w:val="0"/>
                <w:sz w:val="24"/>
                <w:szCs w:val="24"/>
              </w:rPr>
            </w:pPr>
            <w:r>
              <w:rPr>
                <w:kern w:val="0"/>
                <w:sz w:val="24"/>
                <w:szCs w:val="24"/>
              </w:rPr>
              <w:t>III</w:t>
            </w:r>
          </w:p>
        </w:tc>
        <w:tc>
          <w:tcPr>
            <w:tcW w:w="423" w:type="pct"/>
            <w:vAlign w:val="center"/>
          </w:tcPr>
          <w:p w14:paraId="603B9659">
            <w:pPr>
              <w:widowControl/>
              <w:spacing w:line="320" w:lineRule="exact"/>
              <w:ind w:firstLine="0" w:firstLineChars="0"/>
              <w:jc w:val="center"/>
              <w:rPr>
                <w:rFonts w:hint="eastAsia"/>
                <w:kern w:val="0"/>
                <w:sz w:val="24"/>
                <w:szCs w:val="24"/>
              </w:rPr>
            </w:pPr>
            <w:r>
              <w:rPr>
                <w:rFonts w:hint="eastAsia"/>
                <w:kern w:val="0"/>
                <w:sz w:val="24"/>
                <w:szCs w:val="24"/>
              </w:rPr>
              <w:t>市执法局</w:t>
            </w:r>
          </w:p>
        </w:tc>
      </w:tr>
    </w:tbl>
    <w:p w14:paraId="4F4E87DC">
      <w:pPr>
        <w:ind w:firstLine="640"/>
        <w:rPr>
          <w:rFonts w:hint="eastAsia"/>
        </w:rPr>
        <w:sectPr>
          <w:pgSz w:w="16838" w:h="11906" w:orient="landscape"/>
          <w:pgMar w:top="1803" w:right="1440" w:bottom="1803" w:left="1440" w:header="851" w:footer="992" w:gutter="0"/>
          <w:pgNumType w:fmt="decimal"/>
          <w:cols w:space="425" w:num="1"/>
          <w:docGrid w:type="lines" w:linePitch="312" w:charSpace="0"/>
        </w:sectPr>
      </w:pPr>
    </w:p>
    <w:p w14:paraId="12BEE54E">
      <w:pPr>
        <w:ind w:firstLine="0" w:firstLineChars="0"/>
        <w:jc w:val="left"/>
        <w:outlineLvl w:val="0"/>
        <w:rPr>
          <w:rFonts w:hint="eastAsia" w:ascii="方正黑体_GBK" w:hAnsi="方正黑体_GBK" w:eastAsia="方正黑体_GBK" w:cs="方正黑体_GBK"/>
          <w:bCs/>
        </w:rPr>
      </w:pPr>
      <w:bookmarkStart w:id="69" w:name="_Toc3396"/>
      <w:r>
        <w:rPr>
          <w:rFonts w:hint="eastAsia" w:ascii="方正黑体_GBK" w:hAnsi="方正黑体_GBK" w:eastAsia="方正黑体_GBK" w:cs="方正黑体_GBK"/>
          <w:bCs/>
        </w:rPr>
        <w:t>附件5：风险隐患通知书</w:t>
      </w:r>
      <w:bookmarkEnd w:id="69"/>
    </w:p>
    <w:p w14:paraId="406FA7C5">
      <w:pPr>
        <w:pStyle w:val="48"/>
        <w:outlineLvl w:val="1"/>
        <w:rPr>
          <w:rFonts w:hint="eastAsia"/>
        </w:rPr>
      </w:pPr>
      <w:bookmarkStart w:id="70" w:name="_Toc14991"/>
      <w:bookmarkStart w:id="71" w:name="_Toc24417"/>
      <w:bookmarkStart w:id="72" w:name="_Toc4576"/>
      <w:bookmarkStart w:id="73" w:name="_Toc31407"/>
      <w:bookmarkStart w:id="74" w:name="_Toc31476"/>
      <w:bookmarkStart w:id="75" w:name="_Toc27349"/>
      <w:r>
        <w:t>“存在楼道安全隐患”风险隐患通知单</w:t>
      </w:r>
      <w:bookmarkEnd w:id="70"/>
      <w:bookmarkEnd w:id="71"/>
      <w:bookmarkEnd w:id="72"/>
      <w:bookmarkEnd w:id="73"/>
      <w:bookmarkEnd w:id="74"/>
      <w:bookmarkEnd w:id="75"/>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3008"/>
        <w:gridCol w:w="1429"/>
        <w:gridCol w:w="8223"/>
      </w:tblGrid>
      <w:tr w14:paraId="78619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16840085">
            <w:pPr>
              <w:pStyle w:val="41"/>
              <w:rPr>
                <w:rFonts w:hint="eastAsia"/>
              </w:rPr>
            </w:pPr>
            <w:r>
              <w:rPr>
                <w:b/>
                <w:bCs/>
              </w:rPr>
              <w:t>体检时间</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1149A86">
            <w:pPr>
              <w:pStyle w:val="41"/>
              <w:jc w:val="left"/>
              <w:rPr>
                <w:rFonts w:hint="eastAsia"/>
              </w:rPr>
            </w:pPr>
            <w:r>
              <w:t>202</w:t>
            </w:r>
            <w:r>
              <w:rPr>
                <w:rFonts w:hint="eastAsia"/>
              </w:rPr>
              <w:t>4</w:t>
            </w:r>
            <w:r>
              <w:t>.</w:t>
            </w:r>
            <w:r>
              <w:rPr>
                <w:rFonts w:hint="eastAsia"/>
              </w:rPr>
              <w:t>6</w:t>
            </w:r>
            <w:r>
              <w:t>.</w:t>
            </w:r>
            <w:r>
              <w:rPr>
                <w:rFonts w:hint="eastAsia"/>
              </w:rPr>
              <w:t>6</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E78E6F6">
            <w:pPr>
              <w:pStyle w:val="41"/>
              <w:rPr>
                <w:rFonts w:hint="eastAsia"/>
              </w:rPr>
            </w:pPr>
            <w:r>
              <w:rPr>
                <w:b/>
                <w:bCs/>
              </w:rPr>
              <w:t>体检对象</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2F4154DE">
            <w:pPr>
              <w:pStyle w:val="41"/>
              <w:jc w:val="left"/>
              <w:rPr>
                <w:rFonts w:hint="eastAsia"/>
              </w:rPr>
            </w:pPr>
            <w:r>
              <w:rPr>
                <w:rFonts w:hint="eastAsia"/>
              </w:rPr>
              <w:t>中建高街社区御澜华府小区</w:t>
            </w:r>
          </w:p>
        </w:tc>
      </w:tr>
      <w:tr w14:paraId="04861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533377A3">
            <w:pPr>
              <w:pStyle w:val="41"/>
              <w:rPr>
                <w:rFonts w:hint="eastAsia"/>
                <w:b/>
                <w:bCs/>
              </w:rPr>
            </w:pPr>
            <w:r>
              <w:rPr>
                <w:b/>
                <w:bCs/>
              </w:rPr>
              <w:t>体检维度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78817829">
            <w:pPr>
              <w:pStyle w:val="41"/>
              <w:jc w:val="left"/>
              <w:rPr>
                <w:rFonts w:hint="eastAsia"/>
              </w:rPr>
            </w:pPr>
            <w:r>
              <w:t>住房维度</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19EBB5D5">
            <w:pPr>
              <w:pStyle w:val="41"/>
              <w:rPr>
                <w:rFonts w:hint="eastAsia"/>
                <w:b/>
                <w:bCs/>
              </w:rPr>
            </w:pPr>
            <w:r>
              <w:rPr>
                <w:b/>
                <w:bCs/>
              </w:rPr>
              <w:t>风险等级</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02AB6674">
            <w:pPr>
              <w:pStyle w:val="41"/>
              <w:jc w:val="left"/>
              <w:rPr>
                <w:rFonts w:hint="eastAsia"/>
              </w:rPr>
            </w:pPr>
            <w:r>
              <w:rPr>
                <w:rFonts w:hint="eastAsia"/>
              </w:rPr>
              <w:t>高</w:t>
            </w:r>
            <w:r>
              <w:t>风险</w:t>
            </w:r>
          </w:p>
        </w:tc>
      </w:tr>
      <w:tr w14:paraId="7E3DD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27C0E535">
            <w:pPr>
              <w:pStyle w:val="41"/>
              <w:rPr>
                <w:rFonts w:hint="eastAsia"/>
                <w:b/>
                <w:bCs/>
              </w:rPr>
            </w:pPr>
            <w:r>
              <w:rPr>
                <w:b/>
                <w:bCs/>
              </w:rPr>
              <w:t>发现风险隐患</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2E25DBB7">
            <w:pPr>
              <w:pStyle w:val="41"/>
              <w:jc w:val="left"/>
              <w:rPr>
                <w:rFonts w:hint="eastAsia"/>
              </w:rPr>
            </w:pPr>
            <w:r>
              <w:rPr>
                <w:rFonts w:hint="eastAsia"/>
              </w:rPr>
              <w:t>楼道安全事故频发</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7D6AD248">
            <w:pPr>
              <w:pStyle w:val="41"/>
              <w:rPr>
                <w:rFonts w:hint="eastAsia"/>
                <w:b/>
                <w:bCs/>
              </w:rPr>
            </w:pPr>
            <w:r>
              <w:rPr>
                <w:b/>
                <w:bCs/>
              </w:rPr>
              <w:t>整改建议</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061211B4">
            <w:pPr>
              <w:pStyle w:val="41"/>
              <w:jc w:val="left"/>
              <w:rPr>
                <w:rFonts w:hint="eastAsia"/>
              </w:rPr>
            </w:pPr>
            <w:r>
              <w:rPr>
                <w:rFonts w:hint="eastAsia"/>
              </w:rPr>
              <w:t>举办心理学知识普及活动，提供心理疏导服务，物业进行相关整改，避免类似事故发生</w:t>
            </w:r>
          </w:p>
        </w:tc>
      </w:tr>
      <w:tr w14:paraId="6AC04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24F035ED">
            <w:pPr>
              <w:pStyle w:val="41"/>
              <w:rPr>
                <w:rFonts w:hint="eastAsia"/>
                <w:b/>
                <w:bCs/>
              </w:rPr>
            </w:pPr>
            <w:r>
              <w:rPr>
                <w:b/>
                <w:bCs/>
              </w:rPr>
              <w:t>整改要求</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2E519725">
            <w:pPr>
              <w:pStyle w:val="41"/>
              <w:jc w:val="left"/>
              <w:rPr>
                <w:rFonts w:hint="eastAsia"/>
              </w:rPr>
            </w:pPr>
            <w:r>
              <w:t>须对上述存在的问题在规定的期限内整改完毕。</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0B203C50">
            <w:pPr>
              <w:pStyle w:val="41"/>
              <w:rPr>
                <w:rFonts w:hint="eastAsia"/>
                <w:b/>
                <w:bCs/>
              </w:rPr>
            </w:pPr>
            <w:r>
              <w:rPr>
                <w:b/>
                <w:bCs/>
              </w:rPr>
              <w:t>整改时限</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6EB682AE">
            <w:pPr>
              <w:pStyle w:val="41"/>
              <w:jc w:val="left"/>
              <w:rPr>
                <w:rFonts w:hint="eastAsia"/>
              </w:rPr>
            </w:pPr>
            <w:r>
              <w:t>202</w:t>
            </w:r>
            <w:r>
              <w:rPr>
                <w:rFonts w:hint="eastAsia"/>
              </w:rPr>
              <w:t>4</w:t>
            </w:r>
            <w:r>
              <w:t>.12.31</w:t>
            </w:r>
          </w:p>
        </w:tc>
      </w:tr>
      <w:tr w14:paraId="35B9B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C922242">
            <w:pPr>
              <w:pStyle w:val="41"/>
              <w:rPr>
                <w:rFonts w:hint="eastAsia"/>
                <w:b/>
                <w:bCs/>
              </w:rPr>
            </w:pPr>
            <w:r>
              <w:rPr>
                <w:b/>
                <w:bCs/>
              </w:rPr>
              <w:t>签发人</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3D392AEC">
            <w:pPr>
              <w:pStyle w:val="41"/>
              <w:rPr>
                <w:rFonts w:hint="eastAsia"/>
              </w:rPr>
            </w:pP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55307DC5">
            <w:pPr>
              <w:pStyle w:val="41"/>
              <w:rPr>
                <w:rFonts w:hint="eastAsia"/>
                <w:b/>
                <w:bCs/>
              </w:rPr>
            </w:pPr>
            <w:r>
              <w:rPr>
                <w:b/>
                <w:bCs/>
              </w:rPr>
              <w:t>签收人</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4055C6D5">
            <w:pPr>
              <w:pStyle w:val="41"/>
              <w:rPr>
                <w:rFonts w:hint="eastAsia"/>
              </w:rPr>
            </w:pPr>
          </w:p>
        </w:tc>
      </w:tr>
    </w:tbl>
    <w:p w14:paraId="2FF4FED4">
      <w:pPr>
        <w:pStyle w:val="48"/>
        <w:outlineLvl w:val="9"/>
        <w:rPr>
          <w:rFonts w:hint="eastAsia"/>
        </w:rPr>
      </w:pP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3008"/>
        <w:gridCol w:w="1429"/>
        <w:gridCol w:w="8223"/>
      </w:tblGrid>
      <w:tr w14:paraId="4D888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4E0D15F">
            <w:pPr>
              <w:pStyle w:val="41"/>
              <w:rPr>
                <w:rFonts w:hint="eastAsia"/>
              </w:rPr>
            </w:pPr>
            <w:r>
              <w:rPr>
                <w:b/>
                <w:bCs/>
              </w:rPr>
              <w:t>体检时间</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1FCD18DC">
            <w:pPr>
              <w:pStyle w:val="41"/>
              <w:jc w:val="left"/>
              <w:rPr>
                <w:rFonts w:hint="eastAsia"/>
              </w:rPr>
            </w:pPr>
            <w:r>
              <w:t>202</w:t>
            </w:r>
            <w:r>
              <w:rPr>
                <w:rFonts w:hint="eastAsia"/>
              </w:rPr>
              <w:t>4</w:t>
            </w:r>
            <w:r>
              <w:t>.</w:t>
            </w:r>
            <w:r>
              <w:rPr>
                <w:rFonts w:hint="eastAsia"/>
              </w:rPr>
              <w:t>6</w:t>
            </w:r>
            <w:r>
              <w:t>.</w:t>
            </w:r>
            <w:r>
              <w:rPr>
                <w:rFonts w:hint="eastAsia"/>
              </w:rPr>
              <w:t>6</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1A3F6041">
            <w:pPr>
              <w:pStyle w:val="41"/>
              <w:rPr>
                <w:rFonts w:hint="eastAsia"/>
              </w:rPr>
            </w:pPr>
            <w:r>
              <w:rPr>
                <w:b/>
                <w:bCs/>
              </w:rPr>
              <w:t>体检对象</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0C5C5729">
            <w:pPr>
              <w:pStyle w:val="41"/>
              <w:jc w:val="left"/>
              <w:rPr>
                <w:rFonts w:hint="eastAsia"/>
              </w:rPr>
            </w:pPr>
            <w:r>
              <w:rPr>
                <w:rFonts w:hint="eastAsia"/>
              </w:rPr>
              <w:t>所有社区</w:t>
            </w:r>
          </w:p>
        </w:tc>
      </w:tr>
      <w:tr w14:paraId="493D7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099EB414">
            <w:pPr>
              <w:pStyle w:val="41"/>
              <w:rPr>
                <w:rFonts w:hint="eastAsia"/>
                <w:b/>
                <w:bCs/>
              </w:rPr>
            </w:pPr>
            <w:r>
              <w:rPr>
                <w:b/>
                <w:bCs/>
              </w:rPr>
              <w:t>体检维度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286F297A">
            <w:pPr>
              <w:pStyle w:val="41"/>
              <w:jc w:val="left"/>
              <w:rPr>
                <w:rFonts w:hint="eastAsia"/>
              </w:rPr>
            </w:pPr>
            <w:r>
              <w:t>住房维度</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4B96E85D">
            <w:pPr>
              <w:pStyle w:val="41"/>
              <w:rPr>
                <w:rFonts w:hint="eastAsia"/>
                <w:b/>
                <w:bCs/>
              </w:rPr>
            </w:pPr>
            <w:r>
              <w:rPr>
                <w:b/>
                <w:bCs/>
              </w:rPr>
              <w:t>风险等级</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775D16B7">
            <w:pPr>
              <w:pStyle w:val="41"/>
              <w:jc w:val="left"/>
              <w:rPr>
                <w:rFonts w:hint="eastAsia"/>
              </w:rPr>
            </w:pPr>
            <w:r>
              <w:rPr>
                <w:rFonts w:hint="eastAsia"/>
              </w:rPr>
              <w:t>中</w:t>
            </w:r>
            <w:r>
              <w:t>风险</w:t>
            </w:r>
          </w:p>
        </w:tc>
      </w:tr>
      <w:tr w14:paraId="59207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54FEA436">
            <w:pPr>
              <w:pStyle w:val="41"/>
              <w:rPr>
                <w:rFonts w:hint="eastAsia"/>
                <w:b/>
                <w:bCs/>
              </w:rPr>
            </w:pPr>
            <w:r>
              <w:rPr>
                <w:b/>
                <w:bCs/>
              </w:rPr>
              <w:t>发现风险隐患</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47EEA141">
            <w:pPr>
              <w:pStyle w:val="41"/>
              <w:jc w:val="left"/>
              <w:rPr>
                <w:rFonts w:hint="eastAsia"/>
              </w:rPr>
            </w:pPr>
            <w:r>
              <w:t>违规占用</w:t>
            </w:r>
            <w:r>
              <w:rPr>
                <w:rFonts w:hint="eastAsia"/>
              </w:rPr>
              <w:t>疏散楼梯</w:t>
            </w:r>
            <w:r>
              <w:t>、楼道、管道井等公共空间，用于堆放杂物</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28AD1B33">
            <w:pPr>
              <w:pStyle w:val="41"/>
              <w:rPr>
                <w:rFonts w:hint="eastAsia"/>
                <w:b/>
                <w:bCs/>
              </w:rPr>
            </w:pPr>
            <w:r>
              <w:rPr>
                <w:b/>
                <w:bCs/>
              </w:rPr>
              <w:t>整改建议</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13F92C2D">
            <w:pPr>
              <w:pStyle w:val="41"/>
              <w:jc w:val="left"/>
              <w:rPr>
                <w:rFonts w:hint="eastAsia"/>
              </w:rPr>
            </w:pPr>
            <w:r>
              <w:t>加强物业管理，及时清理整改</w:t>
            </w:r>
          </w:p>
        </w:tc>
      </w:tr>
      <w:tr w14:paraId="4AF57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DF9741D">
            <w:pPr>
              <w:pStyle w:val="41"/>
              <w:rPr>
                <w:rFonts w:hint="eastAsia"/>
                <w:b/>
                <w:bCs/>
              </w:rPr>
            </w:pPr>
            <w:r>
              <w:rPr>
                <w:b/>
                <w:bCs/>
              </w:rPr>
              <w:t>整改要求</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75E8649C">
            <w:pPr>
              <w:pStyle w:val="41"/>
              <w:jc w:val="left"/>
              <w:rPr>
                <w:rFonts w:hint="eastAsia"/>
              </w:rPr>
            </w:pPr>
            <w:r>
              <w:t>须对上述存在的问题在规定的期限内整改完毕。</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F6899F9">
            <w:pPr>
              <w:pStyle w:val="41"/>
              <w:rPr>
                <w:rFonts w:hint="eastAsia"/>
                <w:b/>
                <w:bCs/>
              </w:rPr>
            </w:pPr>
            <w:r>
              <w:rPr>
                <w:b/>
                <w:bCs/>
              </w:rPr>
              <w:t>整改时限</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1AE7D57A">
            <w:pPr>
              <w:pStyle w:val="41"/>
              <w:jc w:val="left"/>
              <w:rPr>
                <w:rFonts w:hint="eastAsia"/>
              </w:rPr>
            </w:pPr>
            <w:r>
              <w:t>202</w:t>
            </w:r>
            <w:r>
              <w:rPr>
                <w:rFonts w:hint="eastAsia"/>
              </w:rPr>
              <w:t>4</w:t>
            </w:r>
            <w:r>
              <w:t>.12.31</w:t>
            </w:r>
          </w:p>
        </w:tc>
      </w:tr>
      <w:tr w14:paraId="22C2E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5262B0D">
            <w:pPr>
              <w:pStyle w:val="41"/>
              <w:rPr>
                <w:rFonts w:hint="eastAsia"/>
                <w:b/>
                <w:bCs/>
              </w:rPr>
            </w:pPr>
            <w:r>
              <w:rPr>
                <w:b/>
                <w:bCs/>
              </w:rPr>
              <w:t>签发人</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44E7DFE">
            <w:pPr>
              <w:pStyle w:val="41"/>
              <w:rPr>
                <w:rFonts w:hint="eastAsia"/>
              </w:rPr>
            </w:pP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3244652C">
            <w:pPr>
              <w:pStyle w:val="41"/>
              <w:rPr>
                <w:rFonts w:hint="eastAsia"/>
                <w:b/>
                <w:bCs/>
              </w:rPr>
            </w:pPr>
            <w:r>
              <w:rPr>
                <w:b/>
                <w:bCs/>
              </w:rPr>
              <w:t>签收人</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04EA120B">
            <w:pPr>
              <w:pStyle w:val="41"/>
              <w:rPr>
                <w:rFonts w:hint="eastAsia"/>
              </w:rPr>
            </w:pPr>
          </w:p>
        </w:tc>
      </w:tr>
    </w:tbl>
    <w:p w14:paraId="2A300409">
      <w:pPr>
        <w:pStyle w:val="48"/>
        <w:outlineLvl w:val="1"/>
        <w:rPr>
          <w:rFonts w:hint="eastAsia"/>
        </w:rPr>
        <w:sectPr>
          <w:pgSz w:w="16838" w:h="11906" w:orient="landscape"/>
          <w:pgMar w:top="1803" w:right="1440" w:bottom="1803" w:left="1440" w:header="851" w:footer="992" w:gutter="0"/>
          <w:pgNumType w:fmt="decimal"/>
          <w:cols w:space="425" w:num="1"/>
          <w:docGrid w:type="lines" w:linePitch="312" w:charSpace="0"/>
        </w:sectPr>
      </w:pPr>
    </w:p>
    <w:p w14:paraId="0F17944E">
      <w:pPr>
        <w:pStyle w:val="48"/>
        <w:outlineLvl w:val="1"/>
        <w:rPr>
          <w:rFonts w:hint="eastAsia"/>
        </w:rPr>
      </w:pPr>
      <w:bookmarkStart w:id="76" w:name="_Toc17575"/>
      <w:bookmarkStart w:id="77" w:name="_Toc28387"/>
      <w:bookmarkStart w:id="78" w:name="_Toc1291"/>
      <w:bookmarkStart w:id="79" w:name="_Toc19803"/>
      <w:bookmarkStart w:id="80" w:name="_Toc14639"/>
      <w:bookmarkStart w:id="81" w:name="_Toc27100"/>
      <w:r>
        <w:t>“存在</w:t>
      </w:r>
      <w:r>
        <w:rPr>
          <w:rFonts w:hint="eastAsia"/>
        </w:rPr>
        <w:t>围护结构安全</w:t>
      </w:r>
      <w:r>
        <w:t>隐患”风险隐患通知单</w:t>
      </w:r>
      <w:bookmarkEnd w:id="76"/>
      <w:bookmarkEnd w:id="77"/>
      <w:bookmarkEnd w:id="78"/>
      <w:bookmarkEnd w:id="79"/>
      <w:bookmarkEnd w:id="80"/>
      <w:bookmarkEnd w:id="81"/>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3008"/>
        <w:gridCol w:w="1429"/>
        <w:gridCol w:w="8223"/>
      </w:tblGrid>
      <w:tr w14:paraId="69BEA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16A12F4F">
            <w:pPr>
              <w:pStyle w:val="41"/>
              <w:rPr>
                <w:rFonts w:hint="eastAsia"/>
              </w:rPr>
            </w:pPr>
            <w:r>
              <w:rPr>
                <w:b/>
                <w:bCs/>
              </w:rPr>
              <w:t>体检时间</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40A09B4D">
            <w:pPr>
              <w:pStyle w:val="41"/>
              <w:jc w:val="left"/>
              <w:rPr>
                <w:rFonts w:hint="eastAsia"/>
              </w:rPr>
            </w:pPr>
            <w:r>
              <w:t>202</w:t>
            </w:r>
            <w:r>
              <w:rPr>
                <w:rFonts w:hint="eastAsia"/>
              </w:rPr>
              <w:t>4</w:t>
            </w:r>
            <w:r>
              <w:t>.</w:t>
            </w:r>
            <w:r>
              <w:rPr>
                <w:rFonts w:hint="eastAsia"/>
              </w:rPr>
              <w:t>6</w:t>
            </w:r>
            <w:r>
              <w:t>.</w:t>
            </w:r>
            <w:r>
              <w:rPr>
                <w:rFonts w:hint="eastAsia"/>
              </w:rPr>
              <w:t>6</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C72BC40">
            <w:pPr>
              <w:pStyle w:val="41"/>
              <w:rPr>
                <w:rFonts w:hint="eastAsia"/>
              </w:rPr>
            </w:pPr>
            <w:r>
              <w:rPr>
                <w:b/>
                <w:bCs/>
              </w:rPr>
              <w:t>体检对象</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08ACD6F1">
            <w:pPr>
              <w:pStyle w:val="41"/>
              <w:jc w:val="left"/>
              <w:rPr>
                <w:rFonts w:hint="eastAsia"/>
              </w:rPr>
            </w:pPr>
            <w:r>
              <w:rPr>
                <w:rFonts w:hint="eastAsia"/>
              </w:rPr>
              <w:t>银河北路街道办西后街社区平房区，银河南路街道办开源里社区办事处宿舍楼，新开路街道和泰社区平旺里，南尖塔镇永丰道聚贤楼、广阳公寓社区、广阳公寓小区。</w:t>
            </w:r>
          </w:p>
        </w:tc>
      </w:tr>
      <w:tr w14:paraId="4E3E2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511CB336">
            <w:pPr>
              <w:pStyle w:val="41"/>
              <w:rPr>
                <w:rFonts w:hint="eastAsia"/>
                <w:b/>
                <w:bCs/>
              </w:rPr>
            </w:pPr>
            <w:r>
              <w:rPr>
                <w:b/>
                <w:bCs/>
              </w:rPr>
              <w:t>体检维度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513FB01">
            <w:pPr>
              <w:pStyle w:val="41"/>
              <w:jc w:val="left"/>
              <w:rPr>
                <w:rFonts w:hint="eastAsia"/>
              </w:rPr>
            </w:pPr>
            <w:r>
              <w:t>住房维度</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7A912DC7">
            <w:pPr>
              <w:pStyle w:val="41"/>
              <w:rPr>
                <w:rFonts w:hint="eastAsia"/>
                <w:b/>
                <w:bCs/>
              </w:rPr>
            </w:pPr>
            <w:r>
              <w:rPr>
                <w:b/>
                <w:bCs/>
              </w:rPr>
              <w:t>风险等级</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2E961205">
            <w:pPr>
              <w:pStyle w:val="41"/>
              <w:jc w:val="left"/>
              <w:rPr>
                <w:rFonts w:hint="eastAsia"/>
              </w:rPr>
            </w:pPr>
            <w:r>
              <w:rPr>
                <w:rFonts w:hint="eastAsia"/>
              </w:rPr>
              <w:t>中</w:t>
            </w:r>
            <w:r>
              <w:t>风险</w:t>
            </w:r>
          </w:p>
        </w:tc>
      </w:tr>
      <w:tr w14:paraId="59A68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118B3A2">
            <w:pPr>
              <w:pStyle w:val="41"/>
              <w:rPr>
                <w:rFonts w:hint="eastAsia"/>
                <w:b/>
                <w:bCs/>
              </w:rPr>
            </w:pPr>
            <w:r>
              <w:rPr>
                <w:b/>
                <w:bCs/>
              </w:rPr>
              <w:t>发现风险隐患</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BB03207">
            <w:pPr>
              <w:pStyle w:val="41"/>
              <w:jc w:val="left"/>
              <w:rPr>
                <w:rFonts w:hint="eastAsia"/>
              </w:rPr>
            </w:pPr>
            <w:r>
              <w:rPr>
                <w:rFonts w:hint="eastAsia"/>
              </w:rPr>
              <w:t>墙体裂缝</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17C3120">
            <w:pPr>
              <w:pStyle w:val="41"/>
              <w:rPr>
                <w:rFonts w:hint="eastAsia"/>
                <w:b/>
                <w:bCs/>
              </w:rPr>
            </w:pPr>
            <w:r>
              <w:rPr>
                <w:b/>
                <w:bCs/>
              </w:rPr>
              <w:t>整改建议</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747578C1">
            <w:pPr>
              <w:pStyle w:val="41"/>
              <w:jc w:val="left"/>
              <w:rPr>
                <w:rFonts w:hint="eastAsia"/>
              </w:rPr>
            </w:pPr>
            <w:r>
              <w:rPr>
                <w:rFonts w:hint="eastAsia"/>
              </w:rPr>
              <w:t>经专业评估后进行针对性修复。</w:t>
            </w:r>
          </w:p>
        </w:tc>
      </w:tr>
      <w:tr w14:paraId="342FA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4710645">
            <w:pPr>
              <w:pStyle w:val="41"/>
              <w:rPr>
                <w:rFonts w:hint="eastAsia"/>
                <w:b/>
                <w:bCs/>
              </w:rPr>
            </w:pPr>
            <w:r>
              <w:rPr>
                <w:b/>
                <w:bCs/>
              </w:rPr>
              <w:t>整改要求</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F0A80B2">
            <w:pPr>
              <w:pStyle w:val="41"/>
              <w:jc w:val="left"/>
              <w:rPr>
                <w:rFonts w:hint="eastAsia"/>
              </w:rPr>
            </w:pPr>
            <w:r>
              <w:t>须对上述存在的问题在规定的期限内整改完毕。</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30F821A1">
            <w:pPr>
              <w:pStyle w:val="41"/>
              <w:rPr>
                <w:rFonts w:hint="eastAsia"/>
                <w:b/>
                <w:bCs/>
              </w:rPr>
            </w:pPr>
            <w:r>
              <w:rPr>
                <w:b/>
                <w:bCs/>
              </w:rPr>
              <w:t>整改时限</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3A2EE5B8">
            <w:pPr>
              <w:pStyle w:val="41"/>
              <w:jc w:val="left"/>
              <w:rPr>
                <w:rFonts w:hint="eastAsia"/>
              </w:rPr>
            </w:pPr>
            <w:r>
              <w:t>202</w:t>
            </w:r>
            <w:r>
              <w:rPr>
                <w:rFonts w:hint="eastAsia"/>
              </w:rPr>
              <w:t>4</w:t>
            </w:r>
            <w:r>
              <w:t>.12.31</w:t>
            </w:r>
          </w:p>
        </w:tc>
      </w:tr>
      <w:tr w14:paraId="75F50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22568D86">
            <w:pPr>
              <w:pStyle w:val="41"/>
              <w:rPr>
                <w:rFonts w:hint="eastAsia"/>
                <w:b/>
                <w:bCs/>
              </w:rPr>
            </w:pPr>
            <w:r>
              <w:rPr>
                <w:b/>
                <w:bCs/>
              </w:rPr>
              <w:t>签发人</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D801097">
            <w:pPr>
              <w:pStyle w:val="41"/>
              <w:rPr>
                <w:rFonts w:hint="eastAsia"/>
              </w:rPr>
            </w:pP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509528F">
            <w:pPr>
              <w:pStyle w:val="41"/>
              <w:rPr>
                <w:rFonts w:hint="eastAsia"/>
                <w:b/>
                <w:bCs/>
              </w:rPr>
            </w:pPr>
            <w:r>
              <w:rPr>
                <w:b/>
                <w:bCs/>
              </w:rPr>
              <w:t>签收人</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31B132C2">
            <w:pPr>
              <w:pStyle w:val="41"/>
              <w:rPr>
                <w:rFonts w:hint="eastAsia"/>
              </w:rPr>
            </w:pPr>
          </w:p>
        </w:tc>
      </w:tr>
    </w:tbl>
    <w:p w14:paraId="54B9A65E">
      <w:pPr>
        <w:pStyle w:val="48"/>
        <w:outlineLvl w:val="9"/>
        <w:rPr>
          <w:rFonts w:hint="eastAsia"/>
        </w:rPr>
      </w:pP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3008"/>
        <w:gridCol w:w="1429"/>
        <w:gridCol w:w="8223"/>
      </w:tblGrid>
      <w:tr w14:paraId="5A860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71303DD6">
            <w:pPr>
              <w:pStyle w:val="41"/>
              <w:rPr>
                <w:rFonts w:hint="eastAsia"/>
              </w:rPr>
            </w:pPr>
            <w:r>
              <w:rPr>
                <w:b/>
                <w:bCs/>
              </w:rPr>
              <w:t>体检时间</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2C124D7">
            <w:pPr>
              <w:pStyle w:val="41"/>
              <w:jc w:val="left"/>
              <w:rPr>
                <w:rFonts w:hint="eastAsia"/>
              </w:rPr>
            </w:pPr>
            <w:r>
              <w:t>202</w:t>
            </w:r>
            <w:r>
              <w:rPr>
                <w:rFonts w:hint="eastAsia"/>
              </w:rPr>
              <w:t>4</w:t>
            </w:r>
            <w:r>
              <w:t>.</w:t>
            </w:r>
            <w:r>
              <w:rPr>
                <w:rFonts w:hint="eastAsia"/>
              </w:rPr>
              <w:t>6</w:t>
            </w:r>
            <w:r>
              <w:t>.</w:t>
            </w:r>
            <w:r>
              <w:rPr>
                <w:rFonts w:hint="eastAsia"/>
              </w:rPr>
              <w:t>6</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26AF2DBD">
            <w:pPr>
              <w:pStyle w:val="41"/>
              <w:rPr>
                <w:rFonts w:hint="eastAsia"/>
              </w:rPr>
            </w:pPr>
            <w:r>
              <w:rPr>
                <w:b/>
                <w:bCs/>
              </w:rPr>
              <w:t>体检对象</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297A7923">
            <w:pPr>
              <w:pStyle w:val="41"/>
              <w:jc w:val="left"/>
              <w:rPr>
                <w:rFonts w:hint="eastAsia"/>
              </w:rPr>
            </w:pPr>
            <w:r>
              <w:rPr>
                <w:rFonts w:hint="eastAsia"/>
              </w:rPr>
              <w:t>广阳区新开路街道办世纪花园社区海关宿舍，光明西街道办南大街社区南小街平房，新开路街道办和泰社区光明东道外贸楼，爱民东道街道办华夏经典社区第七大街、3531社区3531小区，银河北路街道办西后街社区卫生宿舍楼，南尖塔镇颐和社区颐和佳苑小区，开发区东方之珠社区凤凰城小区、跃界花园小区。</w:t>
            </w:r>
          </w:p>
        </w:tc>
      </w:tr>
      <w:tr w14:paraId="4C62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2B49E6A">
            <w:pPr>
              <w:pStyle w:val="41"/>
              <w:rPr>
                <w:rFonts w:hint="eastAsia"/>
                <w:b/>
                <w:bCs/>
              </w:rPr>
            </w:pPr>
            <w:r>
              <w:rPr>
                <w:b/>
                <w:bCs/>
              </w:rPr>
              <w:t>体检维度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462E25A5">
            <w:pPr>
              <w:pStyle w:val="41"/>
              <w:jc w:val="left"/>
              <w:rPr>
                <w:rFonts w:hint="eastAsia"/>
              </w:rPr>
            </w:pPr>
            <w:r>
              <w:t>住房维度</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7366FC50">
            <w:pPr>
              <w:pStyle w:val="41"/>
              <w:rPr>
                <w:rFonts w:hint="eastAsia"/>
                <w:b/>
                <w:bCs/>
              </w:rPr>
            </w:pPr>
            <w:r>
              <w:rPr>
                <w:b/>
                <w:bCs/>
              </w:rPr>
              <w:t>风险等级</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50EA6CF1">
            <w:pPr>
              <w:pStyle w:val="41"/>
              <w:jc w:val="left"/>
              <w:rPr>
                <w:rFonts w:hint="eastAsia"/>
              </w:rPr>
            </w:pPr>
            <w:r>
              <w:rPr>
                <w:rFonts w:hint="eastAsia"/>
              </w:rPr>
              <w:t>中</w:t>
            </w:r>
            <w:r>
              <w:t>风险</w:t>
            </w:r>
          </w:p>
        </w:tc>
      </w:tr>
      <w:tr w14:paraId="1C9EA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F180C76">
            <w:pPr>
              <w:pStyle w:val="41"/>
              <w:rPr>
                <w:rFonts w:hint="eastAsia"/>
                <w:b/>
                <w:bCs/>
              </w:rPr>
            </w:pPr>
            <w:r>
              <w:rPr>
                <w:b/>
                <w:bCs/>
              </w:rPr>
              <w:t>发现风险隐患</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8A3072D">
            <w:pPr>
              <w:pStyle w:val="41"/>
              <w:jc w:val="left"/>
              <w:rPr>
                <w:rFonts w:hint="eastAsia"/>
              </w:rPr>
            </w:pPr>
            <w:r>
              <w:rPr>
                <w:rFonts w:hint="eastAsia"/>
              </w:rPr>
              <w:t>墙皮脱落</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71570A02">
            <w:pPr>
              <w:pStyle w:val="41"/>
              <w:rPr>
                <w:rFonts w:hint="eastAsia"/>
                <w:b/>
                <w:bCs/>
              </w:rPr>
            </w:pPr>
            <w:r>
              <w:rPr>
                <w:b/>
                <w:bCs/>
              </w:rPr>
              <w:t>整改建议</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3327E590">
            <w:pPr>
              <w:pStyle w:val="41"/>
              <w:jc w:val="left"/>
              <w:rPr>
                <w:rFonts w:hint="eastAsia"/>
              </w:rPr>
            </w:pPr>
            <w:r>
              <w:t>加强物业管理，及时整改</w:t>
            </w:r>
          </w:p>
        </w:tc>
      </w:tr>
      <w:tr w14:paraId="5E2B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0CCAE727">
            <w:pPr>
              <w:pStyle w:val="41"/>
              <w:rPr>
                <w:rFonts w:hint="eastAsia"/>
                <w:b/>
                <w:bCs/>
              </w:rPr>
            </w:pPr>
            <w:r>
              <w:rPr>
                <w:b/>
                <w:bCs/>
              </w:rPr>
              <w:t>整改要求</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F1280AF">
            <w:pPr>
              <w:pStyle w:val="41"/>
              <w:jc w:val="left"/>
              <w:rPr>
                <w:rFonts w:hint="eastAsia"/>
              </w:rPr>
            </w:pPr>
            <w:r>
              <w:t>须对上述存在的问题在规定的期限内整改完毕。</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63DF9848">
            <w:pPr>
              <w:pStyle w:val="41"/>
              <w:rPr>
                <w:rFonts w:hint="eastAsia"/>
                <w:b/>
                <w:bCs/>
              </w:rPr>
            </w:pPr>
            <w:r>
              <w:rPr>
                <w:b/>
                <w:bCs/>
              </w:rPr>
              <w:t>整改时限</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13E1F2C7">
            <w:pPr>
              <w:pStyle w:val="41"/>
              <w:jc w:val="left"/>
              <w:rPr>
                <w:rFonts w:hint="eastAsia"/>
              </w:rPr>
            </w:pPr>
            <w:r>
              <w:t>202</w:t>
            </w:r>
            <w:r>
              <w:rPr>
                <w:rFonts w:hint="eastAsia"/>
              </w:rPr>
              <w:t>4</w:t>
            </w:r>
            <w:r>
              <w:t>.12.31</w:t>
            </w:r>
          </w:p>
        </w:tc>
      </w:tr>
      <w:tr w14:paraId="47BF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37449DA">
            <w:pPr>
              <w:pStyle w:val="41"/>
              <w:rPr>
                <w:rFonts w:hint="eastAsia"/>
                <w:b/>
                <w:bCs/>
              </w:rPr>
            </w:pPr>
            <w:r>
              <w:rPr>
                <w:b/>
                <w:bCs/>
              </w:rPr>
              <w:t>签发人</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F41FD38">
            <w:pPr>
              <w:pStyle w:val="41"/>
              <w:rPr>
                <w:rFonts w:hint="eastAsia"/>
              </w:rPr>
            </w:pP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019C430F">
            <w:pPr>
              <w:pStyle w:val="41"/>
              <w:rPr>
                <w:rFonts w:hint="eastAsia"/>
                <w:b/>
                <w:bCs/>
              </w:rPr>
            </w:pPr>
            <w:r>
              <w:rPr>
                <w:b/>
                <w:bCs/>
              </w:rPr>
              <w:t>签收人</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62C557A3">
            <w:pPr>
              <w:pStyle w:val="41"/>
              <w:rPr>
                <w:rFonts w:hint="eastAsia"/>
              </w:rPr>
            </w:pPr>
          </w:p>
        </w:tc>
      </w:tr>
    </w:tbl>
    <w:p w14:paraId="27784E6A">
      <w:pPr>
        <w:pStyle w:val="48"/>
        <w:outlineLvl w:val="9"/>
        <w:rPr>
          <w:rFonts w:hint="eastAsia"/>
        </w:rPr>
      </w:pP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3008"/>
        <w:gridCol w:w="1429"/>
        <w:gridCol w:w="8223"/>
      </w:tblGrid>
      <w:tr w14:paraId="2EC1F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D64F68C">
            <w:pPr>
              <w:pStyle w:val="41"/>
              <w:rPr>
                <w:rFonts w:hint="eastAsia"/>
              </w:rPr>
            </w:pPr>
            <w:r>
              <w:rPr>
                <w:b/>
                <w:bCs/>
              </w:rPr>
              <w:t>体检时间</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355341FC">
            <w:pPr>
              <w:pStyle w:val="41"/>
              <w:jc w:val="left"/>
              <w:rPr>
                <w:rFonts w:hint="eastAsia"/>
              </w:rPr>
            </w:pPr>
            <w:r>
              <w:t>202</w:t>
            </w:r>
            <w:r>
              <w:rPr>
                <w:rFonts w:hint="eastAsia"/>
              </w:rPr>
              <w:t>4</w:t>
            </w:r>
            <w:r>
              <w:t>.</w:t>
            </w:r>
            <w:r>
              <w:rPr>
                <w:rFonts w:hint="eastAsia"/>
              </w:rPr>
              <w:t>6</w:t>
            </w:r>
            <w:r>
              <w:t>.</w:t>
            </w:r>
            <w:r>
              <w:rPr>
                <w:rFonts w:hint="eastAsia"/>
              </w:rPr>
              <w:t>6</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56173451">
            <w:pPr>
              <w:pStyle w:val="41"/>
              <w:rPr>
                <w:rFonts w:hint="eastAsia"/>
              </w:rPr>
            </w:pPr>
            <w:r>
              <w:rPr>
                <w:b/>
                <w:bCs/>
              </w:rPr>
              <w:t>体检对象</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533EE41C">
            <w:pPr>
              <w:pStyle w:val="41"/>
              <w:jc w:val="left"/>
              <w:rPr>
                <w:rFonts w:hint="eastAsia"/>
              </w:rPr>
            </w:pPr>
            <w:r>
              <w:tab/>
            </w:r>
            <w:r>
              <w:rPr>
                <w:rFonts w:hint="eastAsia"/>
              </w:rPr>
              <w:t>安次区永华道街道尚华城社区尚华城小区，银河南路街道永祥街社区永祥苑小区、前锋社区前锋小区和奥富斯小区，光明西路街道西大街社区钨钼厂宿舍小区、益寿里社区臻丽小区；广阳区新开路街道康乐社区芳泽园小区，同顺里社区、运通家园社区、群乐里社区华元和庭、瑞华里社区君正红石庄园小区，爱民东道街道统建楼社区集宁里小区、群安街社区、3531社区3531小区、新星里社区新星里小区，银河北路街道空中花园社区移动通信小区、大官庄社区大官庄2号楼、西后街社区，解放道街道新安里办事处宿舍楼、华夏里社区骏丰小区、康荣社区四大街南外街二层、规划局东西胡同、万众里社区金光宿舍、康庄社区、小廊坊社区小廊坊平房区，南尖塔镇颐和社区颐和佳苑、上善颐园社区；开发区东方大学城社区一期教师公寓、花语城小区、大学里四期、东方之珠社区凤凰城小区。</w:t>
            </w:r>
          </w:p>
        </w:tc>
      </w:tr>
      <w:tr w14:paraId="6169A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2B2571C">
            <w:pPr>
              <w:pStyle w:val="41"/>
              <w:rPr>
                <w:rFonts w:hint="eastAsia"/>
                <w:b/>
                <w:bCs/>
              </w:rPr>
            </w:pPr>
            <w:r>
              <w:rPr>
                <w:b/>
                <w:bCs/>
              </w:rPr>
              <w:t>体检维度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EC4A9A1">
            <w:pPr>
              <w:pStyle w:val="41"/>
              <w:jc w:val="left"/>
              <w:rPr>
                <w:rFonts w:hint="eastAsia"/>
              </w:rPr>
            </w:pPr>
            <w:r>
              <w:t>住房维度</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09AC8B3D">
            <w:pPr>
              <w:pStyle w:val="41"/>
              <w:rPr>
                <w:rFonts w:hint="eastAsia"/>
                <w:b/>
                <w:bCs/>
              </w:rPr>
            </w:pPr>
            <w:r>
              <w:rPr>
                <w:b/>
                <w:bCs/>
              </w:rPr>
              <w:t>风险等级</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3B665F7A">
            <w:pPr>
              <w:pStyle w:val="41"/>
              <w:jc w:val="left"/>
              <w:rPr>
                <w:rFonts w:hint="eastAsia"/>
              </w:rPr>
            </w:pPr>
            <w:r>
              <w:rPr>
                <w:rFonts w:hint="eastAsia"/>
              </w:rPr>
              <w:t>中</w:t>
            </w:r>
            <w:r>
              <w:t>风险</w:t>
            </w:r>
          </w:p>
        </w:tc>
      </w:tr>
      <w:tr w14:paraId="41758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2E36B8F4">
            <w:pPr>
              <w:pStyle w:val="41"/>
              <w:rPr>
                <w:rFonts w:hint="eastAsia"/>
                <w:b/>
                <w:bCs/>
              </w:rPr>
            </w:pPr>
            <w:r>
              <w:rPr>
                <w:b/>
                <w:bCs/>
              </w:rPr>
              <w:t>发现风险隐患</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4623CB7">
            <w:pPr>
              <w:pStyle w:val="41"/>
              <w:jc w:val="left"/>
              <w:rPr>
                <w:rFonts w:hint="eastAsia"/>
              </w:rPr>
            </w:pPr>
            <w:r>
              <w:rPr>
                <w:rFonts w:hint="eastAsia"/>
              </w:rPr>
              <w:t>屋面漏水</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47BFE450">
            <w:pPr>
              <w:pStyle w:val="41"/>
              <w:rPr>
                <w:rFonts w:hint="eastAsia"/>
                <w:b/>
                <w:bCs/>
              </w:rPr>
            </w:pPr>
            <w:r>
              <w:rPr>
                <w:b/>
                <w:bCs/>
              </w:rPr>
              <w:t>整改建议</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27A6B4DE">
            <w:pPr>
              <w:pStyle w:val="41"/>
              <w:jc w:val="left"/>
              <w:rPr>
                <w:rFonts w:hint="eastAsia"/>
              </w:rPr>
            </w:pPr>
            <w:r>
              <w:t>加强物业管理，及时整改</w:t>
            </w:r>
          </w:p>
        </w:tc>
      </w:tr>
      <w:tr w14:paraId="45C03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53CB4AB4">
            <w:pPr>
              <w:pStyle w:val="41"/>
              <w:rPr>
                <w:rFonts w:hint="eastAsia"/>
                <w:b/>
                <w:bCs/>
              </w:rPr>
            </w:pPr>
            <w:r>
              <w:rPr>
                <w:b/>
                <w:bCs/>
              </w:rPr>
              <w:t>整改要求</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38FDB515">
            <w:pPr>
              <w:pStyle w:val="41"/>
              <w:jc w:val="left"/>
              <w:rPr>
                <w:rFonts w:hint="eastAsia"/>
              </w:rPr>
            </w:pPr>
            <w:r>
              <w:t>须对上述存在的问题在规定的期限内整改完毕。</w:t>
            </w: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7818AA5C">
            <w:pPr>
              <w:pStyle w:val="41"/>
              <w:rPr>
                <w:rFonts w:hint="eastAsia"/>
                <w:b/>
                <w:bCs/>
              </w:rPr>
            </w:pPr>
            <w:r>
              <w:rPr>
                <w:b/>
                <w:bCs/>
              </w:rPr>
              <w:t>整改时限</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654C936A">
            <w:pPr>
              <w:pStyle w:val="41"/>
              <w:jc w:val="left"/>
              <w:rPr>
                <w:rFonts w:hint="eastAsia"/>
              </w:rPr>
            </w:pPr>
            <w:r>
              <w:t>202</w:t>
            </w:r>
            <w:r>
              <w:rPr>
                <w:rFonts w:hint="eastAsia"/>
              </w:rPr>
              <w:t>4</w:t>
            </w:r>
            <w:r>
              <w:t>.12.31</w:t>
            </w:r>
          </w:p>
        </w:tc>
      </w:tr>
      <w:tr w14:paraId="02FC4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7B0131FF">
            <w:pPr>
              <w:pStyle w:val="41"/>
              <w:rPr>
                <w:rFonts w:hint="eastAsia"/>
                <w:b/>
                <w:bCs/>
              </w:rPr>
            </w:pPr>
            <w:r>
              <w:rPr>
                <w:b/>
                <w:bCs/>
              </w:rPr>
              <w:t>签发人</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77E7F4B3">
            <w:pPr>
              <w:pStyle w:val="41"/>
              <w:rPr>
                <w:rFonts w:hint="eastAsia"/>
              </w:rPr>
            </w:pPr>
          </w:p>
        </w:tc>
        <w:tc>
          <w:tcPr>
            <w:tcW w:w="504" w:type="pct"/>
            <w:tcBorders>
              <w:top w:val="single" w:color="auto" w:sz="4" w:space="0"/>
              <w:left w:val="single" w:color="auto" w:sz="4" w:space="0"/>
              <w:bottom w:val="single" w:color="auto" w:sz="4" w:space="0"/>
              <w:right w:val="single" w:color="auto" w:sz="4" w:space="0"/>
            </w:tcBorders>
            <w:shd w:val="clear" w:color="auto" w:fill="auto"/>
            <w:vAlign w:val="center"/>
          </w:tcPr>
          <w:p w14:paraId="18A37AFB">
            <w:pPr>
              <w:pStyle w:val="41"/>
              <w:rPr>
                <w:rFonts w:hint="eastAsia"/>
                <w:b/>
                <w:bCs/>
              </w:rPr>
            </w:pPr>
            <w:r>
              <w:rPr>
                <w:b/>
                <w:bCs/>
              </w:rPr>
              <w:t>签收人</w:t>
            </w:r>
          </w:p>
        </w:tc>
        <w:tc>
          <w:tcPr>
            <w:tcW w:w="2900" w:type="pct"/>
            <w:tcBorders>
              <w:top w:val="single" w:color="auto" w:sz="4" w:space="0"/>
              <w:left w:val="single" w:color="auto" w:sz="4" w:space="0"/>
              <w:bottom w:val="single" w:color="auto" w:sz="4" w:space="0"/>
              <w:right w:val="single" w:color="auto" w:sz="4" w:space="0"/>
            </w:tcBorders>
            <w:shd w:val="clear" w:color="auto" w:fill="auto"/>
            <w:vAlign w:val="center"/>
          </w:tcPr>
          <w:p w14:paraId="52B19DB7">
            <w:pPr>
              <w:pStyle w:val="41"/>
              <w:rPr>
                <w:rFonts w:hint="eastAsia"/>
              </w:rPr>
            </w:pPr>
          </w:p>
        </w:tc>
      </w:tr>
    </w:tbl>
    <w:p w14:paraId="2353BBC9">
      <w:pPr>
        <w:pStyle w:val="48"/>
        <w:outlineLvl w:val="9"/>
        <w:rPr>
          <w:rFonts w:hint="eastAsia"/>
        </w:rPr>
      </w:pPr>
    </w:p>
    <w:p w14:paraId="5E57C385">
      <w:pPr>
        <w:pStyle w:val="48"/>
        <w:outlineLvl w:val="1"/>
        <w:rPr>
          <w:rFonts w:hint="eastAsia"/>
        </w:rPr>
        <w:sectPr>
          <w:pgSz w:w="16838" w:h="11906" w:orient="landscape"/>
          <w:pgMar w:top="1803" w:right="1440" w:bottom="1803" w:left="1440" w:header="851" w:footer="992" w:gutter="0"/>
          <w:pgNumType w:fmt="decimal"/>
          <w:cols w:space="425" w:num="1"/>
          <w:docGrid w:type="lines" w:linePitch="312" w:charSpace="0"/>
        </w:sectPr>
      </w:pPr>
    </w:p>
    <w:p w14:paraId="67F4AA51">
      <w:pPr>
        <w:pStyle w:val="48"/>
        <w:outlineLvl w:val="1"/>
        <w:rPr>
          <w:rFonts w:hint="eastAsia"/>
        </w:rPr>
      </w:pPr>
      <w:bookmarkStart w:id="82" w:name="_Toc832"/>
      <w:bookmarkStart w:id="83" w:name="_Toc4822"/>
      <w:bookmarkStart w:id="84" w:name="_Toc4141"/>
      <w:bookmarkStart w:id="85" w:name="_Toc29254"/>
      <w:bookmarkStart w:id="86" w:name="_Toc12057"/>
      <w:bookmarkStart w:id="87" w:name="_Toc25543"/>
      <w:r>
        <w:t>“存在</w:t>
      </w:r>
      <w:r>
        <w:rPr>
          <w:rFonts w:hint="eastAsia"/>
        </w:rPr>
        <w:t>结构</w:t>
      </w:r>
      <w:r>
        <w:t>安全隐患”风险隐患通知单</w:t>
      </w:r>
      <w:bookmarkEnd w:id="82"/>
      <w:bookmarkEnd w:id="83"/>
      <w:bookmarkEnd w:id="84"/>
      <w:bookmarkEnd w:id="85"/>
      <w:bookmarkEnd w:id="86"/>
      <w:bookmarkEnd w:id="87"/>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1"/>
        <w:gridCol w:w="3585"/>
        <w:gridCol w:w="1710"/>
        <w:gridCol w:w="7368"/>
      </w:tblGrid>
      <w:tr w14:paraId="38699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3036DFEF">
            <w:pPr>
              <w:pStyle w:val="41"/>
              <w:rPr>
                <w:rFonts w:hint="eastAsia"/>
                <w:b/>
                <w:bCs/>
              </w:rPr>
            </w:pPr>
            <w:r>
              <w:rPr>
                <w:b/>
                <w:bCs/>
              </w:rPr>
              <w:t>体检时间</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4439ACFD">
            <w:pPr>
              <w:pStyle w:val="41"/>
              <w:jc w:val="left"/>
              <w:rPr>
                <w:rFonts w:hint="eastAsia"/>
              </w:rPr>
            </w:pPr>
            <w:r>
              <w:t>202</w:t>
            </w:r>
            <w:r>
              <w:rPr>
                <w:rFonts w:hint="eastAsia"/>
              </w:rPr>
              <w:t>4</w:t>
            </w:r>
            <w:r>
              <w:t>.</w:t>
            </w:r>
            <w:r>
              <w:rPr>
                <w:rFonts w:hint="eastAsia"/>
              </w:rPr>
              <w:t>6</w:t>
            </w:r>
            <w:r>
              <w:t>.</w:t>
            </w:r>
            <w:r>
              <w:rPr>
                <w:rFonts w:hint="eastAsia"/>
              </w:rPr>
              <w:t>6</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73AE4597">
            <w:pPr>
              <w:pStyle w:val="41"/>
              <w:rPr>
                <w:rFonts w:hint="eastAsia"/>
                <w:b/>
                <w:bCs/>
              </w:rPr>
            </w:pPr>
            <w:r>
              <w:rPr>
                <w:b/>
                <w:bCs/>
              </w:rPr>
              <w:t>体检对象</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7FB0B055">
            <w:pPr>
              <w:pStyle w:val="41"/>
              <w:jc w:val="left"/>
              <w:rPr>
                <w:rFonts w:hint="eastAsia"/>
              </w:rPr>
            </w:pPr>
            <w:r>
              <w:t>广阳区永华街道办盛德社区永南四巷平房区</w:t>
            </w:r>
            <w:r>
              <w:rPr>
                <w:rFonts w:hint="eastAsia"/>
              </w:rPr>
              <w:t>、</w:t>
            </w:r>
            <w:r>
              <w:t>爱民东道办裕华路社区阳光里平房区</w:t>
            </w:r>
            <w:r>
              <w:rPr>
                <w:rFonts w:hint="eastAsia"/>
              </w:rPr>
              <w:t>、</w:t>
            </w:r>
            <w:r>
              <w:t>开发区东方大学社区一期教师公寓</w:t>
            </w:r>
            <w:r>
              <w:rPr>
                <w:rFonts w:hint="eastAsia"/>
              </w:rPr>
              <w:t>、解放道街道新春社区春和花园北区</w:t>
            </w:r>
          </w:p>
        </w:tc>
      </w:tr>
      <w:tr w14:paraId="224F2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46E2EA3E">
            <w:pPr>
              <w:pStyle w:val="41"/>
              <w:rPr>
                <w:rFonts w:hint="eastAsia"/>
                <w:b/>
                <w:bCs/>
              </w:rPr>
            </w:pPr>
            <w:r>
              <w:rPr>
                <w:b/>
                <w:bCs/>
              </w:rPr>
              <w:t>体检维度</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0A41191B">
            <w:pPr>
              <w:pStyle w:val="41"/>
              <w:jc w:val="left"/>
              <w:rPr>
                <w:rFonts w:hint="eastAsia"/>
              </w:rPr>
            </w:pPr>
            <w:r>
              <w:t>住房维度</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7E6CC658">
            <w:pPr>
              <w:pStyle w:val="41"/>
              <w:rPr>
                <w:rFonts w:hint="eastAsia"/>
                <w:b/>
                <w:bCs/>
              </w:rPr>
            </w:pPr>
            <w:r>
              <w:rPr>
                <w:b/>
                <w:bCs/>
              </w:rPr>
              <w:t>风险等级</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2E021E3F">
            <w:pPr>
              <w:pStyle w:val="41"/>
              <w:jc w:val="left"/>
              <w:rPr>
                <w:rFonts w:hint="eastAsia"/>
              </w:rPr>
            </w:pPr>
            <w:r>
              <w:t>高风险</w:t>
            </w:r>
          </w:p>
        </w:tc>
      </w:tr>
      <w:tr w14:paraId="1A7C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52DF234F">
            <w:pPr>
              <w:pStyle w:val="41"/>
              <w:rPr>
                <w:rFonts w:hint="eastAsia"/>
                <w:b/>
                <w:bCs/>
              </w:rPr>
            </w:pPr>
            <w:r>
              <w:rPr>
                <w:b/>
                <w:bCs/>
              </w:rPr>
              <w:t>发现风险隐患</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555A82A9">
            <w:pPr>
              <w:pStyle w:val="41"/>
              <w:jc w:val="left"/>
              <w:rPr>
                <w:rFonts w:hint="eastAsia"/>
              </w:rPr>
            </w:pPr>
            <w:r>
              <w:rPr>
                <w:rFonts w:hint="eastAsia"/>
              </w:rPr>
              <w:t>危房</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0C537BFE">
            <w:pPr>
              <w:pStyle w:val="41"/>
              <w:rPr>
                <w:rFonts w:hint="eastAsia"/>
                <w:b/>
                <w:bCs/>
              </w:rPr>
            </w:pPr>
            <w:r>
              <w:rPr>
                <w:b/>
                <w:bCs/>
              </w:rPr>
              <w:t>整改建议</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79C876A4">
            <w:pPr>
              <w:pStyle w:val="41"/>
              <w:jc w:val="left"/>
              <w:rPr>
                <w:rFonts w:hint="eastAsia"/>
              </w:rPr>
            </w:pPr>
            <w:r>
              <w:rPr>
                <w:rFonts w:hint="eastAsia"/>
              </w:rPr>
              <w:t>街道办、社区居委会、小区物业咨询住建局后，根据住建局建议进行整改。</w:t>
            </w:r>
          </w:p>
        </w:tc>
      </w:tr>
      <w:tr w14:paraId="18DAF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347BE817">
            <w:pPr>
              <w:pStyle w:val="41"/>
              <w:rPr>
                <w:rFonts w:hint="eastAsia"/>
                <w:b/>
                <w:bCs/>
              </w:rPr>
            </w:pPr>
            <w:r>
              <w:rPr>
                <w:b/>
                <w:bCs/>
              </w:rPr>
              <w:t>整改要求</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108383A3">
            <w:pPr>
              <w:pStyle w:val="41"/>
              <w:jc w:val="left"/>
              <w:rPr>
                <w:rFonts w:hint="eastAsia"/>
              </w:rPr>
            </w:pPr>
            <w:r>
              <w:t>须对上述存在的问题在规定的期限内整改完毕。</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205DD06B">
            <w:pPr>
              <w:pStyle w:val="41"/>
              <w:rPr>
                <w:rFonts w:hint="eastAsia"/>
                <w:b/>
                <w:bCs/>
              </w:rPr>
            </w:pPr>
            <w:r>
              <w:rPr>
                <w:b/>
                <w:bCs/>
              </w:rPr>
              <w:t>整改时限</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4A11684B">
            <w:pPr>
              <w:pStyle w:val="41"/>
              <w:jc w:val="left"/>
              <w:rPr>
                <w:rFonts w:hint="eastAsia"/>
              </w:rPr>
            </w:pPr>
            <w:r>
              <w:t>202</w:t>
            </w:r>
            <w:r>
              <w:rPr>
                <w:rFonts w:hint="eastAsia"/>
              </w:rPr>
              <w:t>4</w:t>
            </w:r>
            <w:r>
              <w:t>.12.31</w:t>
            </w:r>
          </w:p>
        </w:tc>
      </w:tr>
      <w:tr w14:paraId="6104C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22C67CF9">
            <w:pPr>
              <w:pStyle w:val="41"/>
              <w:rPr>
                <w:rFonts w:hint="eastAsia"/>
                <w:b/>
                <w:bCs/>
              </w:rPr>
            </w:pPr>
            <w:r>
              <w:rPr>
                <w:b/>
                <w:bCs/>
              </w:rPr>
              <w:t>签发人</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33B51CF9">
            <w:pPr>
              <w:pStyle w:val="41"/>
              <w:jc w:val="left"/>
              <w:rPr>
                <w:rFonts w:hint="eastAsia"/>
              </w:rPr>
            </w:pP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46253EFE">
            <w:pPr>
              <w:pStyle w:val="41"/>
              <w:rPr>
                <w:rFonts w:hint="eastAsia"/>
                <w:b/>
                <w:bCs/>
              </w:rPr>
            </w:pPr>
            <w:r>
              <w:rPr>
                <w:b/>
                <w:bCs/>
              </w:rPr>
              <w:t>签收人</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1DEE7B81">
            <w:pPr>
              <w:pStyle w:val="41"/>
              <w:jc w:val="left"/>
              <w:rPr>
                <w:rFonts w:hint="eastAsia"/>
              </w:rPr>
            </w:pPr>
          </w:p>
        </w:tc>
      </w:tr>
    </w:tbl>
    <w:p w14:paraId="0F41DC07">
      <w:pPr>
        <w:pStyle w:val="48"/>
        <w:outlineLvl w:val="9"/>
        <w:rPr>
          <w:rFonts w:hint="eastAsia"/>
        </w:rPr>
      </w:pP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1"/>
        <w:gridCol w:w="3585"/>
        <w:gridCol w:w="1710"/>
        <w:gridCol w:w="7368"/>
      </w:tblGrid>
      <w:tr w14:paraId="162D6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6CA2B2FC">
            <w:pPr>
              <w:pStyle w:val="41"/>
              <w:rPr>
                <w:rFonts w:hint="eastAsia"/>
                <w:b/>
                <w:bCs/>
              </w:rPr>
            </w:pPr>
            <w:r>
              <w:rPr>
                <w:b/>
                <w:bCs/>
              </w:rPr>
              <w:t>体检时间</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38B96176">
            <w:pPr>
              <w:pStyle w:val="41"/>
              <w:jc w:val="left"/>
              <w:rPr>
                <w:rFonts w:hint="eastAsia"/>
              </w:rPr>
            </w:pPr>
            <w:r>
              <w:t>202</w:t>
            </w:r>
            <w:r>
              <w:rPr>
                <w:rFonts w:hint="eastAsia"/>
              </w:rPr>
              <w:t>4</w:t>
            </w:r>
            <w:r>
              <w:t>.</w:t>
            </w:r>
            <w:r>
              <w:rPr>
                <w:rFonts w:hint="eastAsia"/>
              </w:rPr>
              <w:t>6</w:t>
            </w:r>
            <w:r>
              <w:t>.</w:t>
            </w:r>
            <w:r>
              <w:rPr>
                <w:rFonts w:hint="eastAsia"/>
              </w:rPr>
              <w:t>6</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3ADCC5B5">
            <w:pPr>
              <w:pStyle w:val="41"/>
              <w:rPr>
                <w:rFonts w:hint="eastAsia"/>
                <w:b/>
                <w:bCs/>
              </w:rPr>
            </w:pPr>
            <w:r>
              <w:rPr>
                <w:b/>
                <w:bCs/>
              </w:rPr>
              <w:t>体检对象</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4299826D">
            <w:pPr>
              <w:pStyle w:val="41"/>
              <w:jc w:val="left"/>
              <w:rPr>
                <w:rFonts w:hint="eastAsia"/>
              </w:rPr>
            </w:pPr>
            <w:r>
              <w:t>广阳区</w:t>
            </w:r>
            <w:r>
              <w:rPr>
                <w:rFonts w:hint="eastAsia"/>
              </w:rPr>
              <w:t>爱民东道街道统建楼社区集宁里小区、银河北路街道站前社区桥东平房区</w:t>
            </w:r>
          </w:p>
        </w:tc>
      </w:tr>
      <w:tr w14:paraId="268F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67218022">
            <w:pPr>
              <w:pStyle w:val="41"/>
              <w:rPr>
                <w:rFonts w:hint="eastAsia"/>
                <w:b/>
                <w:bCs/>
              </w:rPr>
            </w:pPr>
            <w:r>
              <w:rPr>
                <w:b/>
                <w:bCs/>
              </w:rPr>
              <w:t>体检维度</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0B3D8A79">
            <w:pPr>
              <w:pStyle w:val="41"/>
              <w:jc w:val="left"/>
              <w:rPr>
                <w:rFonts w:hint="eastAsia"/>
              </w:rPr>
            </w:pPr>
            <w:r>
              <w:t>住房维度</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52F5E992">
            <w:pPr>
              <w:pStyle w:val="41"/>
              <w:rPr>
                <w:rFonts w:hint="eastAsia"/>
                <w:b/>
                <w:bCs/>
              </w:rPr>
            </w:pPr>
            <w:r>
              <w:rPr>
                <w:b/>
                <w:bCs/>
              </w:rPr>
              <w:t>风险等级</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3F0E66EC">
            <w:pPr>
              <w:pStyle w:val="41"/>
              <w:jc w:val="left"/>
              <w:rPr>
                <w:rFonts w:hint="eastAsia"/>
              </w:rPr>
            </w:pPr>
            <w:r>
              <w:t>高风险</w:t>
            </w:r>
          </w:p>
        </w:tc>
      </w:tr>
      <w:tr w14:paraId="4FA4C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60A0D341">
            <w:pPr>
              <w:pStyle w:val="41"/>
              <w:rPr>
                <w:rFonts w:hint="eastAsia"/>
                <w:b/>
                <w:bCs/>
              </w:rPr>
            </w:pPr>
            <w:r>
              <w:rPr>
                <w:b/>
                <w:bCs/>
              </w:rPr>
              <w:t>发现风险隐患</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14D5560F">
            <w:pPr>
              <w:pStyle w:val="41"/>
              <w:jc w:val="left"/>
              <w:rPr>
                <w:rFonts w:hint="eastAsia"/>
              </w:rPr>
            </w:pPr>
            <w:r>
              <w:rPr>
                <w:rFonts w:hint="eastAsia"/>
              </w:rPr>
              <w:t>树木生长对住房造成安全隐患</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57533113">
            <w:pPr>
              <w:pStyle w:val="41"/>
              <w:rPr>
                <w:rFonts w:hint="eastAsia"/>
                <w:b/>
                <w:bCs/>
              </w:rPr>
            </w:pPr>
            <w:r>
              <w:rPr>
                <w:b/>
                <w:bCs/>
              </w:rPr>
              <w:t>整改建议</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2D8E8583">
            <w:pPr>
              <w:pStyle w:val="41"/>
              <w:jc w:val="left"/>
              <w:rPr>
                <w:rFonts w:hint="eastAsia"/>
              </w:rPr>
            </w:pPr>
            <w:r>
              <w:rPr>
                <w:rFonts w:hint="eastAsia"/>
              </w:rPr>
              <w:t>街道办、社区居委会、小区物业咨询园林局、住建局后，根据相关部门建议进行整改。</w:t>
            </w:r>
          </w:p>
        </w:tc>
      </w:tr>
      <w:tr w14:paraId="1FC21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7EF5F8A2">
            <w:pPr>
              <w:pStyle w:val="41"/>
              <w:rPr>
                <w:rFonts w:hint="eastAsia"/>
                <w:b/>
                <w:bCs/>
              </w:rPr>
            </w:pPr>
            <w:r>
              <w:rPr>
                <w:b/>
                <w:bCs/>
              </w:rPr>
              <w:t>整改要求</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3D5049ED">
            <w:pPr>
              <w:pStyle w:val="41"/>
              <w:jc w:val="left"/>
              <w:rPr>
                <w:rFonts w:hint="eastAsia"/>
              </w:rPr>
            </w:pPr>
            <w:r>
              <w:t>须对上述存在的问题在规定的期限内整改完毕。</w:t>
            </w: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4C30D24D">
            <w:pPr>
              <w:pStyle w:val="41"/>
              <w:rPr>
                <w:rFonts w:hint="eastAsia"/>
                <w:b/>
                <w:bCs/>
              </w:rPr>
            </w:pPr>
            <w:r>
              <w:rPr>
                <w:b/>
                <w:bCs/>
              </w:rPr>
              <w:t>整改时限</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0800BF93">
            <w:pPr>
              <w:pStyle w:val="41"/>
              <w:jc w:val="left"/>
              <w:rPr>
                <w:rFonts w:hint="eastAsia"/>
              </w:rPr>
            </w:pPr>
            <w:r>
              <w:t>202</w:t>
            </w:r>
            <w:r>
              <w:rPr>
                <w:rFonts w:hint="eastAsia"/>
              </w:rPr>
              <w:t>4</w:t>
            </w:r>
            <w:r>
              <w:t>.12.31</w:t>
            </w:r>
          </w:p>
        </w:tc>
      </w:tr>
      <w:tr w14:paraId="6EA9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533" w:type="pct"/>
            <w:tcBorders>
              <w:top w:val="single" w:color="auto" w:sz="4" w:space="0"/>
              <w:left w:val="single" w:color="auto" w:sz="4" w:space="0"/>
              <w:bottom w:val="single" w:color="auto" w:sz="4" w:space="0"/>
              <w:right w:val="single" w:color="auto" w:sz="4" w:space="0"/>
            </w:tcBorders>
            <w:shd w:val="clear" w:color="auto" w:fill="auto"/>
            <w:vAlign w:val="center"/>
          </w:tcPr>
          <w:p w14:paraId="740F9D45">
            <w:pPr>
              <w:pStyle w:val="41"/>
              <w:rPr>
                <w:rFonts w:hint="eastAsia"/>
                <w:b/>
                <w:bCs/>
              </w:rPr>
            </w:pPr>
            <w:r>
              <w:rPr>
                <w:b/>
                <w:bCs/>
              </w:rPr>
              <w:t>签发人</w:t>
            </w:r>
          </w:p>
        </w:tc>
        <w:tc>
          <w:tcPr>
            <w:tcW w:w="1264" w:type="pct"/>
            <w:tcBorders>
              <w:top w:val="single" w:color="auto" w:sz="4" w:space="0"/>
              <w:left w:val="single" w:color="auto" w:sz="4" w:space="0"/>
              <w:bottom w:val="single" w:color="auto" w:sz="4" w:space="0"/>
              <w:right w:val="single" w:color="auto" w:sz="4" w:space="0"/>
            </w:tcBorders>
            <w:shd w:val="clear" w:color="auto" w:fill="auto"/>
            <w:vAlign w:val="center"/>
          </w:tcPr>
          <w:p w14:paraId="161160B9">
            <w:pPr>
              <w:pStyle w:val="41"/>
              <w:jc w:val="left"/>
              <w:rPr>
                <w:rFonts w:hint="eastAsia"/>
              </w:rPr>
            </w:pPr>
          </w:p>
        </w:tc>
        <w:tc>
          <w:tcPr>
            <w:tcW w:w="603" w:type="pct"/>
            <w:tcBorders>
              <w:top w:val="single" w:color="auto" w:sz="4" w:space="0"/>
              <w:left w:val="single" w:color="auto" w:sz="4" w:space="0"/>
              <w:bottom w:val="single" w:color="auto" w:sz="4" w:space="0"/>
              <w:right w:val="single" w:color="auto" w:sz="4" w:space="0"/>
            </w:tcBorders>
            <w:shd w:val="clear" w:color="auto" w:fill="auto"/>
            <w:vAlign w:val="center"/>
          </w:tcPr>
          <w:p w14:paraId="33B8480A">
            <w:pPr>
              <w:pStyle w:val="41"/>
              <w:rPr>
                <w:rFonts w:hint="eastAsia"/>
                <w:b/>
                <w:bCs/>
              </w:rPr>
            </w:pPr>
            <w:r>
              <w:rPr>
                <w:b/>
                <w:bCs/>
              </w:rPr>
              <w:t>签收人</w:t>
            </w:r>
          </w:p>
        </w:tc>
        <w:tc>
          <w:tcPr>
            <w:tcW w:w="2598" w:type="pct"/>
            <w:tcBorders>
              <w:top w:val="single" w:color="auto" w:sz="4" w:space="0"/>
              <w:left w:val="single" w:color="auto" w:sz="4" w:space="0"/>
              <w:bottom w:val="single" w:color="auto" w:sz="4" w:space="0"/>
              <w:right w:val="single" w:color="auto" w:sz="4" w:space="0"/>
            </w:tcBorders>
            <w:shd w:val="clear" w:color="auto" w:fill="auto"/>
            <w:vAlign w:val="center"/>
          </w:tcPr>
          <w:p w14:paraId="3FB06F44">
            <w:pPr>
              <w:pStyle w:val="41"/>
              <w:jc w:val="left"/>
              <w:rPr>
                <w:rFonts w:hint="eastAsia"/>
              </w:rPr>
            </w:pPr>
          </w:p>
        </w:tc>
      </w:tr>
    </w:tbl>
    <w:p w14:paraId="70710672">
      <w:pPr>
        <w:ind w:firstLine="640"/>
        <w:rPr>
          <w:rFonts w:hint="eastAsia" w:ascii="方正黑体_GBK" w:hAnsi="方正黑体_GBK" w:eastAsia="方正黑体_GBK" w:cs="方正黑体_GBK"/>
          <w:bCs/>
        </w:rPr>
      </w:pPr>
      <w:r>
        <w:rPr>
          <w:rFonts w:hint="eastAsia" w:ascii="方正黑体_GBK" w:hAnsi="方正黑体_GBK" w:eastAsia="方正黑体_GBK" w:cs="方正黑体_GBK"/>
          <w:bCs/>
        </w:rPr>
        <w:br w:type="page"/>
      </w:r>
    </w:p>
    <w:p w14:paraId="3B1129D7">
      <w:pPr>
        <w:ind w:firstLine="0" w:firstLineChars="0"/>
        <w:jc w:val="left"/>
        <w:outlineLvl w:val="0"/>
        <w:rPr>
          <w:rFonts w:hint="eastAsia" w:ascii="方正黑体_GBK" w:hAnsi="方正黑体_GBK" w:eastAsia="方正黑体_GBK" w:cs="方正黑体_GBK"/>
          <w:bCs/>
        </w:rPr>
      </w:pPr>
      <w:bookmarkStart w:id="88" w:name="_Toc13395"/>
      <w:r>
        <w:rPr>
          <w:rFonts w:hint="eastAsia" w:ascii="方正黑体_GBK" w:hAnsi="方正黑体_GBK" w:eastAsia="方正黑体_GBK" w:cs="方正黑体_GBK"/>
          <w:bCs/>
        </w:rPr>
        <w:t>附件6：城市更新项目库</w:t>
      </w:r>
      <w:bookmarkEnd w:id="88"/>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1"/>
        <w:gridCol w:w="2023"/>
        <w:gridCol w:w="8880"/>
        <w:gridCol w:w="1499"/>
      </w:tblGrid>
      <w:tr w14:paraId="0A9A8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881" w:type="dxa"/>
            <w:shd w:val="clear" w:color="auto" w:fill="auto"/>
            <w:vAlign w:val="center"/>
          </w:tcPr>
          <w:p w14:paraId="1C7F02A3">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序号</w:t>
            </w:r>
          </w:p>
        </w:tc>
        <w:tc>
          <w:tcPr>
            <w:tcW w:w="2023" w:type="dxa"/>
            <w:shd w:val="clear" w:color="auto" w:fill="auto"/>
            <w:vAlign w:val="center"/>
          </w:tcPr>
          <w:p w14:paraId="4F94DF69">
            <w:pPr>
              <w:pStyle w:val="41"/>
              <w:rPr>
                <w:rFonts w:hint="eastAsia" w:ascii="方正黑体_GBK" w:hAnsi="方正黑体_GBK" w:eastAsia="方正黑体_GBK" w:cs="方正黑体_GBK"/>
              </w:rPr>
            </w:pPr>
            <w:r>
              <w:rPr>
                <w:rFonts w:hint="eastAsia" w:ascii="方正黑体_GBK" w:hAnsi="方正黑体_GBK" w:eastAsia="方正黑体_GBK" w:cs="方正黑体_GBK"/>
              </w:rPr>
              <w:t>项目名称</w:t>
            </w:r>
          </w:p>
        </w:tc>
        <w:tc>
          <w:tcPr>
            <w:tcW w:w="8880" w:type="dxa"/>
            <w:shd w:val="clear" w:color="auto" w:fill="auto"/>
            <w:vAlign w:val="center"/>
          </w:tcPr>
          <w:p w14:paraId="1D4BA1D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建设规模和主要内容</w:t>
            </w:r>
          </w:p>
        </w:tc>
        <w:tc>
          <w:tcPr>
            <w:tcW w:w="1499" w:type="dxa"/>
            <w:shd w:val="clear" w:color="auto" w:fill="auto"/>
            <w:vAlign w:val="center"/>
          </w:tcPr>
          <w:p w14:paraId="798BFDF4">
            <w:pPr>
              <w:pStyle w:val="41"/>
              <w:rPr>
                <w:rFonts w:hint="eastAsia" w:ascii="方正黑体_GBK" w:hAnsi="方正黑体_GBK" w:eastAsia="方正黑体_GBK" w:cs="方正黑体_GBK"/>
              </w:rPr>
            </w:pPr>
            <w:r>
              <w:rPr>
                <w:rFonts w:hint="eastAsia" w:ascii="方正黑体_GBK" w:hAnsi="方正黑体_GBK" w:eastAsia="方正黑体_GBK" w:cs="方正黑体_GBK"/>
              </w:rPr>
              <w:t>实施主体</w:t>
            </w:r>
          </w:p>
        </w:tc>
      </w:tr>
      <w:tr w14:paraId="0F340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50D1085">
            <w:pPr>
              <w:pStyle w:val="41"/>
              <w:rPr>
                <w:rFonts w:hint="eastAsia"/>
                <w:b/>
                <w:bCs/>
              </w:rPr>
            </w:pPr>
            <w:r>
              <w:rPr>
                <w:b/>
                <w:bCs/>
              </w:rPr>
              <w:t>1</w:t>
            </w:r>
          </w:p>
        </w:tc>
        <w:tc>
          <w:tcPr>
            <w:tcW w:w="2023" w:type="dxa"/>
            <w:shd w:val="clear" w:color="000000" w:fill="FFFFFF"/>
            <w:vAlign w:val="center"/>
          </w:tcPr>
          <w:p w14:paraId="413FBDD8">
            <w:pPr>
              <w:pStyle w:val="41"/>
              <w:rPr>
                <w:rFonts w:hint="eastAsia"/>
                <w:b/>
                <w:bCs/>
              </w:rPr>
            </w:pPr>
            <w:r>
              <w:rPr>
                <w:rFonts w:hint="eastAsia"/>
                <w:b/>
                <w:bCs/>
              </w:rPr>
              <w:t>安次区老旧小区改造项目</w:t>
            </w:r>
          </w:p>
        </w:tc>
        <w:tc>
          <w:tcPr>
            <w:tcW w:w="8880" w:type="dxa"/>
            <w:shd w:val="clear" w:color="000000" w:fill="FFFFFF"/>
            <w:vAlign w:val="center"/>
          </w:tcPr>
          <w:p w14:paraId="4562E727">
            <w:pPr>
              <w:pStyle w:val="41"/>
              <w:rPr>
                <w:rFonts w:hint="eastAsia"/>
                <w:b/>
                <w:bCs/>
              </w:rPr>
            </w:pPr>
            <w:r>
              <w:rPr>
                <w:rFonts w:hint="eastAsia"/>
                <w:b/>
                <w:bCs/>
              </w:rPr>
              <w:t>改造主要分为楼体部分和配套基础设施，其中楼体部分包括：防水改造、楼房外墙开裂修补、内外墙面粉刷、门窗改造、楼道公共部分维修及粉刷等工程；基础设施部分包括：路面修缮改造、雨水管道改造、污水管道改造、照明设施改造等</w:t>
            </w:r>
          </w:p>
        </w:tc>
        <w:tc>
          <w:tcPr>
            <w:tcW w:w="1499" w:type="dxa"/>
            <w:shd w:val="clear" w:color="000000" w:fill="FFFFFF"/>
            <w:vAlign w:val="center"/>
          </w:tcPr>
          <w:p w14:paraId="7E4A9B48">
            <w:pPr>
              <w:pStyle w:val="41"/>
              <w:rPr>
                <w:rFonts w:hint="eastAsia"/>
                <w:b/>
                <w:bCs/>
              </w:rPr>
            </w:pPr>
            <w:r>
              <w:rPr>
                <w:rFonts w:hint="eastAsia"/>
                <w:b/>
                <w:bCs/>
              </w:rPr>
              <w:t>廊坊市安次区住房和城乡建设局</w:t>
            </w:r>
          </w:p>
        </w:tc>
      </w:tr>
      <w:tr w14:paraId="427B9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A7ECA08">
            <w:pPr>
              <w:pStyle w:val="41"/>
              <w:rPr>
                <w:rFonts w:hint="eastAsia"/>
                <w:b/>
                <w:bCs/>
              </w:rPr>
            </w:pPr>
            <w:r>
              <w:rPr>
                <w:b/>
                <w:bCs/>
              </w:rPr>
              <w:t>2</w:t>
            </w:r>
          </w:p>
        </w:tc>
        <w:tc>
          <w:tcPr>
            <w:tcW w:w="2023" w:type="dxa"/>
            <w:shd w:val="clear" w:color="000000" w:fill="FFFFFF"/>
            <w:vAlign w:val="center"/>
          </w:tcPr>
          <w:p w14:paraId="4D1987D9">
            <w:pPr>
              <w:pStyle w:val="41"/>
              <w:rPr>
                <w:rFonts w:hint="eastAsia"/>
                <w:b/>
                <w:bCs/>
              </w:rPr>
            </w:pPr>
            <w:r>
              <w:rPr>
                <w:rFonts w:hint="eastAsia"/>
                <w:b/>
                <w:bCs/>
              </w:rPr>
              <w:t>广阳区老旧小区改造项目</w:t>
            </w:r>
          </w:p>
        </w:tc>
        <w:tc>
          <w:tcPr>
            <w:tcW w:w="8880" w:type="dxa"/>
            <w:shd w:val="clear" w:color="000000" w:fill="FFFFFF"/>
            <w:vAlign w:val="center"/>
          </w:tcPr>
          <w:p w14:paraId="677D5BBB">
            <w:pPr>
              <w:pStyle w:val="41"/>
              <w:rPr>
                <w:rFonts w:hint="eastAsia"/>
                <w:b/>
                <w:bCs/>
              </w:rPr>
            </w:pPr>
            <w:r>
              <w:rPr>
                <w:rFonts w:hint="eastAsia"/>
                <w:b/>
                <w:bCs/>
              </w:rPr>
              <w:t>院内路面更新、雨水管道、污水管道更新、电力改造，充电桩安装等</w:t>
            </w:r>
          </w:p>
        </w:tc>
        <w:tc>
          <w:tcPr>
            <w:tcW w:w="1499" w:type="dxa"/>
            <w:shd w:val="clear" w:color="000000" w:fill="FFFFFF"/>
            <w:vAlign w:val="center"/>
          </w:tcPr>
          <w:p w14:paraId="4F351536">
            <w:pPr>
              <w:pStyle w:val="41"/>
              <w:rPr>
                <w:rFonts w:hint="eastAsia"/>
                <w:b/>
                <w:bCs/>
              </w:rPr>
            </w:pPr>
            <w:r>
              <w:rPr>
                <w:rFonts w:hint="eastAsia"/>
                <w:b/>
                <w:bCs/>
              </w:rPr>
              <w:t>廊坊市广阳区住房和城乡建设局</w:t>
            </w:r>
          </w:p>
        </w:tc>
      </w:tr>
      <w:tr w14:paraId="63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980663F">
            <w:pPr>
              <w:pStyle w:val="41"/>
              <w:rPr>
                <w:rFonts w:hint="eastAsia"/>
                <w:b/>
                <w:bCs/>
              </w:rPr>
            </w:pPr>
            <w:r>
              <w:rPr>
                <w:b/>
                <w:bCs/>
              </w:rPr>
              <w:t>3</w:t>
            </w:r>
          </w:p>
        </w:tc>
        <w:tc>
          <w:tcPr>
            <w:tcW w:w="2023" w:type="dxa"/>
            <w:shd w:val="clear" w:color="000000" w:fill="FFFFFF"/>
            <w:vAlign w:val="center"/>
          </w:tcPr>
          <w:p w14:paraId="6DDF4D7C">
            <w:pPr>
              <w:pStyle w:val="41"/>
              <w:rPr>
                <w:rFonts w:hint="eastAsia"/>
                <w:b/>
                <w:bCs/>
              </w:rPr>
            </w:pPr>
            <w:r>
              <w:rPr>
                <w:b/>
                <w:bCs/>
              </w:rPr>
              <w:t>华夏奥韵小区停车场建设项目</w:t>
            </w:r>
          </w:p>
        </w:tc>
        <w:tc>
          <w:tcPr>
            <w:tcW w:w="8880" w:type="dxa"/>
            <w:shd w:val="clear" w:color="000000" w:fill="FFFFFF"/>
            <w:vAlign w:val="center"/>
          </w:tcPr>
          <w:p w14:paraId="2AAC7CA5">
            <w:pPr>
              <w:pStyle w:val="41"/>
              <w:rPr>
                <w:rFonts w:hint="eastAsia"/>
                <w:b/>
                <w:bCs/>
              </w:rPr>
            </w:pPr>
            <w:r>
              <w:rPr>
                <w:b/>
                <w:bCs/>
              </w:rPr>
              <w:t>本项目总占地面积22071.18</w:t>
            </w:r>
            <w:r>
              <w:rPr>
                <w:rFonts w:hint="eastAsia"/>
                <w:b/>
                <w:bCs/>
              </w:rPr>
              <w:t>㎡</w:t>
            </w:r>
            <w:r>
              <w:rPr>
                <w:b/>
                <w:bCs/>
              </w:rPr>
              <w:t>，总建筑面积18287</w:t>
            </w:r>
            <w:r>
              <w:rPr>
                <w:rFonts w:hint="eastAsia"/>
                <w:b/>
                <w:bCs/>
              </w:rPr>
              <w:t>㎡</w:t>
            </w:r>
            <w:r>
              <w:rPr>
                <w:b/>
                <w:bCs/>
              </w:rPr>
              <w:t>。建成后，可增加地下停车位473个。本项目拟对华夏奥韵西侧现有带状公园实施改造提升，建设地下停车场及配建商业。实施工程主要包括带状公园拆除及恢复工程、土建工程、电气工程、给排水工程、暖通工程、消防工程、室外管网以及安装配套停车管理系统。</w:t>
            </w:r>
          </w:p>
        </w:tc>
        <w:tc>
          <w:tcPr>
            <w:tcW w:w="1499" w:type="dxa"/>
            <w:shd w:val="clear" w:color="000000" w:fill="FFFFFF"/>
            <w:vAlign w:val="center"/>
          </w:tcPr>
          <w:p w14:paraId="36367D50">
            <w:pPr>
              <w:pStyle w:val="41"/>
              <w:rPr>
                <w:rFonts w:hint="eastAsia"/>
                <w:b/>
                <w:bCs/>
              </w:rPr>
            </w:pPr>
            <w:r>
              <w:rPr>
                <w:rFonts w:hint="eastAsia"/>
                <w:b/>
                <w:bCs/>
              </w:rPr>
              <w:t>廊坊市城市管理综合行政执法局</w:t>
            </w:r>
          </w:p>
        </w:tc>
      </w:tr>
      <w:tr w14:paraId="1299D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2606334">
            <w:pPr>
              <w:pStyle w:val="41"/>
              <w:rPr>
                <w:rFonts w:hint="eastAsia"/>
                <w:b/>
                <w:bCs/>
              </w:rPr>
            </w:pPr>
            <w:r>
              <w:rPr>
                <w:b/>
                <w:bCs/>
              </w:rPr>
              <w:t>4</w:t>
            </w:r>
          </w:p>
        </w:tc>
        <w:tc>
          <w:tcPr>
            <w:tcW w:w="2023" w:type="dxa"/>
            <w:shd w:val="clear" w:color="000000" w:fill="FFFFFF"/>
            <w:vAlign w:val="center"/>
          </w:tcPr>
          <w:p w14:paraId="36CA7D3C">
            <w:pPr>
              <w:pStyle w:val="41"/>
              <w:rPr>
                <w:rFonts w:hint="eastAsia"/>
                <w:b/>
                <w:bCs/>
              </w:rPr>
            </w:pPr>
            <w:r>
              <w:rPr>
                <w:b/>
                <w:bCs/>
              </w:rPr>
              <w:t>阿尔卡迪亚小区停车场项目</w:t>
            </w:r>
          </w:p>
        </w:tc>
        <w:tc>
          <w:tcPr>
            <w:tcW w:w="8880" w:type="dxa"/>
            <w:shd w:val="clear" w:color="000000" w:fill="FFFFFF"/>
            <w:vAlign w:val="center"/>
          </w:tcPr>
          <w:p w14:paraId="11333B3F">
            <w:pPr>
              <w:pStyle w:val="41"/>
              <w:rPr>
                <w:rFonts w:hint="eastAsia"/>
                <w:b/>
                <w:bCs/>
              </w:rPr>
            </w:pPr>
            <w:r>
              <w:rPr>
                <w:b/>
                <w:bCs/>
              </w:rPr>
              <w:t>总占地面积18151.91</w:t>
            </w:r>
            <w:r>
              <w:rPr>
                <w:rFonts w:hint="eastAsia"/>
                <w:b/>
                <w:bCs/>
              </w:rPr>
              <w:t>㎡</w:t>
            </w:r>
            <w:r>
              <w:rPr>
                <w:b/>
                <w:bCs/>
              </w:rPr>
              <w:t>，总建筑面积15197</w:t>
            </w:r>
            <w:r>
              <w:rPr>
                <w:rFonts w:hint="eastAsia"/>
                <w:b/>
                <w:bCs/>
              </w:rPr>
              <w:t>㎡</w:t>
            </w:r>
            <w:r>
              <w:rPr>
                <w:b/>
                <w:bCs/>
              </w:rPr>
              <w:t>。建成后，预计可增加公共停车泊位约354个。项目拟对该小区南侧带状公园实施改造提升，建设地下停车场、配套商业。实施工程：带状公园拆除及恢复工程、土建工程、电气工程、给排水</w:t>
            </w:r>
            <w:r>
              <w:rPr>
                <w:rFonts w:hint="eastAsia"/>
                <w:b/>
                <w:bCs/>
              </w:rPr>
              <w:t>工程</w:t>
            </w:r>
            <w:r>
              <w:rPr>
                <w:b/>
                <w:bCs/>
              </w:rPr>
              <w:t>、暖通工程、消防工程、室外管网、安装配套停车管理系统。</w:t>
            </w:r>
          </w:p>
        </w:tc>
        <w:tc>
          <w:tcPr>
            <w:tcW w:w="1499" w:type="dxa"/>
            <w:shd w:val="clear" w:color="000000" w:fill="FFFFFF"/>
            <w:vAlign w:val="center"/>
          </w:tcPr>
          <w:p w14:paraId="75748832">
            <w:pPr>
              <w:pStyle w:val="41"/>
              <w:rPr>
                <w:rFonts w:hint="eastAsia"/>
                <w:b/>
                <w:bCs/>
              </w:rPr>
            </w:pPr>
            <w:r>
              <w:rPr>
                <w:b/>
                <w:bCs/>
              </w:rPr>
              <w:t>廊坊市城市管理综合行政执法局</w:t>
            </w:r>
          </w:p>
        </w:tc>
      </w:tr>
      <w:tr w14:paraId="6ACEF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38F4843">
            <w:pPr>
              <w:pStyle w:val="41"/>
              <w:rPr>
                <w:rFonts w:hint="eastAsia"/>
                <w:b/>
                <w:bCs/>
              </w:rPr>
            </w:pPr>
            <w:r>
              <w:rPr>
                <w:b/>
                <w:bCs/>
              </w:rPr>
              <w:t>5</w:t>
            </w:r>
          </w:p>
        </w:tc>
        <w:tc>
          <w:tcPr>
            <w:tcW w:w="2023" w:type="dxa"/>
            <w:shd w:val="clear" w:color="000000" w:fill="FFFFFF"/>
            <w:vAlign w:val="center"/>
          </w:tcPr>
          <w:p w14:paraId="1AD3F614">
            <w:pPr>
              <w:pStyle w:val="41"/>
              <w:rPr>
                <w:rFonts w:hint="eastAsia"/>
                <w:b/>
                <w:bCs/>
              </w:rPr>
            </w:pPr>
            <w:r>
              <w:rPr>
                <w:b/>
                <w:bCs/>
              </w:rPr>
              <w:t>瑞丰公园停车场建设项目</w:t>
            </w:r>
          </w:p>
        </w:tc>
        <w:tc>
          <w:tcPr>
            <w:tcW w:w="8880" w:type="dxa"/>
            <w:shd w:val="clear" w:color="000000" w:fill="FFFFFF"/>
            <w:vAlign w:val="center"/>
          </w:tcPr>
          <w:p w14:paraId="50941889">
            <w:pPr>
              <w:pStyle w:val="41"/>
              <w:rPr>
                <w:rFonts w:hint="eastAsia"/>
                <w:b/>
                <w:bCs/>
              </w:rPr>
            </w:pPr>
            <w:r>
              <w:rPr>
                <w:b/>
                <w:bCs/>
              </w:rPr>
              <w:t>总建筑面积12448.24平方米，项目建成后，可增加地下停车位303个。拟对瑞丰公园临街一角及十四小操场南侧建设一个地下停车库。实施工程主要包括绿化拆除及恢复工程、桩基及基坑支护、土建工程、电气工程、给排水工程、暖通工程、消防工程、室外管网以及安装配套停车管理系统</w:t>
            </w:r>
          </w:p>
        </w:tc>
        <w:tc>
          <w:tcPr>
            <w:tcW w:w="1499" w:type="dxa"/>
            <w:shd w:val="clear" w:color="000000" w:fill="FFFFFF"/>
            <w:vAlign w:val="center"/>
          </w:tcPr>
          <w:p w14:paraId="5C7E0D3E">
            <w:pPr>
              <w:pStyle w:val="41"/>
              <w:rPr>
                <w:rFonts w:hint="eastAsia"/>
                <w:b/>
                <w:bCs/>
              </w:rPr>
            </w:pPr>
            <w:r>
              <w:rPr>
                <w:b/>
                <w:bCs/>
              </w:rPr>
              <w:t>廊坊市城市管理综合行政执法局</w:t>
            </w:r>
          </w:p>
        </w:tc>
      </w:tr>
      <w:tr w14:paraId="72A4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1C09467">
            <w:pPr>
              <w:pStyle w:val="41"/>
              <w:rPr>
                <w:rFonts w:hint="eastAsia"/>
                <w:b/>
                <w:bCs/>
              </w:rPr>
            </w:pPr>
            <w:r>
              <w:rPr>
                <w:b/>
                <w:bCs/>
              </w:rPr>
              <w:t>6</w:t>
            </w:r>
          </w:p>
        </w:tc>
        <w:tc>
          <w:tcPr>
            <w:tcW w:w="2023" w:type="dxa"/>
            <w:shd w:val="clear" w:color="000000" w:fill="FFFFFF"/>
            <w:vAlign w:val="center"/>
          </w:tcPr>
          <w:p w14:paraId="7409EA30">
            <w:pPr>
              <w:pStyle w:val="41"/>
              <w:rPr>
                <w:rFonts w:hint="eastAsia"/>
                <w:b/>
                <w:bCs/>
              </w:rPr>
            </w:pPr>
            <w:r>
              <w:rPr>
                <w:b/>
                <w:bCs/>
              </w:rPr>
              <w:t>文明公园停车场建设项目</w:t>
            </w:r>
          </w:p>
        </w:tc>
        <w:tc>
          <w:tcPr>
            <w:tcW w:w="8880" w:type="dxa"/>
            <w:shd w:val="clear" w:color="000000" w:fill="FFFFFF"/>
            <w:vAlign w:val="center"/>
          </w:tcPr>
          <w:p w14:paraId="3B6A2B2C">
            <w:pPr>
              <w:pStyle w:val="41"/>
              <w:rPr>
                <w:rFonts w:hint="eastAsia"/>
                <w:b/>
                <w:bCs/>
              </w:rPr>
            </w:pPr>
            <w:r>
              <w:rPr>
                <w:b/>
                <w:bCs/>
              </w:rPr>
              <w:t>本项目总占地面积6871.55</w:t>
            </w:r>
            <w:r>
              <w:rPr>
                <w:rFonts w:hint="eastAsia"/>
                <w:b/>
                <w:bCs/>
              </w:rPr>
              <w:t>㎡</w:t>
            </w:r>
            <w:r>
              <w:rPr>
                <w:b/>
                <w:bCs/>
              </w:rPr>
              <w:t>，总建筑面积6372</w:t>
            </w:r>
            <w:r>
              <w:rPr>
                <w:rFonts w:hint="eastAsia"/>
                <w:b/>
                <w:bCs/>
              </w:rPr>
              <w:t>㎡</w:t>
            </w:r>
            <w:r>
              <w:rPr>
                <w:b/>
                <w:bCs/>
              </w:rPr>
              <w:t>。建成后，可增加地下停车位153个，本项目拟对文明公园实施改造提升，保留游园功能，新增地下停车场及配套商业功能。实施工程主要包括公园拆除及恢复工程，土建工程、电气工程、给排水工程、暖通工程、消防工程、室外管网以及安装配套停车管理系统。</w:t>
            </w:r>
          </w:p>
        </w:tc>
        <w:tc>
          <w:tcPr>
            <w:tcW w:w="1499" w:type="dxa"/>
            <w:shd w:val="clear" w:color="000000" w:fill="FFFFFF"/>
            <w:vAlign w:val="center"/>
          </w:tcPr>
          <w:p w14:paraId="73071B03">
            <w:pPr>
              <w:pStyle w:val="41"/>
              <w:rPr>
                <w:rFonts w:hint="eastAsia"/>
                <w:b/>
                <w:bCs/>
              </w:rPr>
            </w:pPr>
            <w:r>
              <w:rPr>
                <w:b/>
                <w:bCs/>
              </w:rPr>
              <w:t>廊坊市城市管理综合行政执法局</w:t>
            </w:r>
          </w:p>
        </w:tc>
      </w:tr>
      <w:tr w14:paraId="7A623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FA1CAD3">
            <w:pPr>
              <w:pStyle w:val="41"/>
              <w:rPr>
                <w:rFonts w:hint="eastAsia"/>
                <w:b/>
                <w:bCs/>
              </w:rPr>
            </w:pPr>
            <w:r>
              <w:rPr>
                <w:b/>
                <w:bCs/>
              </w:rPr>
              <w:t>7</w:t>
            </w:r>
          </w:p>
        </w:tc>
        <w:tc>
          <w:tcPr>
            <w:tcW w:w="2023" w:type="dxa"/>
            <w:shd w:val="clear" w:color="000000" w:fill="FFFFFF"/>
            <w:vAlign w:val="center"/>
          </w:tcPr>
          <w:p w14:paraId="1CEEC31E">
            <w:pPr>
              <w:pStyle w:val="41"/>
              <w:rPr>
                <w:rFonts w:hint="eastAsia"/>
                <w:b/>
                <w:bCs/>
              </w:rPr>
            </w:pPr>
            <w:r>
              <w:rPr>
                <w:rFonts w:hint="eastAsia"/>
                <w:b/>
                <w:bCs/>
              </w:rPr>
              <w:t>开发区友谊路东侧、百合道北侧公共智能停车场项目</w:t>
            </w:r>
          </w:p>
        </w:tc>
        <w:tc>
          <w:tcPr>
            <w:tcW w:w="8880" w:type="dxa"/>
            <w:shd w:val="clear" w:color="000000" w:fill="FFFFFF"/>
            <w:vAlign w:val="center"/>
          </w:tcPr>
          <w:p w14:paraId="0EC00DCC">
            <w:pPr>
              <w:pStyle w:val="41"/>
              <w:rPr>
                <w:rFonts w:hint="eastAsia"/>
                <w:b/>
                <w:bCs/>
              </w:rPr>
            </w:pPr>
            <w:r>
              <w:rPr>
                <w:b/>
                <w:bCs/>
              </w:rPr>
              <w:t>本项目总占地面积为8933.4㎡（约13.4亩），其中：建筑物占地面积为1786㎡，绿化面积为1786㎡，道路及广场面积为5360㎡。总建筑面积5360㎡，主要建设内容为智能停车场、附属商业及配套设施。</w:t>
            </w:r>
          </w:p>
        </w:tc>
        <w:tc>
          <w:tcPr>
            <w:tcW w:w="1499" w:type="dxa"/>
            <w:shd w:val="clear" w:color="000000" w:fill="FFFFFF"/>
            <w:vAlign w:val="center"/>
          </w:tcPr>
          <w:p w14:paraId="78DE11EA">
            <w:pPr>
              <w:pStyle w:val="41"/>
              <w:rPr>
                <w:rFonts w:hint="eastAsia"/>
                <w:b/>
                <w:bCs/>
              </w:rPr>
            </w:pPr>
            <w:r>
              <w:rPr>
                <w:b/>
                <w:bCs/>
              </w:rPr>
              <w:t>廊坊保航智能停车管理有限公司</w:t>
            </w:r>
          </w:p>
        </w:tc>
      </w:tr>
      <w:tr w14:paraId="327EB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3F6E671">
            <w:pPr>
              <w:pStyle w:val="41"/>
              <w:rPr>
                <w:rFonts w:hint="eastAsia"/>
                <w:b/>
                <w:bCs/>
              </w:rPr>
            </w:pPr>
            <w:r>
              <w:rPr>
                <w:b/>
                <w:bCs/>
              </w:rPr>
              <w:t>8</w:t>
            </w:r>
          </w:p>
        </w:tc>
        <w:tc>
          <w:tcPr>
            <w:tcW w:w="2023" w:type="dxa"/>
            <w:shd w:val="clear" w:color="000000" w:fill="FFFFFF"/>
            <w:vAlign w:val="center"/>
          </w:tcPr>
          <w:p w14:paraId="51F338EB">
            <w:pPr>
              <w:pStyle w:val="41"/>
              <w:rPr>
                <w:rFonts w:hint="eastAsia"/>
                <w:b/>
                <w:bCs/>
              </w:rPr>
            </w:pPr>
            <w:r>
              <w:rPr>
                <w:b/>
                <w:bCs/>
              </w:rPr>
              <w:t>新源道智慧停车场项目</w:t>
            </w:r>
          </w:p>
        </w:tc>
        <w:tc>
          <w:tcPr>
            <w:tcW w:w="8880" w:type="dxa"/>
            <w:shd w:val="clear" w:color="000000" w:fill="FFFFFF"/>
            <w:vAlign w:val="center"/>
          </w:tcPr>
          <w:p w14:paraId="7ADB6E3A">
            <w:pPr>
              <w:pStyle w:val="41"/>
              <w:rPr>
                <w:rFonts w:hint="eastAsia"/>
                <w:b/>
                <w:bCs/>
              </w:rPr>
            </w:pPr>
            <w:r>
              <w:rPr>
                <w:rFonts w:hint="eastAsia"/>
                <w:b/>
                <w:bCs/>
              </w:rPr>
              <w:t>本项目总占地面积</w:t>
            </w:r>
            <w:r>
              <w:rPr>
                <w:b/>
                <w:bCs/>
              </w:rPr>
              <w:t>5000</w:t>
            </w:r>
            <w:r>
              <w:rPr>
                <w:rFonts w:hint="eastAsia"/>
                <w:b/>
                <w:bCs/>
              </w:rPr>
              <w:t>平方米（约合</w:t>
            </w:r>
            <w:r>
              <w:rPr>
                <w:b/>
                <w:bCs/>
              </w:rPr>
              <w:t>7.5</w:t>
            </w:r>
            <w:r>
              <w:rPr>
                <w:rFonts w:hint="eastAsia"/>
                <w:b/>
                <w:bCs/>
              </w:rPr>
              <w:t>亩），总建筑面积</w:t>
            </w:r>
            <w:r>
              <w:rPr>
                <w:b/>
                <w:bCs/>
              </w:rPr>
              <w:t>3000</w:t>
            </w:r>
            <w:r>
              <w:rPr>
                <w:rFonts w:hint="eastAsia"/>
                <w:b/>
                <w:bCs/>
              </w:rPr>
              <w:t>平方米，主要建设地上</w:t>
            </w:r>
            <w:r>
              <w:rPr>
                <w:b/>
                <w:bCs/>
              </w:rPr>
              <w:t>3</w:t>
            </w:r>
            <w:r>
              <w:rPr>
                <w:rFonts w:hint="eastAsia"/>
                <w:b/>
                <w:bCs/>
              </w:rPr>
              <w:t>层地下</w:t>
            </w:r>
            <w:r>
              <w:rPr>
                <w:b/>
                <w:bCs/>
              </w:rPr>
              <w:t>1</w:t>
            </w:r>
            <w:r>
              <w:rPr>
                <w:rFonts w:hint="eastAsia"/>
                <w:b/>
                <w:bCs/>
              </w:rPr>
              <w:t>层停车楼</w:t>
            </w:r>
            <w:r>
              <w:rPr>
                <w:b/>
                <w:bCs/>
              </w:rPr>
              <w:t>1</w:t>
            </w:r>
            <w:r>
              <w:rPr>
                <w:rFonts w:hint="eastAsia"/>
                <w:b/>
                <w:bCs/>
              </w:rPr>
              <w:t>栋及配套设施等。</w:t>
            </w:r>
          </w:p>
        </w:tc>
        <w:tc>
          <w:tcPr>
            <w:tcW w:w="1499" w:type="dxa"/>
            <w:shd w:val="clear" w:color="000000" w:fill="FFFFFF"/>
            <w:vAlign w:val="center"/>
          </w:tcPr>
          <w:p w14:paraId="4F20A5A0">
            <w:pPr>
              <w:pStyle w:val="41"/>
              <w:rPr>
                <w:rFonts w:hint="eastAsia"/>
                <w:b/>
                <w:bCs/>
              </w:rPr>
            </w:pPr>
            <w:r>
              <w:rPr>
                <w:b/>
                <w:bCs/>
              </w:rPr>
              <w:t>河北智泊通停车服务有限公司</w:t>
            </w:r>
          </w:p>
        </w:tc>
      </w:tr>
      <w:tr w14:paraId="51E7F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326571C">
            <w:pPr>
              <w:pStyle w:val="41"/>
              <w:rPr>
                <w:rFonts w:hint="eastAsia"/>
                <w:b/>
                <w:bCs/>
              </w:rPr>
            </w:pPr>
            <w:r>
              <w:rPr>
                <w:b/>
                <w:bCs/>
              </w:rPr>
              <w:t>9</w:t>
            </w:r>
          </w:p>
        </w:tc>
        <w:tc>
          <w:tcPr>
            <w:tcW w:w="2023" w:type="dxa"/>
            <w:shd w:val="clear" w:color="000000" w:fill="FFFFFF"/>
            <w:vAlign w:val="center"/>
          </w:tcPr>
          <w:p w14:paraId="30E8B566">
            <w:pPr>
              <w:pStyle w:val="41"/>
              <w:rPr>
                <w:rFonts w:hint="eastAsia"/>
                <w:b/>
                <w:bCs/>
              </w:rPr>
            </w:pPr>
            <w:r>
              <w:rPr>
                <w:b/>
                <w:bCs/>
              </w:rPr>
              <w:t>银河南路改造提升工程</w:t>
            </w:r>
          </w:p>
        </w:tc>
        <w:tc>
          <w:tcPr>
            <w:tcW w:w="8880" w:type="dxa"/>
            <w:shd w:val="clear" w:color="000000" w:fill="FFFFFF"/>
            <w:vAlign w:val="center"/>
          </w:tcPr>
          <w:p w14:paraId="6A83D6EE">
            <w:pPr>
              <w:pStyle w:val="41"/>
              <w:rPr>
                <w:rFonts w:hint="eastAsia"/>
                <w:b/>
                <w:bCs/>
              </w:rPr>
            </w:pPr>
            <w:r>
              <w:rPr>
                <w:b/>
                <w:bCs/>
              </w:rPr>
              <w:t>全长约3.5km。工程内容为将银河南路由现状双向四车道拓宽改造为双向六车道，提高道路通行能力</w:t>
            </w:r>
          </w:p>
        </w:tc>
        <w:tc>
          <w:tcPr>
            <w:tcW w:w="1499" w:type="dxa"/>
            <w:shd w:val="clear" w:color="000000" w:fill="FFFFFF"/>
            <w:vAlign w:val="center"/>
          </w:tcPr>
          <w:p w14:paraId="5ED9503C">
            <w:pPr>
              <w:pStyle w:val="41"/>
              <w:rPr>
                <w:rFonts w:hint="eastAsia"/>
                <w:b/>
                <w:bCs/>
              </w:rPr>
            </w:pPr>
            <w:r>
              <w:rPr>
                <w:b/>
                <w:bCs/>
              </w:rPr>
              <w:t>廊坊市住建局</w:t>
            </w:r>
          </w:p>
        </w:tc>
      </w:tr>
      <w:tr w14:paraId="2FFDA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BF863FE">
            <w:pPr>
              <w:pStyle w:val="41"/>
              <w:rPr>
                <w:rFonts w:hint="eastAsia"/>
                <w:b/>
                <w:bCs/>
              </w:rPr>
            </w:pPr>
            <w:r>
              <w:rPr>
                <w:b/>
                <w:bCs/>
              </w:rPr>
              <w:t>10</w:t>
            </w:r>
          </w:p>
        </w:tc>
        <w:tc>
          <w:tcPr>
            <w:tcW w:w="2023" w:type="dxa"/>
            <w:shd w:val="clear" w:color="000000" w:fill="FFFFFF"/>
            <w:vAlign w:val="center"/>
          </w:tcPr>
          <w:p w14:paraId="1320F4D2">
            <w:pPr>
              <w:pStyle w:val="41"/>
              <w:rPr>
                <w:rFonts w:hint="eastAsia"/>
                <w:b/>
                <w:bCs/>
              </w:rPr>
            </w:pPr>
            <w:r>
              <w:rPr>
                <w:b/>
                <w:bCs/>
              </w:rPr>
              <w:t>永华道（永兴路</w:t>
            </w:r>
            <w:r>
              <w:rPr>
                <w:rFonts w:hint="eastAsia"/>
                <w:b/>
                <w:bCs/>
              </w:rPr>
              <w:t>－－</w:t>
            </w:r>
            <w:r>
              <w:rPr>
                <w:b/>
                <w:bCs/>
              </w:rPr>
              <w:t>西昌路）（银河路</w:t>
            </w:r>
            <w:r>
              <w:rPr>
                <w:rFonts w:hint="eastAsia"/>
                <w:b/>
                <w:bCs/>
              </w:rPr>
              <w:t>－－</w:t>
            </w:r>
            <w:r>
              <w:rPr>
                <w:b/>
                <w:bCs/>
              </w:rPr>
              <w:t>建设路）道路工程</w:t>
            </w:r>
          </w:p>
        </w:tc>
        <w:tc>
          <w:tcPr>
            <w:tcW w:w="8880" w:type="dxa"/>
            <w:shd w:val="clear" w:color="000000" w:fill="FFFFFF"/>
            <w:vAlign w:val="center"/>
          </w:tcPr>
          <w:p w14:paraId="725CE531">
            <w:pPr>
              <w:pStyle w:val="41"/>
              <w:rPr>
                <w:rFonts w:hint="eastAsia"/>
                <w:b/>
                <w:bCs/>
              </w:rPr>
            </w:pPr>
            <w:r>
              <w:rPr>
                <w:b/>
                <w:bCs/>
              </w:rPr>
              <w:t>道路长3100米，红线50米</w:t>
            </w:r>
          </w:p>
        </w:tc>
        <w:tc>
          <w:tcPr>
            <w:tcW w:w="1499" w:type="dxa"/>
            <w:shd w:val="clear" w:color="000000" w:fill="FFFFFF"/>
            <w:vAlign w:val="center"/>
          </w:tcPr>
          <w:p w14:paraId="70D17EE3">
            <w:pPr>
              <w:pStyle w:val="41"/>
              <w:rPr>
                <w:rFonts w:hint="eastAsia"/>
                <w:b/>
                <w:bCs/>
              </w:rPr>
            </w:pPr>
            <w:r>
              <w:rPr>
                <w:b/>
                <w:bCs/>
              </w:rPr>
              <w:t>廊坊市住建局</w:t>
            </w:r>
          </w:p>
        </w:tc>
      </w:tr>
      <w:tr w14:paraId="07D19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21C047F">
            <w:pPr>
              <w:pStyle w:val="41"/>
              <w:rPr>
                <w:rFonts w:hint="eastAsia"/>
                <w:b/>
                <w:bCs/>
              </w:rPr>
            </w:pPr>
            <w:r>
              <w:rPr>
                <w:b/>
                <w:bCs/>
              </w:rPr>
              <w:t>11</w:t>
            </w:r>
          </w:p>
        </w:tc>
        <w:tc>
          <w:tcPr>
            <w:tcW w:w="2023" w:type="dxa"/>
            <w:shd w:val="clear" w:color="000000" w:fill="FFFFFF"/>
            <w:vAlign w:val="center"/>
          </w:tcPr>
          <w:p w14:paraId="77E5451D">
            <w:pPr>
              <w:pStyle w:val="41"/>
              <w:rPr>
                <w:rFonts w:hint="eastAsia"/>
                <w:b/>
                <w:bCs/>
              </w:rPr>
            </w:pPr>
            <w:r>
              <w:rPr>
                <w:b/>
                <w:bCs/>
              </w:rPr>
              <w:t>新建廊坊市第三十二小学项目</w:t>
            </w:r>
          </w:p>
        </w:tc>
        <w:tc>
          <w:tcPr>
            <w:tcW w:w="8880" w:type="dxa"/>
            <w:shd w:val="clear" w:color="000000" w:fill="FFFFFF"/>
            <w:vAlign w:val="center"/>
          </w:tcPr>
          <w:p w14:paraId="31996697">
            <w:pPr>
              <w:pStyle w:val="41"/>
              <w:rPr>
                <w:rFonts w:hint="eastAsia"/>
                <w:b/>
                <w:bCs/>
              </w:rPr>
            </w:pPr>
            <w:r>
              <w:rPr>
                <w:b/>
                <w:bCs/>
              </w:rPr>
              <w:t>建设规模约26782平方米，建设内容小学教学楼、操场等</w:t>
            </w:r>
          </w:p>
        </w:tc>
        <w:tc>
          <w:tcPr>
            <w:tcW w:w="1499" w:type="dxa"/>
            <w:shd w:val="clear" w:color="000000" w:fill="FFFFFF"/>
            <w:vAlign w:val="center"/>
          </w:tcPr>
          <w:p w14:paraId="65018ED6">
            <w:pPr>
              <w:pStyle w:val="41"/>
              <w:rPr>
                <w:rFonts w:hint="eastAsia"/>
                <w:b/>
                <w:bCs/>
              </w:rPr>
            </w:pPr>
            <w:r>
              <w:rPr>
                <w:b/>
                <w:bCs/>
              </w:rPr>
              <w:t>廊坊市广阳区教育和体育局</w:t>
            </w:r>
          </w:p>
        </w:tc>
      </w:tr>
      <w:tr w14:paraId="1129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F5035AB">
            <w:pPr>
              <w:pStyle w:val="41"/>
              <w:rPr>
                <w:rFonts w:hint="eastAsia"/>
                <w:b/>
                <w:bCs/>
              </w:rPr>
            </w:pPr>
            <w:r>
              <w:rPr>
                <w:b/>
                <w:bCs/>
              </w:rPr>
              <w:t>12</w:t>
            </w:r>
          </w:p>
        </w:tc>
        <w:tc>
          <w:tcPr>
            <w:tcW w:w="2023" w:type="dxa"/>
            <w:shd w:val="clear" w:color="000000" w:fill="FFFFFF"/>
            <w:vAlign w:val="center"/>
          </w:tcPr>
          <w:p w14:paraId="1327A7B5">
            <w:pPr>
              <w:pStyle w:val="41"/>
              <w:rPr>
                <w:rFonts w:hint="eastAsia"/>
                <w:b/>
                <w:bCs/>
              </w:rPr>
            </w:pPr>
            <w:r>
              <w:rPr>
                <w:b/>
                <w:bCs/>
              </w:rPr>
              <w:t>管道局中学第一附属小学改扩建工程</w:t>
            </w:r>
          </w:p>
        </w:tc>
        <w:tc>
          <w:tcPr>
            <w:tcW w:w="8880" w:type="dxa"/>
            <w:shd w:val="clear" w:color="000000" w:fill="FFFFFF"/>
            <w:vAlign w:val="center"/>
          </w:tcPr>
          <w:p w14:paraId="73598246">
            <w:pPr>
              <w:pStyle w:val="41"/>
              <w:rPr>
                <w:rFonts w:hint="eastAsia"/>
                <w:b/>
                <w:bCs/>
              </w:rPr>
            </w:pPr>
            <w:r>
              <w:rPr>
                <w:b/>
                <w:bCs/>
              </w:rPr>
              <w:t>1、新建综合教学楼一栋。建筑面积7000平方米。2、新建风雨操场一栋，建筑面积1700平方米。3、新建看台和门卫室各一个，建筑面积550平方米。4、地下车库及教学辅助用房，建筑面积8610平方米。5、室内外装修，建筑面积2860平方米。6、完善教育教学设施设备、美化、绿化等配套改造工程。</w:t>
            </w:r>
          </w:p>
        </w:tc>
        <w:tc>
          <w:tcPr>
            <w:tcW w:w="1499" w:type="dxa"/>
            <w:shd w:val="clear" w:color="000000" w:fill="FFFFFF"/>
            <w:vAlign w:val="center"/>
          </w:tcPr>
          <w:p w14:paraId="4BE7A81F">
            <w:pPr>
              <w:pStyle w:val="41"/>
              <w:rPr>
                <w:rFonts w:hint="eastAsia"/>
                <w:b/>
                <w:bCs/>
              </w:rPr>
            </w:pPr>
            <w:r>
              <w:rPr>
                <w:b/>
                <w:bCs/>
              </w:rPr>
              <w:t>中国石油天然气管道局中学</w:t>
            </w:r>
          </w:p>
        </w:tc>
      </w:tr>
      <w:tr w14:paraId="577CA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244B5B5">
            <w:pPr>
              <w:pStyle w:val="41"/>
              <w:rPr>
                <w:rFonts w:hint="eastAsia"/>
                <w:b/>
                <w:bCs/>
              </w:rPr>
            </w:pPr>
            <w:r>
              <w:rPr>
                <w:b/>
                <w:bCs/>
              </w:rPr>
              <w:t>13</w:t>
            </w:r>
          </w:p>
        </w:tc>
        <w:tc>
          <w:tcPr>
            <w:tcW w:w="2023" w:type="dxa"/>
            <w:shd w:val="clear" w:color="000000" w:fill="FFFFFF"/>
            <w:vAlign w:val="center"/>
          </w:tcPr>
          <w:p w14:paraId="20FB87CB">
            <w:pPr>
              <w:pStyle w:val="41"/>
              <w:rPr>
                <w:rFonts w:hint="eastAsia"/>
                <w:b/>
                <w:bCs/>
              </w:rPr>
            </w:pPr>
            <w:r>
              <w:rPr>
                <w:b/>
                <w:bCs/>
              </w:rPr>
              <w:t>廊坊市第三十小学新建项目</w:t>
            </w:r>
          </w:p>
        </w:tc>
        <w:tc>
          <w:tcPr>
            <w:tcW w:w="8880" w:type="dxa"/>
            <w:shd w:val="clear" w:color="000000" w:fill="FFFFFF"/>
            <w:vAlign w:val="center"/>
          </w:tcPr>
          <w:p w14:paraId="6C954293">
            <w:pPr>
              <w:pStyle w:val="41"/>
              <w:rPr>
                <w:rFonts w:hint="eastAsia"/>
                <w:b/>
                <w:bCs/>
              </w:rPr>
            </w:pPr>
            <w:r>
              <w:rPr>
                <w:b/>
                <w:bCs/>
              </w:rPr>
              <w:t>项目占地面积30000平方米（45亩），规划建筑面积13985平方米</w:t>
            </w:r>
          </w:p>
        </w:tc>
        <w:tc>
          <w:tcPr>
            <w:tcW w:w="1499" w:type="dxa"/>
            <w:shd w:val="clear" w:color="000000" w:fill="FFFFFF"/>
            <w:vAlign w:val="center"/>
          </w:tcPr>
          <w:p w14:paraId="3527EB5A">
            <w:pPr>
              <w:pStyle w:val="41"/>
              <w:rPr>
                <w:rFonts w:hint="eastAsia"/>
                <w:b/>
                <w:bCs/>
              </w:rPr>
            </w:pPr>
            <w:r>
              <w:rPr>
                <w:b/>
                <w:bCs/>
              </w:rPr>
              <w:t>廊坊市安次区教育和体育局</w:t>
            </w:r>
          </w:p>
        </w:tc>
      </w:tr>
      <w:tr w14:paraId="7D49B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56724C9">
            <w:pPr>
              <w:pStyle w:val="41"/>
              <w:rPr>
                <w:rFonts w:hint="eastAsia"/>
                <w:b/>
                <w:bCs/>
              </w:rPr>
            </w:pPr>
            <w:r>
              <w:rPr>
                <w:b/>
                <w:bCs/>
              </w:rPr>
              <w:t>14</w:t>
            </w:r>
          </w:p>
        </w:tc>
        <w:tc>
          <w:tcPr>
            <w:tcW w:w="2023" w:type="dxa"/>
            <w:shd w:val="clear" w:color="000000" w:fill="FFFFFF"/>
            <w:vAlign w:val="center"/>
          </w:tcPr>
          <w:p w14:paraId="40FB2330">
            <w:pPr>
              <w:pStyle w:val="41"/>
              <w:rPr>
                <w:rFonts w:hint="eastAsia"/>
                <w:b/>
                <w:bCs/>
              </w:rPr>
            </w:pPr>
            <w:r>
              <w:rPr>
                <w:b/>
                <w:bCs/>
              </w:rPr>
              <w:t>廊坊市第二十九小学新建项目</w:t>
            </w:r>
          </w:p>
        </w:tc>
        <w:tc>
          <w:tcPr>
            <w:tcW w:w="8880" w:type="dxa"/>
            <w:shd w:val="clear" w:color="000000" w:fill="FFFFFF"/>
            <w:vAlign w:val="center"/>
          </w:tcPr>
          <w:p w14:paraId="7D81BF0D">
            <w:pPr>
              <w:pStyle w:val="41"/>
              <w:rPr>
                <w:rFonts w:hint="eastAsia"/>
                <w:b/>
                <w:bCs/>
              </w:rPr>
            </w:pPr>
            <w:r>
              <w:rPr>
                <w:b/>
                <w:bCs/>
              </w:rPr>
              <w:t>项目总用地面积为22900.11平方米（合34.35亩）</w:t>
            </w:r>
          </w:p>
        </w:tc>
        <w:tc>
          <w:tcPr>
            <w:tcW w:w="1499" w:type="dxa"/>
            <w:shd w:val="clear" w:color="000000" w:fill="FFFFFF"/>
            <w:vAlign w:val="center"/>
          </w:tcPr>
          <w:p w14:paraId="758B5506">
            <w:pPr>
              <w:pStyle w:val="41"/>
              <w:rPr>
                <w:rFonts w:hint="eastAsia"/>
                <w:b/>
                <w:bCs/>
              </w:rPr>
            </w:pPr>
            <w:r>
              <w:rPr>
                <w:b/>
                <w:bCs/>
              </w:rPr>
              <w:t>廊坊市安次区教育和体育局</w:t>
            </w:r>
          </w:p>
        </w:tc>
      </w:tr>
      <w:tr w14:paraId="69BA6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033E637">
            <w:pPr>
              <w:pStyle w:val="41"/>
              <w:rPr>
                <w:rFonts w:hint="eastAsia"/>
                <w:b/>
                <w:bCs/>
              </w:rPr>
            </w:pPr>
            <w:r>
              <w:rPr>
                <w:b/>
                <w:bCs/>
              </w:rPr>
              <w:t>15</w:t>
            </w:r>
          </w:p>
        </w:tc>
        <w:tc>
          <w:tcPr>
            <w:tcW w:w="2023" w:type="dxa"/>
            <w:shd w:val="clear" w:color="000000" w:fill="FFFFFF"/>
            <w:vAlign w:val="center"/>
          </w:tcPr>
          <w:p w14:paraId="321398A2">
            <w:pPr>
              <w:pStyle w:val="41"/>
              <w:rPr>
                <w:rFonts w:hint="eastAsia"/>
                <w:b/>
                <w:bCs/>
              </w:rPr>
            </w:pPr>
            <w:r>
              <w:rPr>
                <w:b/>
                <w:bCs/>
              </w:rPr>
              <w:t>新建廊坊市第三十一小学</w:t>
            </w:r>
          </w:p>
        </w:tc>
        <w:tc>
          <w:tcPr>
            <w:tcW w:w="8880" w:type="dxa"/>
            <w:shd w:val="clear" w:color="000000" w:fill="FFFFFF"/>
            <w:vAlign w:val="center"/>
          </w:tcPr>
          <w:p w14:paraId="34D351B9">
            <w:pPr>
              <w:pStyle w:val="41"/>
              <w:rPr>
                <w:rFonts w:hint="eastAsia"/>
                <w:b/>
                <w:bCs/>
              </w:rPr>
            </w:pPr>
            <w:r>
              <w:rPr>
                <w:b/>
                <w:bCs/>
              </w:rPr>
              <w:t>建设规模18043平米，主要建设教学楼/综合楼、大会议室、风雨操场，门卫，半地下车库，地下室等</w:t>
            </w:r>
          </w:p>
        </w:tc>
        <w:tc>
          <w:tcPr>
            <w:tcW w:w="1499" w:type="dxa"/>
            <w:shd w:val="clear" w:color="000000" w:fill="FFFFFF"/>
            <w:vAlign w:val="center"/>
          </w:tcPr>
          <w:p w14:paraId="29F2FC00">
            <w:pPr>
              <w:pStyle w:val="41"/>
              <w:rPr>
                <w:rFonts w:hint="eastAsia"/>
                <w:b/>
                <w:bCs/>
              </w:rPr>
            </w:pPr>
            <w:r>
              <w:rPr>
                <w:b/>
                <w:bCs/>
              </w:rPr>
              <w:t>廊坊市乾悦房地产开发有限公司</w:t>
            </w:r>
          </w:p>
        </w:tc>
      </w:tr>
      <w:tr w14:paraId="54734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EC21C34">
            <w:pPr>
              <w:pStyle w:val="41"/>
              <w:rPr>
                <w:rFonts w:hint="eastAsia"/>
                <w:b/>
                <w:bCs/>
              </w:rPr>
            </w:pPr>
            <w:r>
              <w:rPr>
                <w:b/>
                <w:bCs/>
              </w:rPr>
              <w:t>16</w:t>
            </w:r>
          </w:p>
        </w:tc>
        <w:tc>
          <w:tcPr>
            <w:tcW w:w="2023" w:type="dxa"/>
            <w:shd w:val="clear" w:color="000000" w:fill="FFFFFF"/>
            <w:vAlign w:val="center"/>
          </w:tcPr>
          <w:p w14:paraId="67C0B0E2">
            <w:pPr>
              <w:pStyle w:val="41"/>
              <w:rPr>
                <w:rFonts w:hint="eastAsia"/>
                <w:b/>
                <w:bCs/>
              </w:rPr>
            </w:pPr>
            <w:r>
              <w:rPr>
                <w:b/>
                <w:bCs/>
              </w:rPr>
              <w:t>廊坊市第十八中学改扩建项目</w:t>
            </w:r>
          </w:p>
        </w:tc>
        <w:tc>
          <w:tcPr>
            <w:tcW w:w="8880" w:type="dxa"/>
            <w:shd w:val="clear" w:color="000000" w:fill="FFFFFF"/>
            <w:vAlign w:val="center"/>
          </w:tcPr>
          <w:p w14:paraId="664EBE91">
            <w:pPr>
              <w:pStyle w:val="41"/>
              <w:rPr>
                <w:rFonts w:hint="eastAsia"/>
                <w:b/>
                <w:bCs/>
              </w:rPr>
            </w:pPr>
            <w:r>
              <w:rPr>
                <w:b/>
                <w:bCs/>
              </w:rPr>
              <w:t>本项目为廊坊市第十八中学改扩建项目，项目规划总用地面积41259.25㎡（61.89亩），总建筑面积34300㎡，其中地上建筑面积32500㎡，地下建筑面积1800㎡，建设内容包括教学楼、宿舍楼、风雨操场、食堂及配套附属工程等。</w:t>
            </w:r>
            <w:r>
              <w:rPr>
                <w:b/>
                <w:bCs/>
              </w:rPr>
              <w:br w:type="textWrapping"/>
            </w:r>
            <w:r>
              <w:rPr>
                <w:b/>
                <w:bCs/>
              </w:rPr>
              <w:t>项目建成后办学规模为12轨36个教学班，可容纳1800名学生。</w:t>
            </w:r>
          </w:p>
        </w:tc>
        <w:tc>
          <w:tcPr>
            <w:tcW w:w="1499" w:type="dxa"/>
            <w:shd w:val="clear" w:color="000000" w:fill="FFFFFF"/>
            <w:vAlign w:val="center"/>
          </w:tcPr>
          <w:p w14:paraId="75F1B32A">
            <w:pPr>
              <w:pStyle w:val="41"/>
              <w:rPr>
                <w:rFonts w:hint="eastAsia"/>
                <w:b/>
                <w:bCs/>
              </w:rPr>
            </w:pPr>
            <w:r>
              <w:rPr>
                <w:b/>
                <w:bCs/>
              </w:rPr>
              <w:t>廊坊市第十八中学</w:t>
            </w:r>
          </w:p>
        </w:tc>
      </w:tr>
      <w:tr w14:paraId="28D62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494689E">
            <w:pPr>
              <w:pStyle w:val="41"/>
              <w:rPr>
                <w:rFonts w:hint="eastAsia"/>
                <w:b/>
                <w:bCs/>
              </w:rPr>
            </w:pPr>
            <w:r>
              <w:rPr>
                <w:b/>
                <w:bCs/>
              </w:rPr>
              <w:t>17</w:t>
            </w:r>
          </w:p>
        </w:tc>
        <w:tc>
          <w:tcPr>
            <w:tcW w:w="2023" w:type="dxa"/>
            <w:shd w:val="clear" w:color="000000" w:fill="FFFFFF"/>
            <w:vAlign w:val="center"/>
          </w:tcPr>
          <w:p w14:paraId="2C7E52C3">
            <w:pPr>
              <w:pStyle w:val="41"/>
              <w:rPr>
                <w:rFonts w:hint="eastAsia"/>
                <w:b/>
                <w:bCs/>
              </w:rPr>
            </w:pPr>
            <w:r>
              <w:rPr>
                <w:b/>
                <w:bCs/>
              </w:rPr>
              <w:t>廊坊市第三十七小学新建项目</w:t>
            </w:r>
          </w:p>
        </w:tc>
        <w:tc>
          <w:tcPr>
            <w:tcW w:w="8880" w:type="dxa"/>
            <w:shd w:val="clear" w:color="000000" w:fill="FFFFFF"/>
            <w:vAlign w:val="center"/>
          </w:tcPr>
          <w:p w14:paraId="0539C2C2">
            <w:pPr>
              <w:pStyle w:val="41"/>
              <w:rPr>
                <w:rFonts w:hint="eastAsia"/>
                <w:b/>
                <w:bCs/>
              </w:rPr>
            </w:pPr>
            <w:r>
              <w:rPr>
                <w:b/>
                <w:bCs/>
              </w:rPr>
              <w:t>项目规划总用地面积36781.23㎡（55.17亩），总建筑面积28000㎡，其中地上建筑面积26480平方米，地下建筑面积1520平方米。建设内容包括教学楼、综合行政楼、体育馆、警卫室、地下车库及配套附属工程等。项目建成后办学规模为6轨36个教学班，可容纳1620名学生。</w:t>
            </w:r>
          </w:p>
        </w:tc>
        <w:tc>
          <w:tcPr>
            <w:tcW w:w="1499" w:type="dxa"/>
            <w:shd w:val="clear" w:color="000000" w:fill="FFFFFF"/>
            <w:vAlign w:val="center"/>
          </w:tcPr>
          <w:p w14:paraId="13F13DA2">
            <w:pPr>
              <w:pStyle w:val="41"/>
              <w:rPr>
                <w:rFonts w:hint="eastAsia"/>
                <w:b/>
                <w:bCs/>
              </w:rPr>
            </w:pPr>
            <w:r>
              <w:rPr>
                <w:b/>
                <w:bCs/>
              </w:rPr>
              <w:t>廊坊市安次区教育和体育局</w:t>
            </w:r>
          </w:p>
        </w:tc>
      </w:tr>
      <w:tr w14:paraId="64994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AFC14D8">
            <w:pPr>
              <w:pStyle w:val="41"/>
              <w:rPr>
                <w:rFonts w:hint="eastAsia"/>
                <w:b/>
                <w:bCs/>
              </w:rPr>
            </w:pPr>
            <w:r>
              <w:rPr>
                <w:b/>
                <w:bCs/>
              </w:rPr>
              <w:t>18</w:t>
            </w:r>
          </w:p>
        </w:tc>
        <w:tc>
          <w:tcPr>
            <w:tcW w:w="2023" w:type="dxa"/>
            <w:shd w:val="clear" w:color="000000" w:fill="FFFFFF"/>
            <w:vAlign w:val="center"/>
          </w:tcPr>
          <w:p w14:paraId="73B86514">
            <w:pPr>
              <w:pStyle w:val="41"/>
              <w:rPr>
                <w:rFonts w:hint="eastAsia"/>
                <w:b/>
                <w:bCs/>
              </w:rPr>
            </w:pPr>
            <w:r>
              <w:rPr>
                <w:b/>
                <w:bCs/>
              </w:rPr>
              <w:t>廊坊市第三十八小学新建项目</w:t>
            </w:r>
          </w:p>
        </w:tc>
        <w:tc>
          <w:tcPr>
            <w:tcW w:w="8880" w:type="dxa"/>
            <w:shd w:val="clear" w:color="000000" w:fill="FFFFFF"/>
            <w:vAlign w:val="center"/>
          </w:tcPr>
          <w:p w14:paraId="040A9C77">
            <w:pPr>
              <w:pStyle w:val="41"/>
              <w:rPr>
                <w:rFonts w:hint="eastAsia"/>
                <w:b/>
                <w:bCs/>
              </w:rPr>
            </w:pPr>
            <w:r>
              <w:rPr>
                <w:b/>
                <w:bCs/>
              </w:rPr>
              <w:t>本项目总用地面积48.82亩，建筑基底面积9112.95平方米，绿地面积11391.19平方米，道路硬化、停车场及运动场地面积12042.12平方米。总建筑面积为19273.00平方米，主要建设教学楼、综合楼、风雨操场、门卫、地下车库及配套设施等。</w:t>
            </w:r>
          </w:p>
        </w:tc>
        <w:tc>
          <w:tcPr>
            <w:tcW w:w="1499" w:type="dxa"/>
            <w:shd w:val="clear" w:color="000000" w:fill="FFFFFF"/>
            <w:vAlign w:val="center"/>
          </w:tcPr>
          <w:p w14:paraId="26213FCC">
            <w:pPr>
              <w:pStyle w:val="41"/>
              <w:rPr>
                <w:rFonts w:hint="eastAsia"/>
                <w:b/>
                <w:bCs/>
              </w:rPr>
            </w:pPr>
            <w:r>
              <w:rPr>
                <w:b/>
                <w:bCs/>
              </w:rPr>
              <w:t>廊坊市广阳区教育和体育局</w:t>
            </w:r>
          </w:p>
        </w:tc>
      </w:tr>
      <w:tr w14:paraId="25EC5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690C7CE">
            <w:pPr>
              <w:pStyle w:val="41"/>
              <w:rPr>
                <w:rFonts w:hint="eastAsia"/>
                <w:b/>
                <w:bCs/>
              </w:rPr>
            </w:pPr>
            <w:r>
              <w:rPr>
                <w:b/>
                <w:bCs/>
              </w:rPr>
              <w:t>19</w:t>
            </w:r>
          </w:p>
        </w:tc>
        <w:tc>
          <w:tcPr>
            <w:tcW w:w="2023" w:type="dxa"/>
            <w:shd w:val="clear" w:color="000000" w:fill="FFFFFF"/>
            <w:vAlign w:val="center"/>
          </w:tcPr>
          <w:p w14:paraId="5B4E0925">
            <w:pPr>
              <w:pStyle w:val="41"/>
              <w:rPr>
                <w:rFonts w:hint="eastAsia"/>
                <w:b/>
                <w:bCs/>
              </w:rPr>
            </w:pPr>
            <w:r>
              <w:rPr>
                <w:b/>
                <w:bCs/>
              </w:rPr>
              <w:t>廊坊市第二十四中学新建项目</w:t>
            </w:r>
          </w:p>
        </w:tc>
        <w:tc>
          <w:tcPr>
            <w:tcW w:w="8880" w:type="dxa"/>
            <w:shd w:val="clear" w:color="000000" w:fill="FFFFFF"/>
            <w:vAlign w:val="center"/>
          </w:tcPr>
          <w:p w14:paraId="5BC1AC14">
            <w:pPr>
              <w:pStyle w:val="41"/>
              <w:rPr>
                <w:rFonts w:hint="eastAsia"/>
                <w:b/>
                <w:bCs/>
              </w:rPr>
            </w:pPr>
            <w:r>
              <w:rPr>
                <w:b/>
                <w:bCs/>
              </w:rPr>
              <w:t>本项目总用地面积约38.73亩）。总建筑面积为15208平方米，地上总建筑面积12908平方米，其中：教学楼8888平方米，综合楼1660平方米，风雨操场2160平方米，其他200平方米。地下总建筑面积2300平方米。主要建设教学楼、综合楼、风雨操场、门卫、地下车库及配套设施等。</w:t>
            </w:r>
          </w:p>
        </w:tc>
        <w:tc>
          <w:tcPr>
            <w:tcW w:w="1499" w:type="dxa"/>
            <w:shd w:val="clear" w:color="000000" w:fill="FFFFFF"/>
            <w:vAlign w:val="center"/>
          </w:tcPr>
          <w:p w14:paraId="2FF35ABA">
            <w:pPr>
              <w:pStyle w:val="41"/>
              <w:rPr>
                <w:rFonts w:hint="eastAsia"/>
                <w:b/>
                <w:bCs/>
              </w:rPr>
            </w:pPr>
            <w:r>
              <w:rPr>
                <w:b/>
                <w:bCs/>
              </w:rPr>
              <w:t>廊坊市广阳区教育和体育局</w:t>
            </w:r>
          </w:p>
        </w:tc>
      </w:tr>
      <w:tr w14:paraId="481DF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67D53DF">
            <w:pPr>
              <w:pStyle w:val="41"/>
              <w:rPr>
                <w:rFonts w:hint="eastAsia"/>
                <w:b/>
                <w:bCs/>
              </w:rPr>
            </w:pPr>
            <w:r>
              <w:rPr>
                <w:b/>
                <w:bCs/>
              </w:rPr>
              <w:t>20</w:t>
            </w:r>
          </w:p>
        </w:tc>
        <w:tc>
          <w:tcPr>
            <w:tcW w:w="2023" w:type="dxa"/>
            <w:shd w:val="clear" w:color="000000" w:fill="FFFFFF"/>
            <w:vAlign w:val="center"/>
          </w:tcPr>
          <w:p w14:paraId="41077C56">
            <w:pPr>
              <w:pStyle w:val="41"/>
              <w:rPr>
                <w:rFonts w:hint="eastAsia"/>
                <w:b/>
                <w:bCs/>
              </w:rPr>
            </w:pPr>
            <w:r>
              <w:rPr>
                <w:b/>
                <w:bCs/>
              </w:rPr>
              <w:t>新建廊坊市第三十四小学项目</w:t>
            </w:r>
          </w:p>
        </w:tc>
        <w:tc>
          <w:tcPr>
            <w:tcW w:w="8880" w:type="dxa"/>
            <w:shd w:val="clear" w:color="000000" w:fill="FFFFFF"/>
            <w:vAlign w:val="center"/>
          </w:tcPr>
          <w:p w14:paraId="5739BF7D">
            <w:pPr>
              <w:pStyle w:val="41"/>
              <w:rPr>
                <w:rFonts w:hint="eastAsia"/>
                <w:b/>
                <w:bCs/>
              </w:rPr>
            </w:pPr>
            <w:r>
              <w:rPr>
                <w:b/>
                <w:bCs/>
              </w:rPr>
              <w:t>建设规模约27000平方米，建设内容小学教学楼、操场等</w:t>
            </w:r>
          </w:p>
        </w:tc>
        <w:tc>
          <w:tcPr>
            <w:tcW w:w="1499" w:type="dxa"/>
            <w:shd w:val="clear" w:color="000000" w:fill="FFFFFF"/>
            <w:vAlign w:val="center"/>
          </w:tcPr>
          <w:p w14:paraId="5D740CDA">
            <w:pPr>
              <w:pStyle w:val="41"/>
              <w:rPr>
                <w:rFonts w:hint="eastAsia"/>
                <w:b/>
                <w:bCs/>
              </w:rPr>
            </w:pPr>
            <w:r>
              <w:rPr>
                <w:b/>
                <w:bCs/>
              </w:rPr>
              <w:t>河北国邦房地产开发有限公司</w:t>
            </w:r>
          </w:p>
        </w:tc>
      </w:tr>
      <w:tr w14:paraId="366A7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18D770E">
            <w:pPr>
              <w:pStyle w:val="41"/>
              <w:rPr>
                <w:rFonts w:hint="eastAsia"/>
                <w:b/>
                <w:bCs/>
              </w:rPr>
            </w:pPr>
            <w:r>
              <w:rPr>
                <w:b/>
                <w:bCs/>
              </w:rPr>
              <w:t>21</w:t>
            </w:r>
          </w:p>
        </w:tc>
        <w:tc>
          <w:tcPr>
            <w:tcW w:w="2023" w:type="dxa"/>
            <w:shd w:val="clear" w:color="000000" w:fill="FFFFFF"/>
            <w:vAlign w:val="center"/>
          </w:tcPr>
          <w:p w14:paraId="6B1D3C9C">
            <w:pPr>
              <w:pStyle w:val="41"/>
              <w:rPr>
                <w:rFonts w:hint="eastAsia"/>
                <w:b/>
                <w:bCs/>
              </w:rPr>
            </w:pPr>
            <w:r>
              <w:rPr>
                <w:b/>
                <w:bCs/>
              </w:rPr>
              <w:t>智能一体化应用服务云计算数据中心项目</w:t>
            </w:r>
          </w:p>
        </w:tc>
        <w:tc>
          <w:tcPr>
            <w:tcW w:w="8880" w:type="dxa"/>
            <w:shd w:val="clear" w:color="000000" w:fill="FFFFFF"/>
            <w:vAlign w:val="center"/>
          </w:tcPr>
          <w:p w14:paraId="5BAB156C">
            <w:pPr>
              <w:pStyle w:val="41"/>
              <w:rPr>
                <w:rFonts w:hint="eastAsia"/>
                <w:b/>
                <w:bCs/>
              </w:rPr>
            </w:pPr>
            <w:r>
              <w:rPr>
                <w:rFonts w:hint="eastAsia"/>
                <w:b/>
                <w:bCs/>
              </w:rPr>
              <w:t>建设</w:t>
            </w:r>
            <w:r>
              <w:rPr>
                <w:b/>
                <w:bCs/>
              </w:rPr>
              <w:t>5</w:t>
            </w:r>
            <w:r>
              <w:rPr>
                <w:rFonts w:hint="eastAsia"/>
                <w:b/>
                <w:bCs/>
              </w:rPr>
              <w:t>栋数据中心及配套，总建筑面积约为</w:t>
            </w:r>
            <w:r>
              <w:rPr>
                <w:b/>
                <w:bCs/>
              </w:rPr>
              <w:t>197000</w:t>
            </w:r>
            <w:r>
              <w:rPr>
                <w:rFonts w:hint="eastAsia"/>
                <w:b/>
                <w:bCs/>
              </w:rPr>
              <w:t>平方米。</w:t>
            </w:r>
          </w:p>
        </w:tc>
        <w:tc>
          <w:tcPr>
            <w:tcW w:w="1499" w:type="dxa"/>
            <w:shd w:val="clear" w:color="000000" w:fill="FFFFFF"/>
            <w:vAlign w:val="center"/>
          </w:tcPr>
          <w:p w14:paraId="4D61A7AD">
            <w:pPr>
              <w:pStyle w:val="41"/>
              <w:rPr>
                <w:rFonts w:hint="eastAsia"/>
                <w:b/>
                <w:bCs/>
              </w:rPr>
            </w:pPr>
            <w:r>
              <w:rPr>
                <w:b/>
                <w:bCs/>
              </w:rPr>
              <w:t>廊坊禹琨数据科技有限公司</w:t>
            </w:r>
          </w:p>
        </w:tc>
      </w:tr>
      <w:tr w14:paraId="31D30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C72E04B">
            <w:pPr>
              <w:pStyle w:val="41"/>
              <w:rPr>
                <w:rFonts w:hint="eastAsia"/>
                <w:b/>
                <w:bCs/>
              </w:rPr>
            </w:pPr>
            <w:r>
              <w:rPr>
                <w:b/>
                <w:bCs/>
              </w:rPr>
              <w:t>22</w:t>
            </w:r>
          </w:p>
        </w:tc>
        <w:tc>
          <w:tcPr>
            <w:tcW w:w="2023" w:type="dxa"/>
            <w:shd w:val="clear" w:color="000000" w:fill="FFFFFF"/>
            <w:vAlign w:val="center"/>
          </w:tcPr>
          <w:p w14:paraId="4E135F7B">
            <w:pPr>
              <w:pStyle w:val="41"/>
              <w:rPr>
                <w:rFonts w:hint="eastAsia"/>
                <w:b/>
                <w:bCs/>
              </w:rPr>
            </w:pPr>
            <w:r>
              <w:rPr>
                <w:b/>
                <w:bCs/>
              </w:rPr>
              <w:t>廊坊市中医医院院区改扩建项目.</w:t>
            </w:r>
          </w:p>
        </w:tc>
        <w:tc>
          <w:tcPr>
            <w:tcW w:w="8880" w:type="dxa"/>
            <w:shd w:val="clear" w:color="000000" w:fill="FFFFFF"/>
            <w:vAlign w:val="center"/>
          </w:tcPr>
          <w:p w14:paraId="5842E167">
            <w:pPr>
              <w:pStyle w:val="41"/>
              <w:rPr>
                <w:rFonts w:hint="eastAsia"/>
                <w:b/>
                <w:bCs/>
              </w:rPr>
            </w:pPr>
            <w:r>
              <w:rPr>
                <w:b/>
                <w:bCs/>
              </w:rPr>
              <w:t>新建内科综合楼（8F/-3F），总建筑面积59546.89㎡，包含地上建筑面积31849.08㎡，地下建筑面积27697.81㎡；新增相关医疗、治疗及辅助设备；建设配套绿化、硬化、管网等。设计床位440张，设置911个停车位</w:t>
            </w:r>
          </w:p>
        </w:tc>
        <w:tc>
          <w:tcPr>
            <w:tcW w:w="1499" w:type="dxa"/>
            <w:shd w:val="clear" w:color="000000" w:fill="FFFFFF"/>
            <w:vAlign w:val="center"/>
          </w:tcPr>
          <w:p w14:paraId="18CDFF97">
            <w:pPr>
              <w:pStyle w:val="41"/>
              <w:rPr>
                <w:rFonts w:hint="eastAsia"/>
                <w:b/>
                <w:bCs/>
              </w:rPr>
            </w:pPr>
            <w:r>
              <w:rPr>
                <w:b/>
                <w:bCs/>
              </w:rPr>
              <w:t>廊坊市中医医院</w:t>
            </w:r>
          </w:p>
        </w:tc>
      </w:tr>
      <w:tr w14:paraId="0B1A7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8F9606E">
            <w:pPr>
              <w:pStyle w:val="41"/>
              <w:rPr>
                <w:rFonts w:hint="eastAsia"/>
                <w:b/>
                <w:bCs/>
              </w:rPr>
            </w:pPr>
            <w:r>
              <w:rPr>
                <w:b/>
                <w:bCs/>
              </w:rPr>
              <w:t>23</w:t>
            </w:r>
          </w:p>
        </w:tc>
        <w:tc>
          <w:tcPr>
            <w:tcW w:w="2023" w:type="dxa"/>
            <w:shd w:val="clear" w:color="000000" w:fill="FFFFFF"/>
            <w:vAlign w:val="center"/>
          </w:tcPr>
          <w:p w14:paraId="61F508D7">
            <w:pPr>
              <w:pStyle w:val="41"/>
              <w:rPr>
                <w:rFonts w:hint="eastAsia"/>
                <w:b/>
                <w:bCs/>
              </w:rPr>
            </w:pPr>
            <w:r>
              <w:rPr>
                <w:b/>
                <w:bCs/>
              </w:rPr>
              <w:t>瑞哈博康养服务中心项目</w:t>
            </w:r>
          </w:p>
        </w:tc>
        <w:tc>
          <w:tcPr>
            <w:tcW w:w="8880" w:type="dxa"/>
            <w:shd w:val="clear" w:color="000000" w:fill="FFFFFF"/>
            <w:vAlign w:val="center"/>
          </w:tcPr>
          <w:p w14:paraId="106118BE">
            <w:pPr>
              <w:pStyle w:val="41"/>
              <w:rPr>
                <w:rFonts w:hint="eastAsia"/>
                <w:b/>
                <w:bCs/>
              </w:rPr>
            </w:pPr>
            <w:r>
              <w:rPr>
                <w:b/>
                <w:bCs/>
              </w:rPr>
              <w:t>本项目总占地面积52978.26平方米（约合79.467亩），其中建筑基底占地面积为12189平方米，主要建设养老公寓、康复医疗中心、文化娱乐中心，并配套餐饮、办公、地下车库及其他后勤用房等。</w:t>
            </w:r>
          </w:p>
        </w:tc>
        <w:tc>
          <w:tcPr>
            <w:tcW w:w="1499" w:type="dxa"/>
            <w:shd w:val="clear" w:color="000000" w:fill="FFFFFF"/>
            <w:vAlign w:val="center"/>
          </w:tcPr>
          <w:p w14:paraId="77FEF56E">
            <w:pPr>
              <w:pStyle w:val="41"/>
              <w:rPr>
                <w:rFonts w:hint="eastAsia"/>
                <w:b/>
                <w:bCs/>
              </w:rPr>
            </w:pPr>
            <w:r>
              <w:rPr>
                <w:b/>
                <w:bCs/>
              </w:rPr>
              <w:t>河北瑞哈博康养服务有限公司</w:t>
            </w:r>
          </w:p>
        </w:tc>
      </w:tr>
      <w:tr w14:paraId="5C30F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151F0AB">
            <w:pPr>
              <w:pStyle w:val="41"/>
              <w:rPr>
                <w:rFonts w:hint="eastAsia"/>
                <w:b/>
                <w:bCs/>
              </w:rPr>
            </w:pPr>
            <w:r>
              <w:rPr>
                <w:b/>
                <w:bCs/>
              </w:rPr>
              <w:t>24</w:t>
            </w:r>
          </w:p>
        </w:tc>
        <w:tc>
          <w:tcPr>
            <w:tcW w:w="2023" w:type="dxa"/>
            <w:shd w:val="clear" w:color="000000" w:fill="FFFFFF"/>
            <w:vAlign w:val="center"/>
          </w:tcPr>
          <w:p w14:paraId="0F8A7FEE">
            <w:pPr>
              <w:pStyle w:val="41"/>
              <w:rPr>
                <w:rFonts w:hint="eastAsia"/>
                <w:b/>
                <w:bCs/>
              </w:rPr>
            </w:pPr>
            <w:r>
              <w:rPr>
                <w:b/>
                <w:bCs/>
              </w:rPr>
              <w:t>廊坊市信达物流有限公司廊坊信达国际物流园项目</w:t>
            </w:r>
          </w:p>
        </w:tc>
        <w:tc>
          <w:tcPr>
            <w:tcW w:w="8880" w:type="dxa"/>
            <w:shd w:val="clear" w:color="000000" w:fill="FFFFFF"/>
            <w:vAlign w:val="center"/>
          </w:tcPr>
          <w:p w14:paraId="4F5A7C97">
            <w:pPr>
              <w:pStyle w:val="41"/>
              <w:rPr>
                <w:rFonts w:hint="eastAsia"/>
                <w:b/>
                <w:bCs/>
              </w:rPr>
            </w:pPr>
            <w:r>
              <w:rPr>
                <w:b/>
                <w:bCs/>
              </w:rPr>
              <w:t>该项目自有用地71333平方米，规划总建筑面积约120000平方米，主要</w:t>
            </w:r>
            <w:r>
              <w:rPr>
                <w:rFonts w:hint="eastAsia"/>
                <w:b/>
                <w:bCs/>
              </w:rPr>
              <w:t>建设</w:t>
            </w:r>
            <w:r>
              <w:rPr>
                <w:b/>
                <w:bCs/>
              </w:rPr>
              <w:t>物流仓库2栋（包含楼层货物运输通道）、门卫室1栋、辅助用房2栋以及公共卫生间1栋，项目建成后达到国际通用仓储物流标准，预计年货物周转量10万吨至12万吨。</w:t>
            </w:r>
          </w:p>
        </w:tc>
        <w:tc>
          <w:tcPr>
            <w:tcW w:w="1499" w:type="dxa"/>
            <w:shd w:val="clear" w:color="000000" w:fill="FFFFFF"/>
            <w:vAlign w:val="center"/>
          </w:tcPr>
          <w:p w14:paraId="5D6A905C">
            <w:pPr>
              <w:pStyle w:val="41"/>
              <w:rPr>
                <w:rFonts w:hint="eastAsia"/>
                <w:b/>
                <w:bCs/>
              </w:rPr>
            </w:pPr>
            <w:r>
              <w:rPr>
                <w:b/>
                <w:bCs/>
              </w:rPr>
              <w:t>廊坊市信达物流有限公司</w:t>
            </w:r>
          </w:p>
        </w:tc>
      </w:tr>
      <w:tr w14:paraId="3099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E331487">
            <w:pPr>
              <w:pStyle w:val="41"/>
              <w:rPr>
                <w:rFonts w:hint="eastAsia"/>
                <w:b/>
                <w:bCs/>
              </w:rPr>
            </w:pPr>
            <w:r>
              <w:rPr>
                <w:b/>
                <w:bCs/>
              </w:rPr>
              <w:t>25</w:t>
            </w:r>
          </w:p>
        </w:tc>
        <w:tc>
          <w:tcPr>
            <w:tcW w:w="2023" w:type="dxa"/>
            <w:shd w:val="clear" w:color="000000" w:fill="FFFFFF"/>
            <w:vAlign w:val="center"/>
          </w:tcPr>
          <w:p w14:paraId="68A7573B">
            <w:pPr>
              <w:pStyle w:val="41"/>
              <w:rPr>
                <w:rFonts w:hint="eastAsia"/>
                <w:b/>
                <w:bCs/>
              </w:rPr>
            </w:pPr>
            <w:r>
              <w:rPr>
                <w:b/>
                <w:bCs/>
              </w:rPr>
              <w:t>盛丰智慧电商物流产业园项目</w:t>
            </w:r>
          </w:p>
        </w:tc>
        <w:tc>
          <w:tcPr>
            <w:tcW w:w="8880" w:type="dxa"/>
            <w:shd w:val="clear" w:color="000000" w:fill="FFFFFF"/>
            <w:vAlign w:val="center"/>
          </w:tcPr>
          <w:p w14:paraId="76CA6A9E">
            <w:pPr>
              <w:pStyle w:val="41"/>
              <w:rPr>
                <w:rFonts w:hint="eastAsia"/>
                <w:b/>
                <w:bCs/>
              </w:rPr>
            </w:pPr>
            <w:r>
              <w:rPr>
                <w:b/>
                <w:bCs/>
              </w:rPr>
              <w:t>本项目总占地面积为40916.98平方米</w:t>
            </w:r>
            <w:r>
              <w:rPr>
                <w:rFonts w:hint="eastAsia"/>
                <w:b/>
                <w:bCs/>
              </w:rPr>
              <w:t>（</w:t>
            </w:r>
            <w:r>
              <w:rPr>
                <w:b/>
                <w:bCs/>
              </w:rPr>
              <w:t>约合61.3755亩</w:t>
            </w:r>
            <w:r>
              <w:rPr>
                <w:rFonts w:hint="eastAsia"/>
                <w:b/>
                <w:bCs/>
              </w:rPr>
              <w:t>）</w:t>
            </w:r>
            <w:r>
              <w:rPr>
                <w:b/>
                <w:bCs/>
              </w:rPr>
              <w:t>总建筑面积44054.94平方米，其中丙1仓库建筑面积为11624.98平方米，丙2仓库建筑面积为27695.43平方米；配套用房600平方米，高架平台建筑面积3304.5平方米</w:t>
            </w:r>
          </w:p>
        </w:tc>
        <w:tc>
          <w:tcPr>
            <w:tcW w:w="1499" w:type="dxa"/>
            <w:shd w:val="clear" w:color="000000" w:fill="FFFFFF"/>
            <w:vAlign w:val="center"/>
          </w:tcPr>
          <w:p w14:paraId="4E6916B9">
            <w:pPr>
              <w:pStyle w:val="41"/>
              <w:rPr>
                <w:rFonts w:hint="eastAsia"/>
                <w:b/>
                <w:bCs/>
              </w:rPr>
            </w:pPr>
            <w:r>
              <w:rPr>
                <w:b/>
                <w:bCs/>
              </w:rPr>
              <w:t>河北天裕盛丰供应链管理有限公司</w:t>
            </w:r>
          </w:p>
        </w:tc>
      </w:tr>
      <w:tr w14:paraId="6744D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1272AF6">
            <w:pPr>
              <w:pStyle w:val="41"/>
              <w:rPr>
                <w:rFonts w:hint="eastAsia"/>
                <w:b/>
                <w:bCs/>
              </w:rPr>
            </w:pPr>
            <w:r>
              <w:rPr>
                <w:b/>
                <w:bCs/>
              </w:rPr>
              <w:t>26</w:t>
            </w:r>
          </w:p>
        </w:tc>
        <w:tc>
          <w:tcPr>
            <w:tcW w:w="2023" w:type="dxa"/>
            <w:shd w:val="clear" w:color="000000" w:fill="FFFFFF"/>
            <w:vAlign w:val="center"/>
          </w:tcPr>
          <w:p w14:paraId="26A7E02F">
            <w:pPr>
              <w:pStyle w:val="41"/>
              <w:rPr>
                <w:rFonts w:hint="eastAsia"/>
                <w:b/>
                <w:bCs/>
              </w:rPr>
            </w:pPr>
            <w:r>
              <w:rPr>
                <w:b/>
                <w:bCs/>
              </w:rPr>
              <w:t>安次区安次高铁站联接线及站前广场综合基础建设项目</w:t>
            </w:r>
          </w:p>
        </w:tc>
        <w:tc>
          <w:tcPr>
            <w:tcW w:w="8880" w:type="dxa"/>
            <w:shd w:val="clear" w:color="000000" w:fill="FFFFFF"/>
            <w:vAlign w:val="center"/>
          </w:tcPr>
          <w:p w14:paraId="11502320">
            <w:pPr>
              <w:pStyle w:val="41"/>
              <w:rPr>
                <w:rFonts w:hint="eastAsia"/>
                <w:b/>
                <w:bCs/>
              </w:rPr>
            </w:pPr>
            <w:r>
              <w:rPr>
                <w:b/>
                <w:bCs/>
              </w:rPr>
              <w:t>新建安次高铁</w:t>
            </w:r>
            <w:r>
              <w:rPr>
                <w:rFonts w:hint="eastAsia"/>
                <w:b/>
                <w:bCs/>
              </w:rPr>
              <w:t>站</w:t>
            </w:r>
            <w:r>
              <w:rPr>
                <w:b/>
                <w:bCs/>
              </w:rPr>
              <w:t>前广场及配套设施、站前广场</w:t>
            </w:r>
            <w:r>
              <w:rPr>
                <w:rFonts w:hint="eastAsia"/>
                <w:b/>
                <w:bCs/>
              </w:rPr>
              <w:t>连接</w:t>
            </w:r>
            <w:r>
              <w:rPr>
                <w:b/>
                <w:bCs/>
              </w:rPr>
              <w:t>线和给水、雨水及泵站、污水、路灯、通信等市政工程，总用地面积为91035平方米（约137亩）。</w:t>
            </w:r>
          </w:p>
        </w:tc>
        <w:tc>
          <w:tcPr>
            <w:tcW w:w="1499" w:type="dxa"/>
            <w:shd w:val="clear" w:color="000000" w:fill="FFFFFF"/>
            <w:vAlign w:val="center"/>
          </w:tcPr>
          <w:p w14:paraId="4A603101">
            <w:pPr>
              <w:pStyle w:val="41"/>
              <w:rPr>
                <w:rFonts w:hint="eastAsia"/>
                <w:b/>
                <w:bCs/>
              </w:rPr>
            </w:pPr>
            <w:r>
              <w:rPr>
                <w:b/>
                <w:bCs/>
              </w:rPr>
              <w:t>廊坊市安次区交通运输局</w:t>
            </w:r>
          </w:p>
        </w:tc>
      </w:tr>
      <w:tr w14:paraId="3D2C6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80218B9">
            <w:pPr>
              <w:pStyle w:val="41"/>
              <w:rPr>
                <w:rFonts w:hint="eastAsia"/>
                <w:b/>
                <w:bCs/>
              </w:rPr>
            </w:pPr>
            <w:r>
              <w:rPr>
                <w:b/>
                <w:bCs/>
              </w:rPr>
              <w:t>27</w:t>
            </w:r>
          </w:p>
        </w:tc>
        <w:tc>
          <w:tcPr>
            <w:tcW w:w="2023" w:type="dxa"/>
            <w:shd w:val="clear" w:color="000000" w:fill="FFFFFF"/>
            <w:vAlign w:val="center"/>
          </w:tcPr>
          <w:p w14:paraId="637B4C51">
            <w:pPr>
              <w:pStyle w:val="41"/>
              <w:rPr>
                <w:rFonts w:hint="eastAsia"/>
                <w:b/>
                <w:bCs/>
              </w:rPr>
            </w:pPr>
            <w:r>
              <w:rPr>
                <w:b/>
                <w:bCs/>
              </w:rPr>
              <w:t>广宇商贸物流产业基地扩建项目</w:t>
            </w:r>
          </w:p>
        </w:tc>
        <w:tc>
          <w:tcPr>
            <w:tcW w:w="8880" w:type="dxa"/>
            <w:shd w:val="clear" w:color="000000" w:fill="FFFFFF"/>
            <w:vAlign w:val="center"/>
          </w:tcPr>
          <w:p w14:paraId="0C2BBAD6">
            <w:pPr>
              <w:pStyle w:val="41"/>
              <w:rPr>
                <w:rFonts w:hint="eastAsia"/>
                <w:b/>
                <w:bCs/>
              </w:rPr>
            </w:pPr>
            <w:r>
              <w:rPr>
                <w:b/>
                <w:bCs/>
              </w:rPr>
              <w:t>本项目规划占地面积89877.19平方米（约合134.82亩），总建筑面积61500平方米，其中：仓储库46500平方米，信息交易中心15000平方米，项目计算容积率面积108000平方米。项目从事现代化智能冷链食品仓储物流业务为主，兼具应急物资储备转运和一般物资中转运输功能。</w:t>
            </w:r>
          </w:p>
        </w:tc>
        <w:tc>
          <w:tcPr>
            <w:tcW w:w="1499" w:type="dxa"/>
            <w:shd w:val="clear" w:color="000000" w:fill="FFFFFF"/>
            <w:vAlign w:val="center"/>
          </w:tcPr>
          <w:p w14:paraId="04AB5D71">
            <w:pPr>
              <w:pStyle w:val="41"/>
              <w:rPr>
                <w:rFonts w:hint="eastAsia"/>
                <w:b/>
                <w:bCs/>
              </w:rPr>
            </w:pPr>
            <w:r>
              <w:rPr>
                <w:b/>
                <w:bCs/>
              </w:rPr>
              <w:t>廊坊开发区广宇物流有限公司</w:t>
            </w:r>
          </w:p>
        </w:tc>
      </w:tr>
      <w:tr w14:paraId="1D84C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5" w:hRule="atLeast"/>
        </w:trPr>
        <w:tc>
          <w:tcPr>
            <w:tcW w:w="881" w:type="dxa"/>
            <w:shd w:val="clear" w:color="000000" w:fill="FFFFFF"/>
            <w:vAlign w:val="center"/>
          </w:tcPr>
          <w:p w14:paraId="6B5CB4C4">
            <w:pPr>
              <w:pStyle w:val="41"/>
              <w:rPr>
                <w:rFonts w:hint="eastAsia"/>
                <w:b/>
                <w:bCs/>
              </w:rPr>
            </w:pPr>
            <w:r>
              <w:rPr>
                <w:b/>
                <w:bCs/>
              </w:rPr>
              <w:t>28</w:t>
            </w:r>
          </w:p>
        </w:tc>
        <w:tc>
          <w:tcPr>
            <w:tcW w:w="2023" w:type="dxa"/>
            <w:shd w:val="clear" w:color="000000" w:fill="FFFFFF"/>
            <w:vAlign w:val="center"/>
          </w:tcPr>
          <w:p w14:paraId="5E8FB086">
            <w:pPr>
              <w:pStyle w:val="41"/>
              <w:rPr>
                <w:rFonts w:hint="eastAsia"/>
                <w:b/>
                <w:bCs/>
              </w:rPr>
            </w:pPr>
            <w:r>
              <w:rPr>
                <w:b/>
                <w:bCs/>
              </w:rPr>
              <w:t>河北东方学院图书馆扩建工程项目</w:t>
            </w:r>
          </w:p>
        </w:tc>
        <w:tc>
          <w:tcPr>
            <w:tcW w:w="8880" w:type="dxa"/>
            <w:shd w:val="clear" w:color="000000" w:fill="FFFFFF"/>
            <w:vAlign w:val="center"/>
          </w:tcPr>
          <w:p w14:paraId="4973DF1E">
            <w:pPr>
              <w:pStyle w:val="41"/>
              <w:rPr>
                <w:rFonts w:hint="eastAsia"/>
                <w:b/>
                <w:bCs/>
              </w:rPr>
            </w:pPr>
            <w:r>
              <w:rPr>
                <w:b/>
                <w:bCs/>
              </w:rPr>
              <w:t>学校拟将原综合楼扩建为图书馆，新增建筑面积为11559.9㎡；其中将原综合楼由二层扩建为四层，建筑面积增加6787.9㎡；同时在原综合楼东侧新建五层建筑，新建建筑面积4772㎡；整体图书馆扩建工程完成后，总建筑面积为17964.69㎡。</w:t>
            </w:r>
          </w:p>
        </w:tc>
        <w:tc>
          <w:tcPr>
            <w:tcW w:w="1499" w:type="dxa"/>
            <w:shd w:val="clear" w:color="000000" w:fill="FFFFFF"/>
            <w:vAlign w:val="center"/>
          </w:tcPr>
          <w:p w14:paraId="7D4364F3">
            <w:pPr>
              <w:pStyle w:val="41"/>
              <w:rPr>
                <w:rFonts w:hint="eastAsia"/>
                <w:b/>
                <w:bCs/>
              </w:rPr>
            </w:pPr>
            <w:r>
              <w:rPr>
                <w:b/>
                <w:bCs/>
              </w:rPr>
              <w:t>河北东方学院</w:t>
            </w:r>
          </w:p>
        </w:tc>
      </w:tr>
      <w:tr w14:paraId="10BD9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949FDE6">
            <w:pPr>
              <w:pStyle w:val="41"/>
              <w:rPr>
                <w:rFonts w:hint="eastAsia"/>
                <w:b/>
                <w:bCs/>
              </w:rPr>
            </w:pPr>
            <w:r>
              <w:rPr>
                <w:b/>
                <w:bCs/>
              </w:rPr>
              <w:t>29</w:t>
            </w:r>
          </w:p>
        </w:tc>
        <w:tc>
          <w:tcPr>
            <w:tcW w:w="2023" w:type="dxa"/>
            <w:shd w:val="clear" w:color="000000" w:fill="FFFFFF"/>
            <w:vAlign w:val="center"/>
          </w:tcPr>
          <w:p w14:paraId="769E1719">
            <w:pPr>
              <w:pStyle w:val="41"/>
              <w:rPr>
                <w:rFonts w:hint="eastAsia"/>
                <w:b/>
                <w:bCs/>
              </w:rPr>
            </w:pPr>
            <w:r>
              <w:rPr>
                <w:b/>
                <w:bCs/>
              </w:rPr>
              <w:t>廊坊市公共供水管网漏损治理基础设施及数字化建设项目</w:t>
            </w:r>
          </w:p>
        </w:tc>
        <w:tc>
          <w:tcPr>
            <w:tcW w:w="8880" w:type="dxa"/>
            <w:shd w:val="clear" w:color="000000" w:fill="FFFFFF"/>
            <w:vAlign w:val="center"/>
          </w:tcPr>
          <w:p w14:paraId="29E92347">
            <w:pPr>
              <w:pStyle w:val="41"/>
              <w:rPr>
                <w:rFonts w:hint="eastAsia"/>
                <w:b/>
                <w:bCs/>
              </w:rPr>
            </w:pPr>
            <w:r>
              <w:rPr>
                <w:b/>
                <w:bCs/>
              </w:rPr>
              <w:t>市政供水管道改造共计5.61km；老旧小区改造6个；二次供水改造4处；城区老旧阀门更新改造35座；增设压力监测点30处；更新升级二水厂电气设备；分区计量及数字化建设：建设22个四级分区、完成GIS补录500公里、更新分区考核表、更换安装计量水表，更换智能消防栓20台；进行智能化平台建设。</w:t>
            </w:r>
          </w:p>
        </w:tc>
        <w:tc>
          <w:tcPr>
            <w:tcW w:w="1499" w:type="dxa"/>
            <w:shd w:val="clear" w:color="000000" w:fill="FFFFFF"/>
            <w:vAlign w:val="center"/>
          </w:tcPr>
          <w:p w14:paraId="6FFB24BF">
            <w:pPr>
              <w:pStyle w:val="41"/>
              <w:rPr>
                <w:rFonts w:hint="eastAsia"/>
                <w:b/>
                <w:bCs/>
              </w:rPr>
            </w:pPr>
            <w:r>
              <w:rPr>
                <w:b/>
                <w:bCs/>
              </w:rPr>
              <w:t>廊坊市清泉供水有限责任公司</w:t>
            </w:r>
          </w:p>
        </w:tc>
      </w:tr>
      <w:tr w14:paraId="465B5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47AC966">
            <w:pPr>
              <w:pStyle w:val="41"/>
              <w:rPr>
                <w:rFonts w:hint="eastAsia"/>
                <w:b/>
                <w:bCs/>
              </w:rPr>
            </w:pPr>
            <w:r>
              <w:rPr>
                <w:b/>
                <w:bCs/>
              </w:rPr>
              <w:t>30</w:t>
            </w:r>
          </w:p>
        </w:tc>
        <w:tc>
          <w:tcPr>
            <w:tcW w:w="2023" w:type="dxa"/>
            <w:shd w:val="clear" w:color="000000" w:fill="FFFFFF"/>
            <w:vAlign w:val="center"/>
          </w:tcPr>
          <w:p w14:paraId="058D2786">
            <w:pPr>
              <w:pStyle w:val="41"/>
              <w:rPr>
                <w:rFonts w:hint="eastAsia"/>
                <w:b/>
                <w:bCs/>
              </w:rPr>
            </w:pPr>
            <w:r>
              <w:rPr>
                <w:b/>
                <w:bCs/>
              </w:rPr>
              <w:t>廊坊开发区停车场充电设施及社区充电设施统筹统建项目</w:t>
            </w:r>
          </w:p>
        </w:tc>
        <w:tc>
          <w:tcPr>
            <w:tcW w:w="8880" w:type="dxa"/>
            <w:shd w:val="clear" w:color="000000" w:fill="FFFFFF"/>
            <w:vAlign w:val="center"/>
          </w:tcPr>
          <w:p w14:paraId="1331EE83">
            <w:pPr>
              <w:pStyle w:val="41"/>
              <w:rPr>
                <w:rFonts w:hint="eastAsia"/>
                <w:b/>
                <w:bCs/>
              </w:rPr>
            </w:pPr>
            <w:r>
              <w:rPr>
                <w:b/>
                <w:bCs/>
              </w:rPr>
              <w:t>建设规模拟在廊坊经济技术开发区“祥云道保航停车场、塞纳荣府南停车场、大学城商业街、大学城东方商厦、丝绸之路艺术中心大剧院、开发区管委会、居民小区”等区域及开发区部分社区与企事业单位建设集光、储、充与智慧能源于一体的新能源汽车智慧充电微网充电站。</w:t>
            </w:r>
          </w:p>
        </w:tc>
        <w:tc>
          <w:tcPr>
            <w:tcW w:w="1499" w:type="dxa"/>
            <w:shd w:val="clear" w:color="000000" w:fill="FFFFFF"/>
            <w:vAlign w:val="center"/>
          </w:tcPr>
          <w:p w14:paraId="7D97DF38">
            <w:pPr>
              <w:pStyle w:val="41"/>
              <w:rPr>
                <w:rFonts w:hint="eastAsia"/>
                <w:b/>
                <w:bCs/>
              </w:rPr>
            </w:pPr>
            <w:r>
              <w:rPr>
                <w:b/>
                <w:bCs/>
              </w:rPr>
              <w:t>廊坊经济技术开发区管理委员会</w:t>
            </w:r>
          </w:p>
        </w:tc>
      </w:tr>
      <w:tr w14:paraId="2BE78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99ACEE3">
            <w:pPr>
              <w:pStyle w:val="41"/>
              <w:rPr>
                <w:rFonts w:hint="eastAsia"/>
                <w:b/>
                <w:bCs/>
              </w:rPr>
            </w:pPr>
            <w:r>
              <w:rPr>
                <w:b/>
                <w:bCs/>
              </w:rPr>
              <w:t>31</w:t>
            </w:r>
          </w:p>
        </w:tc>
        <w:tc>
          <w:tcPr>
            <w:tcW w:w="2023" w:type="dxa"/>
            <w:shd w:val="clear" w:color="000000" w:fill="FFFFFF"/>
            <w:vAlign w:val="center"/>
          </w:tcPr>
          <w:p w14:paraId="02FFA15A">
            <w:pPr>
              <w:pStyle w:val="41"/>
              <w:rPr>
                <w:rFonts w:hint="eastAsia"/>
                <w:b/>
                <w:bCs/>
              </w:rPr>
            </w:pPr>
            <w:r>
              <w:rPr>
                <w:b/>
                <w:bCs/>
              </w:rPr>
              <w:t>廊坊市第三人民医院院区改造项目</w:t>
            </w:r>
          </w:p>
        </w:tc>
        <w:tc>
          <w:tcPr>
            <w:tcW w:w="8880" w:type="dxa"/>
            <w:shd w:val="clear" w:color="000000" w:fill="FFFFFF"/>
            <w:vAlign w:val="center"/>
          </w:tcPr>
          <w:p w14:paraId="23DDA6BB">
            <w:pPr>
              <w:pStyle w:val="41"/>
              <w:rPr>
                <w:rFonts w:hint="eastAsia"/>
                <w:b/>
                <w:bCs/>
              </w:rPr>
            </w:pPr>
            <w:r>
              <w:rPr>
                <w:b/>
                <w:bCs/>
              </w:rPr>
              <w:t>本项目位于廊坊市第三人民医院院内，本次为改建工程，涉及总建筑面积8836.25平方米。建设内容：优化院区门诊楼、综合病房楼、消化楼平面布置，实施建筑装修工程改造及给排水管道、电气管网、暖通工程改造，维修更换市政给水接驳管道和院区消防管道，实施应急病区装备采购。</w:t>
            </w:r>
          </w:p>
        </w:tc>
        <w:tc>
          <w:tcPr>
            <w:tcW w:w="1499" w:type="dxa"/>
            <w:shd w:val="clear" w:color="000000" w:fill="FFFFFF"/>
            <w:vAlign w:val="center"/>
          </w:tcPr>
          <w:p w14:paraId="09520DC9">
            <w:pPr>
              <w:pStyle w:val="41"/>
              <w:rPr>
                <w:rFonts w:hint="eastAsia"/>
                <w:b/>
                <w:bCs/>
              </w:rPr>
            </w:pPr>
            <w:r>
              <w:rPr>
                <w:b/>
                <w:bCs/>
              </w:rPr>
              <w:t>廊坊市第三人民医院</w:t>
            </w:r>
          </w:p>
        </w:tc>
      </w:tr>
      <w:tr w14:paraId="70F0F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BDF8451">
            <w:pPr>
              <w:pStyle w:val="41"/>
              <w:rPr>
                <w:rFonts w:hint="eastAsia"/>
                <w:b/>
                <w:bCs/>
              </w:rPr>
            </w:pPr>
            <w:r>
              <w:rPr>
                <w:b/>
                <w:bCs/>
              </w:rPr>
              <w:t>32</w:t>
            </w:r>
          </w:p>
        </w:tc>
        <w:tc>
          <w:tcPr>
            <w:tcW w:w="2023" w:type="dxa"/>
            <w:shd w:val="clear" w:color="000000" w:fill="FFFFFF"/>
            <w:vAlign w:val="center"/>
          </w:tcPr>
          <w:p w14:paraId="78E40651">
            <w:pPr>
              <w:pStyle w:val="41"/>
              <w:rPr>
                <w:rFonts w:hint="eastAsia"/>
                <w:b/>
                <w:bCs/>
              </w:rPr>
            </w:pPr>
            <w:r>
              <w:rPr>
                <w:b/>
                <w:bCs/>
              </w:rPr>
              <w:t>梨园路（四号路</w:t>
            </w:r>
            <w:r>
              <w:rPr>
                <w:rFonts w:hint="eastAsia"/>
                <w:b/>
                <w:bCs/>
              </w:rPr>
              <w:t>－</w:t>
            </w:r>
            <w:r>
              <w:rPr>
                <w:b/>
                <w:bCs/>
              </w:rPr>
              <w:t>云鹏道）工程</w:t>
            </w:r>
          </w:p>
        </w:tc>
        <w:tc>
          <w:tcPr>
            <w:tcW w:w="8880" w:type="dxa"/>
            <w:shd w:val="clear" w:color="000000" w:fill="FFFFFF"/>
            <w:vAlign w:val="center"/>
          </w:tcPr>
          <w:p w14:paraId="5ED34B08">
            <w:pPr>
              <w:pStyle w:val="41"/>
              <w:rPr>
                <w:rFonts w:hint="eastAsia"/>
                <w:b/>
                <w:bCs/>
              </w:rPr>
            </w:pPr>
            <w:r>
              <w:rPr>
                <w:b/>
                <w:bCs/>
              </w:rPr>
              <w:t>本工程北起四号路，南至云鹏道，主要包括道路工程、雨水工程、污水工程、给水工程、热力工程、电力排管工程、照明工程、绿化工程及交通标志标线工程等。</w:t>
            </w:r>
          </w:p>
        </w:tc>
        <w:tc>
          <w:tcPr>
            <w:tcW w:w="1499" w:type="dxa"/>
            <w:shd w:val="clear" w:color="000000" w:fill="FFFFFF"/>
            <w:vAlign w:val="center"/>
          </w:tcPr>
          <w:p w14:paraId="6AF26A9D">
            <w:pPr>
              <w:pStyle w:val="41"/>
              <w:rPr>
                <w:rFonts w:hint="eastAsia"/>
                <w:b/>
                <w:bCs/>
              </w:rPr>
            </w:pPr>
            <w:r>
              <w:rPr>
                <w:b/>
                <w:bCs/>
              </w:rPr>
              <w:t>廊坊经济技术开发区管理委员会</w:t>
            </w:r>
          </w:p>
        </w:tc>
      </w:tr>
      <w:tr w14:paraId="2F35D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7D173F1">
            <w:pPr>
              <w:pStyle w:val="41"/>
              <w:rPr>
                <w:rFonts w:hint="eastAsia"/>
                <w:b/>
                <w:bCs/>
              </w:rPr>
            </w:pPr>
            <w:r>
              <w:rPr>
                <w:b/>
                <w:bCs/>
              </w:rPr>
              <w:t>33</w:t>
            </w:r>
          </w:p>
        </w:tc>
        <w:tc>
          <w:tcPr>
            <w:tcW w:w="2023" w:type="dxa"/>
            <w:shd w:val="clear" w:color="000000" w:fill="FFFFFF"/>
            <w:vAlign w:val="center"/>
          </w:tcPr>
          <w:p w14:paraId="6959C1AF">
            <w:pPr>
              <w:pStyle w:val="41"/>
              <w:rPr>
                <w:rFonts w:hint="eastAsia"/>
                <w:b/>
                <w:bCs/>
              </w:rPr>
            </w:pPr>
            <w:r>
              <w:rPr>
                <w:b/>
                <w:bCs/>
              </w:rPr>
              <w:t>城际铁路联络线一期</w:t>
            </w:r>
          </w:p>
        </w:tc>
        <w:tc>
          <w:tcPr>
            <w:tcW w:w="8880" w:type="dxa"/>
            <w:shd w:val="clear" w:color="000000" w:fill="FFFFFF"/>
            <w:vAlign w:val="center"/>
          </w:tcPr>
          <w:p w14:paraId="33684E50">
            <w:pPr>
              <w:pStyle w:val="41"/>
              <w:rPr>
                <w:rFonts w:hint="eastAsia"/>
                <w:b/>
                <w:bCs/>
              </w:rPr>
            </w:pPr>
            <w:r>
              <w:rPr>
                <w:b/>
                <w:bCs/>
              </w:rPr>
              <w:t>线路起自廊坊北站，终至大兴国际机场南侧京冀界。全长40公里、总投资201亿元，其中我省境内24公里、投资102亿元。</w:t>
            </w:r>
          </w:p>
        </w:tc>
        <w:tc>
          <w:tcPr>
            <w:tcW w:w="1499" w:type="dxa"/>
            <w:shd w:val="clear" w:color="000000" w:fill="FFFFFF"/>
            <w:vAlign w:val="center"/>
          </w:tcPr>
          <w:p w14:paraId="43911094">
            <w:pPr>
              <w:pStyle w:val="41"/>
              <w:rPr>
                <w:rFonts w:hint="eastAsia"/>
                <w:b/>
                <w:bCs/>
              </w:rPr>
            </w:pPr>
            <w:r>
              <w:rPr>
                <w:b/>
                <w:bCs/>
              </w:rPr>
              <w:t>京安城际铁路有限公司</w:t>
            </w:r>
          </w:p>
        </w:tc>
      </w:tr>
      <w:tr w14:paraId="64DB6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057FE93">
            <w:pPr>
              <w:pStyle w:val="41"/>
              <w:rPr>
                <w:rFonts w:hint="eastAsia"/>
                <w:b/>
                <w:bCs/>
              </w:rPr>
            </w:pPr>
            <w:r>
              <w:rPr>
                <w:b/>
                <w:bCs/>
              </w:rPr>
              <w:t>34</w:t>
            </w:r>
          </w:p>
        </w:tc>
        <w:tc>
          <w:tcPr>
            <w:tcW w:w="2023" w:type="dxa"/>
            <w:shd w:val="clear" w:color="000000" w:fill="FFFFFF"/>
            <w:vAlign w:val="center"/>
          </w:tcPr>
          <w:p w14:paraId="0ACE2778">
            <w:pPr>
              <w:pStyle w:val="41"/>
              <w:rPr>
                <w:rFonts w:hint="eastAsia"/>
                <w:b/>
                <w:bCs/>
              </w:rPr>
            </w:pPr>
            <w:r>
              <w:rPr>
                <w:b/>
                <w:bCs/>
              </w:rPr>
              <w:t>中国医学科学院肿瘤医院分院（廊坊院区）项目</w:t>
            </w:r>
          </w:p>
        </w:tc>
        <w:tc>
          <w:tcPr>
            <w:tcW w:w="8880" w:type="dxa"/>
            <w:shd w:val="clear" w:color="000000" w:fill="FFFFFF"/>
            <w:vAlign w:val="center"/>
          </w:tcPr>
          <w:p w14:paraId="21CCE6CF">
            <w:pPr>
              <w:pStyle w:val="41"/>
              <w:rPr>
                <w:rFonts w:hint="eastAsia"/>
                <w:b/>
                <w:bCs/>
              </w:rPr>
            </w:pPr>
            <w:r>
              <w:rPr>
                <w:b/>
                <w:bCs/>
              </w:rPr>
              <w:t>该项目位于廊坊开发区，计划总投资79.2亿元，总用地规模266亩，总建筑面积59.3万平方米，总建设规模2600张床位。建设内容</w:t>
            </w:r>
            <w:r>
              <w:rPr>
                <w:rFonts w:hint="eastAsia"/>
                <w:b/>
                <w:bCs/>
              </w:rPr>
              <w:t>包括两个</w:t>
            </w:r>
            <w:r>
              <w:rPr>
                <w:b/>
                <w:bCs/>
              </w:rPr>
              <w:t>部分，一是医疗部分，包括门诊楼、住院处、特需医疗部、质子放疗中心等；二是康养部分，包括舒缓中心、癌症体检中心、医疗科教服务中心等。</w:t>
            </w:r>
          </w:p>
        </w:tc>
        <w:tc>
          <w:tcPr>
            <w:tcW w:w="1499" w:type="dxa"/>
            <w:shd w:val="clear" w:color="000000" w:fill="FFFFFF"/>
            <w:vAlign w:val="center"/>
          </w:tcPr>
          <w:p w14:paraId="4CBF603A">
            <w:pPr>
              <w:pStyle w:val="41"/>
              <w:rPr>
                <w:rFonts w:hint="eastAsia"/>
                <w:b/>
                <w:bCs/>
              </w:rPr>
            </w:pPr>
            <w:r>
              <w:rPr>
                <w:b/>
                <w:bCs/>
              </w:rPr>
              <w:t>中冶吉信健康产业有限责任公司</w:t>
            </w:r>
          </w:p>
        </w:tc>
      </w:tr>
      <w:tr w14:paraId="1A727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F0ED06C">
            <w:pPr>
              <w:pStyle w:val="41"/>
              <w:rPr>
                <w:rFonts w:hint="eastAsia"/>
                <w:b/>
                <w:bCs/>
              </w:rPr>
            </w:pPr>
            <w:r>
              <w:rPr>
                <w:b/>
                <w:bCs/>
              </w:rPr>
              <w:t>35</w:t>
            </w:r>
          </w:p>
        </w:tc>
        <w:tc>
          <w:tcPr>
            <w:tcW w:w="2023" w:type="dxa"/>
            <w:shd w:val="clear" w:color="000000" w:fill="FFFFFF"/>
            <w:vAlign w:val="center"/>
          </w:tcPr>
          <w:p w14:paraId="065E9A20">
            <w:pPr>
              <w:pStyle w:val="41"/>
              <w:rPr>
                <w:rFonts w:hint="eastAsia"/>
                <w:b/>
                <w:bCs/>
              </w:rPr>
            </w:pPr>
            <w:r>
              <w:rPr>
                <w:b/>
                <w:bCs/>
              </w:rPr>
              <w:t>廊坊市人民医院迁建项目</w:t>
            </w:r>
          </w:p>
        </w:tc>
        <w:tc>
          <w:tcPr>
            <w:tcW w:w="8880" w:type="dxa"/>
            <w:shd w:val="clear" w:color="000000" w:fill="FFFFFF"/>
            <w:vAlign w:val="center"/>
          </w:tcPr>
          <w:p w14:paraId="764B7DC3">
            <w:pPr>
              <w:pStyle w:val="41"/>
              <w:rPr>
                <w:rFonts w:hint="eastAsia"/>
                <w:b/>
                <w:bCs/>
              </w:rPr>
            </w:pPr>
            <w:r>
              <w:rPr>
                <w:b/>
                <w:bCs/>
              </w:rPr>
              <w:t>总建筑面积399900平方米。其中，地上建筑面积219800平方米，地下建筑面积计180100平方米。主要建设门急诊医技住院综合楼、发热门诊综合楼、专科中心楼、行政科研培训综合楼、附属多功能报告厅。设计床位2000张。项目建成后满足国家三级综合医院建设标准。</w:t>
            </w:r>
          </w:p>
        </w:tc>
        <w:tc>
          <w:tcPr>
            <w:tcW w:w="1499" w:type="dxa"/>
            <w:shd w:val="clear" w:color="000000" w:fill="FFFFFF"/>
            <w:vAlign w:val="center"/>
          </w:tcPr>
          <w:p w14:paraId="49248E43">
            <w:pPr>
              <w:pStyle w:val="41"/>
              <w:rPr>
                <w:rFonts w:hint="eastAsia"/>
                <w:b/>
                <w:bCs/>
              </w:rPr>
            </w:pPr>
            <w:r>
              <w:rPr>
                <w:b/>
                <w:bCs/>
              </w:rPr>
              <w:t>廊坊市人民医院</w:t>
            </w:r>
          </w:p>
        </w:tc>
      </w:tr>
      <w:tr w14:paraId="62C6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3D4933F">
            <w:pPr>
              <w:pStyle w:val="41"/>
              <w:rPr>
                <w:rFonts w:hint="eastAsia"/>
                <w:b/>
                <w:bCs/>
              </w:rPr>
            </w:pPr>
            <w:r>
              <w:rPr>
                <w:b/>
                <w:bCs/>
              </w:rPr>
              <w:t>36</w:t>
            </w:r>
          </w:p>
        </w:tc>
        <w:tc>
          <w:tcPr>
            <w:tcW w:w="2023" w:type="dxa"/>
            <w:shd w:val="clear" w:color="000000" w:fill="FFFFFF"/>
            <w:vAlign w:val="center"/>
          </w:tcPr>
          <w:p w14:paraId="7D21B22C">
            <w:pPr>
              <w:pStyle w:val="41"/>
              <w:rPr>
                <w:rFonts w:hint="eastAsia"/>
                <w:b/>
                <w:bCs/>
              </w:rPr>
            </w:pPr>
            <w:r>
              <w:rPr>
                <w:b/>
                <w:bCs/>
              </w:rPr>
              <w:t>海中信（廊坊）科技服务有限公司廊坊海中信绿色云计算基地项目</w:t>
            </w:r>
          </w:p>
        </w:tc>
        <w:tc>
          <w:tcPr>
            <w:tcW w:w="8880" w:type="dxa"/>
            <w:shd w:val="clear" w:color="000000" w:fill="FFFFFF"/>
            <w:vAlign w:val="center"/>
          </w:tcPr>
          <w:p w14:paraId="10BD3D78">
            <w:pPr>
              <w:pStyle w:val="41"/>
              <w:rPr>
                <w:rFonts w:hint="eastAsia"/>
                <w:b/>
                <w:bCs/>
              </w:rPr>
            </w:pPr>
            <w:r>
              <w:rPr>
                <w:b/>
                <w:bCs/>
              </w:rPr>
              <w:t>项目占地40782.7</w:t>
            </w:r>
            <w:r>
              <w:rPr>
                <w:rFonts w:hint="eastAsia"/>
                <w:b/>
                <w:bCs/>
              </w:rPr>
              <w:t>㎡</w:t>
            </w:r>
            <w:r>
              <w:rPr>
                <w:b/>
                <w:bCs/>
              </w:rPr>
              <w:t>（约61.2亩），总建筑面积88863.80</w:t>
            </w:r>
            <w:r>
              <w:rPr>
                <w:rFonts w:hint="eastAsia"/>
                <w:b/>
                <w:bCs/>
              </w:rPr>
              <w:t>㎡（</w:t>
            </w:r>
            <w:r>
              <w:rPr>
                <w:b/>
                <w:bCs/>
              </w:rPr>
              <w:t>含已建成研发办公楼1栋，建筑面积5378.24</w:t>
            </w:r>
            <w:r>
              <w:rPr>
                <w:rFonts w:hint="eastAsia"/>
                <w:b/>
                <w:bCs/>
              </w:rPr>
              <w:t>㎡</w:t>
            </w:r>
            <w:r>
              <w:rPr>
                <w:b/>
                <w:bCs/>
              </w:rPr>
              <w:t>）。项目新建数据中心2栋与动力中心1栋，计划分两期进行，一期建设数据中心1栋与动力中心1栋，二期扩容数据中心1栋。</w:t>
            </w:r>
          </w:p>
        </w:tc>
        <w:tc>
          <w:tcPr>
            <w:tcW w:w="1499" w:type="dxa"/>
            <w:shd w:val="clear" w:color="000000" w:fill="FFFFFF"/>
            <w:vAlign w:val="center"/>
          </w:tcPr>
          <w:p w14:paraId="46EBE542">
            <w:pPr>
              <w:pStyle w:val="41"/>
              <w:rPr>
                <w:rFonts w:hint="eastAsia"/>
                <w:b/>
                <w:bCs/>
              </w:rPr>
            </w:pPr>
            <w:r>
              <w:rPr>
                <w:b/>
                <w:bCs/>
              </w:rPr>
              <w:t>海中信（廊坊）科技服务有限公司</w:t>
            </w:r>
          </w:p>
        </w:tc>
      </w:tr>
      <w:tr w14:paraId="7007D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35D49C4">
            <w:pPr>
              <w:pStyle w:val="41"/>
              <w:rPr>
                <w:rFonts w:hint="eastAsia"/>
                <w:b/>
                <w:bCs/>
              </w:rPr>
            </w:pPr>
            <w:r>
              <w:rPr>
                <w:b/>
                <w:bCs/>
              </w:rPr>
              <w:t>37</w:t>
            </w:r>
          </w:p>
        </w:tc>
        <w:tc>
          <w:tcPr>
            <w:tcW w:w="2023" w:type="dxa"/>
            <w:shd w:val="clear" w:color="000000" w:fill="FFFFFF"/>
            <w:vAlign w:val="center"/>
          </w:tcPr>
          <w:p w14:paraId="2CE3A7A4">
            <w:pPr>
              <w:pStyle w:val="41"/>
              <w:rPr>
                <w:rFonts w:hint="eastAsia"/>
                <w:b/>
                <w:bCs/>
              </w:rPr>
            </w:pPr>
            <w:r>
              <w:rPr>
                <w:b/>
                <w:bCs/>
              </w:rPr>
              <w:t>鹏博士廊坊云计算数据中心项目</w:t>
            </w:r>
          </w:p>
        </w:tc>
        <w:tc>
          <w:tcPr>
            <w:tcW w:w="8880" w:type="dxa"/>
            <w:shd w:val="clear" w:color="000000" w:fill="FFFFFF"/>
            <w:vAlign w:val="center"/>
          </w:tcPr>
          <w:p w14:paraId="34A30456">
            <w:pPr>
              <w:pStyle w:val="41"/>
              <w:rPr>
                <w:rFonts w:hint="eastAsia"/>
                <w:b/>
                <w:bCs/>
              </w:rPr>
            </w:pPr>
            <w:r>
              <w:rPr>
                <w:b/>
                <w:bCs/>
              </w:rPr>
              <w:t>本项目总用地面积59183.33平方米（约88.77亩），主要建设厂房A-1、厂房A-2、厂房B-1、厂房B-2。项目建设规模达12188台服务机柜的数据服务中心，执行国家A级机房标准。项目将在磁悬浮冷水机组、微模块等技术基础上，采用间接蒸发冷却、浸没液冷技术等行业前沿技术</w:t>
            </w:r>
          </w:p>
        </w:tc>
        <w:tc>
          <w:tcPr>
            <w:tcW w:w="1499" w:type="dxa"/>
            <w:shd w:val="clear" w:color="000000" w:fill="FFFFFF"/>
            <w:vAlign w:val="center"/>
          </w:tcPr>
          <w:p w14:paraId="6CEA3533">
            <w:pPr>
              <w:pStyle w:val="41"/>
              <w:rPr>
                <w:rFonts w:hint="eastAsia"/>
                <w:b/>
                <w:bCs/>
              </w:rPr>
            </w:pPr>
            <w:r>
              <w:rPr>
                <w:b/>
                <w:bCs/>
              </w:rPr>
              <w:t>廊坊鹏博士云科技有限公司</w:t>
            </w:r>
          </w:p>
        </w:tc>
      </w:tr>
      <w:tr w14:paraId="3C24B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8BD576C">
            <w:pPr>
              <w:pStyle w:val="41"/>
              <w:rPr>
                <w:rFonts w:hint="eastAsia"/>
                <w:b/>
                <w:bCs/>
              </w:rPr>
            </w:pPr>
            <w:r>
              <w:rPr>
                <w:b/>
                <w:bCs/>
              </w:rPr>
              <w:t>38</w:t>
            </w:r>
          </w:p>
        </w:tc>
        <w:tc>
          <w:tcPr>
            <w:tcW w:w="2023" w:type="dxa"/>
            <w:shd w:val="clear" w:color="000000" w:fill="FFFFFF"/>
            <w:vAlign w:val="center"/>
          </w:tcPr>
          <w:p w14:paraId="12CFB41C">
            <w:pPr>
              <w:pStyle w:val="41"/>
              <w:rPr>
                <w:rFonts w:hint="eastAsia"/>
                <w:b/>
                <w:bCs/>
              </w:rPr>
            </w:pPr>
            <w:r>
              <w:rPr>
                <w:b/>
                <w:bCs/>
              </w:rPr>
              <w:t>智能科技云计算数据中心项目</w:t>
            </w:r>
          </w:p>
        </w:tc>
        <w:tc>
          <w:tcPr>
            <w:tcW w:w="8880" w:type="dxa"/>
            <w:shd w:val="clear" w:color="000000" w:fill="FFFFFF"/>
            <w:vAlign w:val="center"/>
          </w:tcPr>
          <w:p w14:paraId="453D62F9">
            <w:pPr>
              <w:pStyle w:val="41"/>
              <w:rPr>
                <w:rFonts w:hint="eastAsia"/>
                <w:b/>
                <w:bCs/>
              </w:rPr>
            </w:pPr>
            <w:r>
              <w:rPr>
                <w:b/>
                <w:bCs/>
              </w:rPr>
              <w:t>项目总占地34774.37平方米（约52亩）</w:t>
            </w:r>
            <w:r>
              <w:rPr>
                <w:rFonts w:hint="eastAsia"/>
                <w:b/>
                <w:bCs/>
              </w:rPr>
              <w:t>，</w:t>
            </w:r>
            <w:r>
              <w:rPr>
                <w:b/>
                <w:bCs/>
              </w:rPr>
              <w:t>总建筑规模69000平方米</w:t>
            </w:r>
            <w:r>
              <w:rPr>
                <w:rFonts w:hint="eastAsia"/>
                <w:b/>
                <w:bCs/>
              </w:rPr>
              <w:t>，</w:t>
            </w:r>
            <w:r>
              <w:rPr>
                <w:b/>
                <w:bCs/>
              </w:rPr>
              <w:t>主要建筑内容为3栋数据中心及辅助设施。</w:t>
            </w:r>
          </w:p>
        </w:tc>
        <w:tc>
          <w:tcPr>
            <w:tcW w:w="1499" w:type="dxa"/>
            <w:shd w:val="clear" w:color="000000" w:fill="FFFFFF"/>
            <w:vAlign w:val="center"/>
          </w:tcPr>
          <w:p w14:paraId="5F0ACB43">
            <w:pPr>
              <w:pStyle w:val="41"/>
              <w:rPr>
                <w:rFonts w:hint="eastAsia"/>
                <w:b/>
                <w:bCs/>
              </w:rPr>
            </w:pPr>
            <w:r>
              <w:rPr>
                <w:b/>
                <w:bCs/>
              </w:rPr>
              <w:t>廊坊市舟宇电子科技有限公司</w:t>
            </w:r>
          </w:p>
        </w:tc>
      </w:tr>
      <w:tr w14:paraId="7563C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87D4060">
            <w:pPr>
              <w:pStyle w:val="41"/>
              <w:rPr>
                <w:rFonts w:hint="eastAsia"/>
                <w:b/>
                <w:bCs/>
              </w:rPr>
            </w:pPr>
            <w:r>
              <w:rPr>
                <w:b/>
                <w:bCs/>
              </w:rPr>
              <w:t>39</w:t>
            </w:r>
          </w:p>
        </w:tc>
        <w:tc>
          <w:tcPr>
            <w:tcW w:w="2023" w:type="dxa"/>
            <w:shd w:val="clear" w:color="000000" w:fill="FFFFFF"/>
            <w:vAlign w:val="center"/>
          </w:tcPr>
          <w:p w14:paraId="281B93F2">
            <w:pPr>
              <w:pStyle w:val="41"/>
              <w:rPr>
                <w:rFonts w:hint="eastAsia"/>
                <w:b/>
                <w:bCs/>
              </w:rPr>
            </w:pPr>
            <w:r>
              <w:rPr>
                <w:b/>
                <w:bCs/>
              </w:rPr>
              <w:t>廊坊云琛数据科技有限公司智慧产业融合与创新云计算数据中心项目</w:t>
            </w:r>
          </w:p>
        </w:tc>
        <w:tc>
          <w:tcPr>
            <w:tcW w:w="8880" w:type="dxa"/>
            <w:shd w:val="clear" w:color="000000" w:fill="FFFFFF"/>
            <w:vAlign w:val="center"/>
          </w:tcPr>
          <w:p w14:paraId="45076210">
            <w:pPr>
              <w:pStyle w:val="41"/>
              <w:rPr>
                <w:rFonts w:hint="eastAsia"/>
                <w:b/>
                <w:bCs/>
              </w:rPr>
            </w:pPr>
            <w:r>
              <w:rPr>
                <w:b/>
                <w:bCs/>
              </w:rPr>
              <w:t>项目拟选址河北省廊坊市龙河高新技术产业开发区天高道北侧、汇智道南侧、富甲路西侧、富文道东侧地块，重点建设2栋数据中心、1栋设备用房，拟采用SDN技术和Mix-cloud产品，为大型云厂商、智能科技和互联网企业客户提供混合云产品服务、SDN网络服务以及核心节点AI计算保障服务等。</w:t>
            </w:r>
          </w:p>
        </w:tc>
        <w:tc>
          <w:tcPr>
            <w:tcW w:w="1499" w:type="dxa"/>
            <w:shd w:val="clear" w:color="000000" w:fill="FFFFFF"/>
            <w:vAlign w:val="center"/>
          </w:tcPr>
          <w:p w14:paraId="4749CDAA">
            <w:pPr>
              <w:pStyle w:val="41"/>
              <w:rPr>
                <w:rFonts w:hint="eastAsia"/>
                <w:b/>
                <w:bCs/>
              </w:rPr>
            </w:pPr>
            <w:r>
              <w:rPr>
                <w:b/>
                <w:bCs/>
              </w:rPr>
              <w:t>廊坊云琛数据科技有限公司</w:t>
            </w:r>
          </w:p>
        </w:tc>
      </w:tr>
      <w:tr w14:paraId="60F8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F178D7E">
            <w:pPr>
              <w:pStyle w:val="41"/>
              <w:rPr>
                <w:rFonts w:hint="eastAsia"/>
                <w:b/>
                <w:bCs/>
              </w:rPr>
            </w:pPr>
            <w:r>
              <w:rPr>
                <w:b/>
                <w:bCs/>
              </w:rPr>
              <w:t>40</w:t>
            </w:r>
          </w:p>
        </w:tc>
        <w:tc>
          <w:tcPr>
            <w:tcW w:w="2023" w:type="dxa"/>
            <w:shd w:val="clear" w:color="000000" w:fill="FFFFFF"/>
            <w:vAlign w:val="center"/>
          </w:tcPr>
          <w:p w14:paraId="159BD37F">
            <w:pPr>
              <w:pStyle w:val="41"/>
              <w:rPr>
                <w:rFonts w:hint="eastAsia"/>
                <w:b/>
                <w:bCs/>
              </w:rPr>
            </w:pPr>
            <w:r>
              <w:rPr>
                <w:b/>
                <w:bCs/>
              </w:rPr>
              <w:t>中通快递北方总部项目</w:t>
            </w:r>
          </w:p>
        </w:tc>
        <w:tc>
          <w:tcPr>
            <w:tcW w:w="8880" w:type="dxa"/>
            <w:shd w:val="clear" w:color="000000" w:fill="FFFFFF"/>
            <w:vAlign w:val="center"/>
          </w:tcPr>
          <w:p w14:paraId="160D75DF">
            <w:pPr>
              <w:pStyle w:val="41"/>
              <w:rPr>
                <w:rFonts w:hint="eastAsia"/>
                <w:b/>
                <w:bCs/>
              </w:rPr>
            </w:pPr>
            <w:r>
              <w:rPr>
                <w:b/>
                <w:bCs/>
              </w:rPr>
              <w:t>项目占地215408.82平方米（约合323亩），总建筑面积约295018.18平方米，主要规划建设一幢办公楼、二幢倒班楼、二幢分拣车间、二幢快运车间、五间门卫及地下室等配套设施；项目建成后作为北方总部，年发件10亿件。</w:t>
            </w:r>
          </w:p>
        </w:tc>
        <w:tc>
          <w:tcPr>
            <w:tcW w:w="1499" w:type="dxa"/>
            <w:shd w:val="clear" w:color="000000" w:fill="FFFFFF"/>
            <w:vAlign w:val="center"/>
          </w:tcPr>
          <w:p w14:paraId="1D6FB179">
            <w:pPr>
              <w:pStyle w:val="41"/>
              <w:rPr>
                <w:rFonts w:hint="eastAsia"/>
                <w:b/>
                <w:bCs/>
              </w:rPr>
            </w:pPr>
            <w:r>
              <w:rPr>
                <w:b/>
                <w:bCs/>
              </w:rPr>
              <w:t>河北睿旺通供应链有限公司</w:t>
            </w:r>
          </w:p>
        </w:tc>
      </w:tr>
      <w:tr w14:paraId="18B45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C7E54C7">
            <w:pPr>
              <w:pStyle w:val="41"/>
              <w:rPr>
                <w:rFonts w:hint="eastAsia"/>
                <w:b/>
                <w:bCs/>
              </w:rPr>
            </w:pPr>
            <w:r>
              <w:rPr>
                <w:b/>
                <w:bCs/>
              </w:rPr>
              <w:t>41</w:t>
            </w:r>
          </w:p>
        </w:tc>
        <w:tc>
          <w:tcPr>
            <w:tcW w:w="2023" w:type="dxa"/>
            <w:shd w:val="clear" w:color="000000" w:fill="FFFFFF"/>
            <w:vAlign w:val="center"/>
          </w:tcPr>
          <w:p w14:paraId="058731B6">
            <w:pPr>
              <w:pStyle w:val="41"/>
              <w:rPr>
                <w:rFonts w:hint="eastAsia"/>
                <w:b/>
                <w:bCs/>
              </w:rPr>
            </w:pPr>
            <w:r>
              <w:rPr>
                <w:b/>
                <w:bCs/>
              </w:rPr>
              <w:t>壹佰康复医院建设项目</w:t>
            </w:r>
          </w:p>
        </w:tc>
        <w:tc>
          <w:tcPr>
            <w:tcW w:w="8880" w:type="dxa"/>
            <w:shd w:val="clear" w:color="000000" w:fill="FFFFFF"/>
            <w:vAlign w:val="center"/>
          </w:tcPr>
          <w:p w14:paraId="2E8AB74F">
            <w:pPr>
              <w:pStyle w:val="41"/>
              <w:rPr>
                <w:rFonts w:hint="eastAsia"/>
                <w:b/>
                <w:bCs/>
              </w:rPr>
            </w:pPr>
            <w:r>
              <w:rPr>
                <w:b/>
                <w:bCs/>
              </w:rPr>
              <w:t>本项目总投资约9.1亿元，占地面积43.5亩（29001.5平方米），总建筑面积103736</w:t>
            </w:r>
            <w:r>
              <w:rPr>
                <w:rFonts w:hint="eastAsia"/>
                <w:b/>
                <w:bCs/>
              </w:rPr>
              <w:t>平方</w:t>
            </w:r>
            <w:r>
              <w:rPr>
                <w:b/>
                <w:bCs/>
              </w:rPr>
              <w:t>米。其中地上建筑面积58003平米，地下建筑面积45733平米，建设以康复医学为特色，集医疗、康复、教学、科研于一体的专科康复医院。为廊坊市、北京市患者提供康复医疗服务，构建全国范围的康复医学诊疗中心。</w:t>
            </w:r>
          </w:p>
        </w:tc>
        <w:tc>
          <w:tcPr>
            <w:tcW w:w="1499" w:type="dxa"/>
            <w:shd w:val="clear" w:color="000000" w:fill="FFFFFF"/>
            <w:vAlign w:val="center"/>
          </w:tcPr>
          <w:p w14:paraId="1AA72147">
            <w:pPr>
              <w:pStyle w:val="41"/>
              <w:rPr>
                <w:rFonts w:hint="eastAsia"/>
                <w:b/>
                <w:bCs/>
              </w:rPr>
            </w:pPr>
            <w:r>
              <w:rPr>
                <w:b/>
                <w:bCs/>
              </w:rPr>
              <w:t>廊坊市壹佰康复医院有限公司</w:t>
            </w:r>
          </w:p>
        </w:tc>
      </w:tr>
      <w:tr w14:paraId="521D9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881F334">
            <w:pPr>
              <w:pStyle w:val="41"/>
              <w:rPr>
                <w:rFonts w:hint="eastAsia"/>
                <w:b/>
                <w:bCs/>
              </w:rPr>
            </w:pPr>
            <w:r>
              <w:rPr>
                <w:b/>
                <w:bCs/>
              </w:rPr>
              <w:t>42</w:t>
            </w:r>
          </w:p>
        </w:tc>
        <w:tc>
          <w:tcPr>
            <w:tcW w:w="2023" w:type="dxa"/>
            <w:shd w:val="clear" w:color="000000" w:fill="FFFFFF"/>
            <w:vAlign w:val="center"/>
          </w:tcPr>
          <w:p w14:paraId="0C5BF985">
            <w:pPr>
              <w:pStyle w:val="41"/>
              <w:rPr>
                <w:rFonts w:hint="eastAsia"/>
                <w:b/>
                <w:bCs/>
              </w:rPr>
            </w:pPr>
            <w:r>
              <w:rPr>
                <w:b/>
                <w:bCs/>
              </w:rPr>
              <w:t>廊坊市妇幼保健院（廊坊市儿童医院）迁建项目</w:t>
            </w:r>
          </w:p>
        </w:tc>
        <w:tc>
          <w:tcPr>
            <w:tcW w:w="8880" w:type="dxa"/>
            <w:shd w:val="clear" w:color="000000" w:fill="FFFFFF"/>
            <w:vAlign w:val="center"/>
          </w:tcPr>
          <w:p w14:paraId="3F801ECF">
            <w:pPr>
              <w:pStyle w:val="41"/>
              <w:rPr>
                <w:rFonts w:hint="eastAsia"/>
                <w:b/>
                <w:bCs/>
              </w:rPr>
            </w:pPr>
            <w:r>
              <w:rPr>
                <w:b/>
                <w:bCs/>
              </w:rPr>
              <w:t>本项目由综合医疗区、发热门诊、地下室、医疗垃圾处理、门卫、污水处理、生活垃圾处理、液氧站、公厕及其他室外工程组成，规划总用地面积：42038.53㎡，总建筑面积：105312.0㎡，其中地上建筑面积：63053.0㎡，地下建筑面积：42259.0㎡。院区总床位数600张</w:t>
            </w:r>
          </w:p>
        </w:tc>
        <w:tc>
          <w:tcPr>
            <w:tcW w:w="1499" w:type="dxa"/>
            <w:shd w:val="clear" w:color="000000" w:fill="FFFFFF"/>
            <w:vAlign w:val="center"/>
          </w:tcPr>
          <w:p w14:paraId="312ACD95">
            <w:pPr>
              <w:pStyle w:val="41"/>
              <w:rPr>
                <w:rFonts w:hint="eastAsia"/>
                <w:b/>
                <w:bCs/>
              </w:rPr>
            </w:pPr>
            <w:r>
              <w:rPr>
                <w:b/>
                <w:bCs/>
              </w:rPr>
              <w:t>廊坊市妇幼保健院</w:t>
            </w:r>
          </w:p>
        </w:tc>
      </w:tr>
      <w:tr w14:paraId="5E87F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3B2CB43">
            <w:pPr>
              <w:pStyle w:val="41"/>
              <w:rPr>
                <w:rFonts w:hint="eastAsia"/>
                <w:b/>
                <w:bCs/>
              </w:rPr>
            </w:pPr>
            <w:r>
              <w:rPr>
                <w:b/>
                <w:bCs/>
              </w:rPr>
              <w:t>43</w:t>
            </w:r>
          </w:p>
        </w:tc>
        <w:tc>
          <w:tcPr>
            <w:tcW w:w="2023" w:type="dxa"/>
            <w:shd w:val="clear" w:color="000000" w:fill="FFFFFF"/>
            <w:vAlign w:val="center"/>
          </w:tcPr>
          <w:p w14:paraId="0D2C9BEA">
            <w:pPr>
              <w:pStyle w:val="41"/>
              <w:rPr>
                <w:rFonts w:hint="eastAsia"/>
                <w:b/>
                <w:bCs/>
              </w:rPr>
            </w:pPr>
            <w:r>
              <w:rPr>
                <w:b/>
                <w:bCs/>
              </w:rPr>
              <w:t>国道G105石何营至九州连接线段新建工程</w:t>
            </w:r>
          </w:p>
        </w:tc>
        <w:tc>
          <w:tcPr>
            <w:tcW w:w="8880" w:type="dxa"/>
            <w:shd w:val="clear" w:color="000000" w:fill="FFFFFF"/>
            <w:vAlign w:val="center"/>
          </w:tcPr>
          <w:p w14:paraId="036619EE">
            <w:pPr>
              <w:pStyle w:val="41"/>
              <w:rPr>
                <w:rFonts w:hint="eastAsia"/>
                <w:b/>
                <w:bCs/>
              </w:rPr>
            </w:pPr>
            <w:r>
              <w:rPr>
                <w:b/>
                <w:bCs/>
              </w:rPr>
              <w:t>新建约6.5公里双向六车道一级公路，设计速度80公里/小时，路基宽33米，路面面层采用沥青混凝土结构，新建桥涵设计汽车荷载等级采用公路—Ⅰ级。</w:t>
            </w:r>
          </w:p>
        </w:tc>
        <w:tc>
          <w:tcPr>
            <w:tcW w:w="1499" w:type="dxa"/>
            <w:shd w:val="clear" w:color="000000" w:fill="FFFFFF"/>
            <w:vAlign w:val="center"/>
          </w:tcPr>
          <w:p w14:paraId="7EFD8298">
            <w:pPr>
              <w:pStyle w:val="41"/>
              <w:rPr>
                <w:rFonts w:hint="eastAsia"/>
                <w:b/>
                <w:bCs/>
              </w:rPr>
            </w:pPr>
            <w:r>
              <w:rPr>
                <w:b/>
                <w:bCs/>
              </w:rPr>
              <w:t>廊坊市交通运输局</w:t>
            </w:r>
          </w:p>
        </w:tc>
      </w:tr>
      <w:tr w14:paraId="7938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13B6E89">
            <w:pPr>
              <w:pStyle w:val="41"/>
              <w:rPr>
                <w:rFonts w:hint="eastAsia"/>
                <w:b/>
                <w:bCs/>
              </w:rPr>
            </w:pPr>
            <w:r>
              <w:rPr>
                <w:b/>
                <w:bCs/>
              </w:rPr>
              <w:t>44</w:t>
            </w:r>
          </w:p>
        </w:tc>
        <w:tc>
          <w:tcPr>
            <w:tcW w:w="2023" w:type="dxa"/>
            <w:shd w:val="clear" w:color="000000" w:fill="FFFFFF"/>
            <w:vAlign w:val="center"/>
          </w:tcPr>
          <w:p w14:paraId="000C548A">
            <w:pPr>
              <w:pStyle w:val="41"/>
              <w:rPr>
                <w:rFonts w:hint="eastAsia"/>
                <w:b/>
                <w:bCs/>
              </w:rPr>
            </w:pPr>
            <w:r>
              <w:rPr>
                <w:b/>
                <w:bCs/>
              </w:rPr>
              <w:t>廊坊市龙河</w:t>
            </w:r>
            <w:r>
              <w:rPr>
                <w:rFonts w:hint="eastAsia"/>
                <w:b/>
                <w:bCs/>
              </w:rPr>
              <w:t>（</w:t>
            </w:r>
            <w:r>
              <w:rPr>
                <w:b/>
                <w:bCs/>
              </w:rPr>
              <w:t>广阳段</w:t>
            </w:r>
            <w:r>
              <w:rPr>
                <w:rFonts w:hint="eastAsia"/>
                <w:b/>
                <w:bCs/>
              </w:rPr>
              <w:t>）</w:t>
            </w:r>
            <w:r>
              <w:rPr>
                <w:b/>
                <w:bCs/>
              </w:rPr>
              <w:t>综合治理与生态修复工程</w:t>
            </w:r>
          </w:p>
        </w:tc>
        <w:tc>
          <w:tcPr>
            <w:tcW w:w="8880" w:type="dxa"/>
            <w:shd w:val="clear" w:color="000000" w:fill="FFFFFF"/>
            <w:vAlign w:val="center"/>
          </w:tcPr>
          <w:p w14:paraId="7413F2A5">
            <w:pPr>
              <w:pStyle w:val="41"/>
              <w:rPr>
                <w:rFonts w:hint="eastAsia"/>
                <w:b/>
                <w:bCs/>
              </w:rPr>
            </w:pPr>
            <w:r>
              <w:rPr>
                <w:b/>
                <w:bCs/>
              </w:rPr>
              <w:t>龙河京冀界至光明西道桥治理长度15.57km，包括：河道主槽整治15.57km、护岸6.32km，两岸堤防加高加固（新建）9.0km、新建围埝1.48km、加高永北干渠右堤1.5km、新建两岸巡河路31.14km、新建两岸排水建筑物24座等</w:t>
            </w:r>
          </w:p>
        </w:tc>
        <w:tc>
          <w:tcPr>
            <w:tcW w:w="1499" w:type="dxa"/>
            <w:shd w:val="clear" w:color="000000" w:fill="FFFFFF"/>
            <w:vAlign w:val="center"/>
          </w:tcPr>
          <w:p w14:paraId="3C508CD8">
            <w:pPr>
              <w:pStyle w:val="41"/>
              <w:rPr>
                <w:rFonts w:hint="eastAsia"/>
                <w:b/>
                <w:bCs/>
              </w:rPr>
            </w:pPr>
            <w:r>
              <w:rPr>
                <w:b/>
                <w:bCs/>
              </w:rPr>
              <w:t>永定河流域投资有限公司</w:t>
            </w:r>
          </w:p>
        </w:tc>
      </w:tr>
      <w:tr w14:paraId="5073D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5760321">
            <w:pPr>
              <w:pStyle w:val="41"/>
              <w:rPr>
                <w:rFonts w:hint="eastAsia"/>
                <w:b/>
                <w:bCs/>
              </w:rPr>
            </w:pPr>
            <w:r>
              <w:rPr>
                <w:b/>
                <w:bCs/>
              </w:rPr>
              <w:t>45</w:t>
            </w:r>
          </w:p>
        </w:tc>
        <w:tc>
          <w:tcPr>
            <w:tcW w:w="2023" w:type="dxa"/>
            <w:shd w:val="clear" w:color="000000" w:fill="FFFFFF"/>
            <w:vAlign w:val="center"/>
          </w:tcPr>
          <w:p w14:paraId="4B63054B">
            <w:pPr>
              <w:pStyle w:val="41"/>
              <w:rPr>
                <w:rFonts w:hint="eastAsia"/>
                <w:b/>
                <w:bCs/>
              </w:rPr>
            </w:pPr>
            <w:r>
              <w:rPr>
                <w:b/>
                <w:bCs/>
              </w:rPr>
              <w:t>廊坊市广阳区人民医院迁址建设项目</w:t>
            </w:r>
          </w:p>
        </w:tc>
        <w:tc>
          <w:tcPr>
            <w:tcW w:w="8880" w:type="dxa"/>
            <w:shd w:val="clear" w:color="000000" w:fill="FFFFFF"/>
            <w:vAlign w:val="center"/>
          </w:tcPr>
          <w:p w14:paraId="30CEF546">
            <w:pPr>
              <w:pStyle w:val="41"/>
              <w:rPr>
                <w:rFonts w:hint="eastAsia"/>
                <w:b/>
                <w:bCs/>
              </w:rPr>
            </w:pPr>
            <w:r>
              <w:rPr>
                <w:b/>
                <w:bCs/>
              </w:rPr>
              <w:t>总占地面积28381.35平方米，总建筑面积53580平方米</w:t>
            </w:r>
          </w:p>
        </w:tc>
        <w:tc>
          <w:tcPr>
            <w:tcW w:w="1499" w:type="dxa"/>
            <w:shd w:val="clear" w:color="000000" w:fill="FFFFFF"/>
            <w:vAlign w:val="center"/>
          </w:tcPr>
          <w:p w14:paraId="0EA44EE8">
            <w:pPr>
              <w:pStyle w:val="41"/>
              <w:rPr>
                <w:rFonts w:hint="eastAsia"/>
                <w:b/>
                <w:bCs/>
              </w:rPr>
            </w:pPr>
            <w:r>
              <w:rPr>
                <w:rFonts w:hint="eastAsia"/>
                <w:b/>
                <w:bCs/>
              </w:rPr>
              <w:t>广阳区</w:t>
            </w:r>
            <w:r>
              <w:rPr>
                <w:b/>
                <w:bCs/>
              </w:rPr>
              <w:t>卫健局</w:t>
            </w:r>
          </w:p>
        </w:tc>
      </w:tr>
      <w:tr w14:paraId="604E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62217B8">
            <w:pPr>
              <w:pStyle w:val="41"/>
              <w:rPr>
                <w:rFonts w:hint="eastAsia"/>
                <w:b/>
                <w:bCs/>
              </w:rPr>
            </w:pPr>
            <w:r>
              <w:rPr>
                <w:b/>
                <w:bCs/>
              </w:rPr>
              <w:t>46</w:t>
            </w:r>
          </w:p>
        </w:tc>
        <w:tc>
          <w:tcPr>
            <w:tcW w:w="2023" w:type="dxa"/>
            <w:shd w:val="clear" w:color="000000" w:fill="FFFFFF"/>
            <w:vAlign w:val="center"/>
          </w:tcPr>
          <w:p w14:paraId="64F4B39A">
            <w:pPr>
              <w:pStyle w:val="41"/>
              <w:rPr>
                <w:rFonts w:hint="eastAsia"/>
                <w:b/>
                <w:bCs/>
              </w:rPr>
            </w:pPr>
            <w:r>
              <w:rPr>
                <w:b/>
                <w:bCs/>
              </w:rPr>
              <w:t>廊坊市龙河综合治理与生态修复工程（银河南路至东张务闸段）</w:t>
            </w:r>
          </w:p>
        </w:tc>
        <w:tc>
          <w:tcPr>
            <w:tcW w:w="8880" w:type="dxa"/>
            <w:shd w:val="clear" w:color="000000" w:fill="FFFFFF"/>
            <w:vAlign w:val="center"/>
          </w:tcPr>
          <w:p w14:paraId="1A9AF8E8">
            <w:pPr>
              <w:pStyle w:val="41"/>
              <w:rPr>
                <w:rFonts w:hint="eastAsia"/>
                <w:b/>
                <w:bCs/>
              </w:rPr>
            </w:pPr>
            <w:r>
              <w:rPr>
                <w:b/>
                <w:bCs/>
              </w:rPr>
              <w:t>对龙河银河南路至东张务闸段河道清淤扩挖、堤防填筑、穿堤建筑物及跨河建筑物建设等</w:t>
            </w:r>
          </w:p>
        </w:tc>
        <w:tc>
          <w:tcPr>
            <w:tcW w:w="1499" w:type="dxa"/>
            <w:shd w:val="clear" w:color="000000" w:fill="FFFFFF"/>
            <w:vAlign w:val="center"/>
          </w:tcPr>
          <w:p w14:paraId="464BAD94">
            <w:pPr>
              <w:pStyle w:val="41"/>
              <w:rPr>
                <w:rFonts w:hint="eastAsia"/>
                <w:b/>
                <w:bCs/>
              </w:rPr>
            </w:pPr>
            <w:r>
              <w:rPr>
                <w:b/>
                <w:bCs/>
              </w:rPr>
              <w:t>廊坊市安次区水利局</w:t>
            </w:r>
          </w:p>
        </w:tc>
      </w:tr>
      <w:tr w14:paraId="10114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D8146AD">
            <w:pPr>
              <w:pStyle w:val="41"/>
              <w:rPr>
                <w:rFonts w:hint="eastAsia"/>
                <w:b/>
                <w:bCs/>
              </w:rPr>
            </w:pPr>
            <w:r>
              <w:rPr>
                <w:b/>
                <w:bCs/>
              </w:rPr>
              <w:t>47</w:t>
            </w:r>
          </w:p>
        </w:tc>
        <w:tc>
          <w:tcPr>
            <w:tcW w:w="2023" w:type="dxa"/>
            <w:shd w:val="clear" w:color="000000" w:fill="FFFFFF"/>
            <w:vAlign w:val="center"/>
          </w:tcPr>
          <w:p w14:paraId="73814B16">
            <w:pPr>
              <w:pStyle w:val="41"/>
              <w:rPr>
                <w:rFonts w:hint="eastAsia"/>
                <w:b/>
                <w:bCs/>
              </w:rPr>
            </w:pPr>
            <w:r>
              <w:rPr>
                <w:b/>
                <w:bCs/>
              </w:rPr>
              <w:t>廊坊热电厂集中供热管网一期工程</w:t>
            </w:r>
          </w:p>
        </w:tc>
        <w:tc>
          <w:tcPr>
            <w:tcW w:w="8880" w:type="dxa"/>
            <w:shd w:val="clear" w:color="000000" w:fill="FFFFFF"/>
            <w:vAlign w:val="center"/>
          </w:tcPr>
          <w:p w14:paraId="422A8EF1">
            <w:pPr>
              <w:pStyle w:val="41"/>
              <w:rPr>
                <w:rFonts w:hint="eastAsia"/>
                <w:b/>
                <w:bCs/>
              </w:rPr>
            </w:pPr>
            <w:r>
              <w:rPr>
                <w:b/>
                <w:bCs/>
              </w:rPr>
              <w:t>本项目以廊坊热电厂燃煤机组为供热热源向廊坊市安次区、广阳经开区、廊坊开发区提供采暖供热，并预留廊坊临空经济区供热接口。工程主干管线总长度2×31.5千米，管径2×DN1400</w:t>
            </w:r>
            <w:r>
              <w:rPr>
                <w:rFonts w:hint="eastAsia"/>
                <w:b/>
                <w:bCs/>
              </w:rPr>
              <w:t>，</w:t>
            </w:r>
            <w:r>
              <w:rPr>
                <w:b/>
                <w:bCs/>
              </w:rPr>
              <w:t>预留DN1000、DN900、DN800的分支接口。</w:t>
            </w:r>
          </w:p>
        </w:tc>
        <w:tc>
          <w:tcPr>
            <w:tcW w:w="1499" w:type="dxa"/>
            <w:shd w:val="clear" w:color="000000" w:fill="FFFFFF"/>
            <w:vAlign w:val="center"/>
          </w:tcPr>
          <w:p w14:paraId="75BA8871">
            <w:pPr>
              <w:pStyle w:val="41"/>
              <w:rPr>
                <w:rFonts w:hint="eastAsia"/>
                <w:b/>
                <w:bCs/>
              </w:rPr>
            </w:pPr>
            <w:r>
              <w:rPr>
                <w:b/>
                <w:bCs/>
              </w:rPr>
              <w:t>国家能源集团华北电力有限公司廊坊热电厂</w:t>
            </w:r>
          </w:p>
        </w:tc>
      </w:tr>
      <w:tr w14:paraId="2AF90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325179C">
            <w:pPr>
              <w:pStyle w:val="41"/>
              <w:rPr>
                <w:rFonts w:hint="eastAsia"/>
                <w:b/>
                <w:bCs/>
              </w:rPr>
            </w:pPr>
            <w:r>
              <w:rPr>
                <w:b/>
                <w:bCs/>
              </w:rPr>
              <w:t>48</w:t>
            </w:r>
          </w:p>
        </w:tc>
        <w:tc>
          <w:tcPr>
            <w:tcW w:w="2023" w:type="dxa"/>
            <w:shd w:val="clear" w:color="000000" w:fill="FFFFFF"/>
            <w:vAlign w:val="center"/>
          </w:tcPr>
          <w:p w14:paraId="4107712C">
            <w:pPr>
              <w:pStyle w:val="41"/>
              <w:rPr>
                <w:rFonts w:hint="eastAsia"/>
                <w:b/>
                <w:bCs/>
              </w:rPr>
            </w:pPr>
            <w:r>
              <w:rPr>
                <w:b/>
                <w:bCs/>
              </w:rPr>
              <w:t>安次区文化中心</w:t>
            </w:r>
          </w:p>
        </w:tc>
        <w:tc>
          <w:tcPr>
            <w:tcW w:w="8880" w:type="dxa"/>
            <w:shd w:val="clear" w:color="000000" w:fill="FFFFFF"/>
            <w:vAlign w:val="center"/>
          </w:tcPr>
          <w:p w14:paraId="558D72FC">
            <w:pPr>
              <w:pStyle w:val="41"/>
              <w:rPr>
                <w:rFonts w:hint="eastAsia"/>
                <w:b/>
                <w:bCs/>
              </w:rPr>
            </w:pPr>
            <w:r>
              <w:rPr>
                <w:b/>
                <w:bCs/>
              </w:rPr>
              <w:t>拟建文化中心项目占地面积为18920.50平方米，总建筑面积48457.31平方米</w:t>
            </w:r>
          </w:p>
        </w:tc>
        <w:tc>
          <w:tcPr>
            <w:tcW w:w="1499" w:type="dxa"/>
            <w:shd w:val="clear" w:color="000000" w:fill="FFFFFF"/>
            <w:vAlign w:val="center"/>
          </w:tcPr>
          <w:p w14:paraId="2E8121C3">
            <w:pPr>
              <w:pStyle w:val="41"/>
              <w:rPr>
                <w:rFonts w:hint="eastAsia"/>
                <w:b/>
                <w:bCs/>
              </w:rPr>
            </w:pPr>
            <w:r>
              <w:rPr>
                <w:b/>
                <w:bCs/>
              </w:rPr>
              <w:t>廊坊市安次区文化广电和旅游局</w:t>
            </w:r>
          </w:p>
        </w:tc>
      </w:tr>
      <w:tr w14:paraId="03646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E460A1E">
            <w:pPr>
              <w:pStyle w:val="41"/>
              <w:rPr>
                <w:rFonts w:hint="eastAsia"/>
                <w:b/>
                <w:bCs/>
              </w:rPr>
            </w:pPr>
            <w:r>
              <w:rPr>
                <w:b/>
                <w:bCs/>
              </w:rPr>
              <w:t>49</w:t>
            </w:r>
          </w:p>
        </w:tc>
        <w:tc>
          <w:tcPr>
            <w:tcW w:w="2023" w:type="dxa"/>
            <w:shd w:val="clear" w:color="000000" w:fill="FFFFFF"/>
            <w:vAlign w:val="center"/>
          </w:tcPr>
          <w:p w14:paraId="4FFEFFE8">
            <w:pPr>
              <w:pStyle w:val="41"/>
              <w:rPr>
                <w:rFonts w:hint="eastAsia"/>
                <w:b/>
                <w:bCs/>
              </w:rPr>
            </w:pPr>
            <w:r>
              <w:rPr>
                <w:b/>
                <w:bCs/>
              </w:rPr>
              <w:t>廊坊开发区第二污水处理厂工程</w:t>
            </w:r>
          </w:p>
        </w:tc>
        <w:tc>
          <w:tcPr>
            <w:tcW w:w="8880" w:type="dxa"/>
            <w:shd w:val="clear" w:color="000000" w:fill="FFFFFF"/>
            <w:vAlign w:val="center"/>
          </w:tcPr>
          <w:p w14:paraId="04AC4D6A">
            <w:pPr>
              <w:pStyle w:val="41"/>
              <w:rPr>
                <w:rFonts w:hint="eastAsia"/>
                <w:b/>
                <w:bCs/>
              </w:rPr>
            </w:pPr>
            <w:r>
              <w:rPr>
                <w:b/>
                <w:bCs/>
              </w:rPr>
              <w:t>本项目设计处理规模40000</w:t>
            </w:r>
            <w:r>
              <w:rPr>
                <w:rFonts w:hint="eastAsia"/>
                <w:b/>
                <w:bCs/>
              </w:rPr>
              <w:t>m³</w:t>
            </w:r>
            <w:r>
              <w:rPr>
                <w:b/>
                <w:bCs/>
              </w:rPr>
              <w:t>/d，一次建成。污水处理厂处理后排放水标准不低于《北京市地方标准-城镇污水处理厂水污染物排放标准》（DB11890-2012）中B标准。新建提升泵站提升量80000</w:t>
            </w:r>
            <w:r>
              <w:rPr>
                <w:rFonts w:hint="eastAsia"/>
                <w:b/>
                <w:bCs/>
              </w:rPr>
              <w:t>m³</w:t>
            </w:r>
            <w:r>
              <w:rPr>
                <w:b/>
                <w:bCs/>
              </w:rPr>
              <w:t>/d。</w:t>
            </w:r>
          </w:p>
        </w:tc>
        <w:tc>
          <w:tcPr>
            <w:tcW w:w="1499" w:type="dxa"/>
            <w:shd w:val="clear" w:color="000000" w:fill="FFFFFF"/>
            <w:vAlign w:val="center"/>
          </w:tcPr>
          <w:p w14:paraId="61227EB9">
            <w:pPr>
              <w:pStyle w:val="41"/>
              <w:rPr>
                <w:rFonts w:hint="eastAsia"/>
                <w:b/>
                <w:bCs/>
              </w:rPr>
            </w:pPr>
            <w:r>
              <w:rPr>
                <w:b/>
                <w:bCs/>
              </w:rPr>
              <w:t>廊坊经济技术开发区管理委员会</w:t>
            </w:r>
          </w:p>
        </w:tc>
      </w:tr>
      <w:tr w14:paraId="00B4D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DDB1A76">
            <w:pPr>
              <w:pStyle w:val="41"/>
              <w:rPr>
                <w:rFonts w:hint="eastAsia"/>
                <w:b/>
                <w:bCs/>
              </w:rPr>
            </w:pPr>
            <w:r>
              <w:rPr>
                <w:b/>
                <w:bCs/>
              </w:rPr>
              <w:t>50</w:t>
            </w:r>
          </w:p>
        </w:tc>
        <w:tc>
          <w:tcPr>
            <w:tcW w:w="2023" w:type="dxa"/>
            <w:shd w:val="clear" w:color="000000" w:fill="FFFFFF"/>
            <w:vAlign w:val="center"/>
          </w:tcPr>
          <w:p w14:paraId="1992EA86">
            <w:pPr>
              <w:pStyle w:val="41"/>
              <w:rPr>
                <w:rFonts w:hint="eastAsia"/>
                <w:b/>
                <w:bCs/>
              </w:rPr>
            </w:pPr>
            <w:r>
              <w:rPr>
                <w:b/>
                <w:bCs/>
              </w:rPr>
              <w:t>廊坊市中心血站迁建项目</w:t>
            </w:r>
          </w:p>
        </w:tc>
        <w:tc>
          <w:tcPr>
            <w:tcW w:w="8880" w:type="dxa"/>
            <w:shd w:val="clear" w:color="000000" w:fill="FFFFFF"/>
            <w:vAlign w:val="center"/>
          </w:tcPr>
          <w:p w14:paraId="343BDF5C">
            <w:pPr>
              <w:pStyle w:val="41"/>
              <w:rPr>
                <w:rFonts w:hint="eastAsia"/>
                <w:b/>
                <w:bCs/>
              </w:rPr>
            </w:pPr>
            <w:r>
              <w:rPr>
                <w:b/>
                <w:bCs/>
              </w:rPr>
              <w:t>项目包含综合楼、柴油发电机房、医废暂存间和室外工程。综合楼地上建筑包含附属楼、保障楼和业务楼三部分，地下部分为车库和设备用房。项目总用地面积25亩，约16666.67</w:t>
            </w:r>
            <w:r>
              <w:rPr>
                <w:rFonts w:hint="eastAsia"/>
                <w:b/>
                <w:bCs/>
              </w:rPr>
              <w:t>㎡</w:t>
            </w:r>
            <w:r>
              <w:rPr>
                <w:b/>
                <w:bCs/>
              </w:rPr>
              <w:t>。建筑总建筑面积23800.00</w:t>
            </w:r>
            <w:r>
              <w:rPr>
                <w:rFonts w:hint="eastAsia"/>
                <w:b/>
                <w:bCs/>
              </w:rPr>
              <w:t>㎡</w:t>
            </w:r>
            <w:r>
              <w:rPr>
                <w:b/>
                <w:bCs/>
              </w:rPr>
              <w:t>，其中地上建筑面积16000.00</w:t>
            </w:r>
            <w:r>
              <w:rPr>
                <w:rFonts w:hint="eastAsia"/>
                <w:b/>
                <w:bCs/>
              </w:rPr>
              <w:t>㎡</w:t>
            </w:r>
            <w:r>
              <w:rPr>
                <w:b/>
                <w:bCs/>
              </w:rPr>
              <w:t>，地下建筑面积7800.00</w:t>
            </w:r>
            <w:r>
              <w:rPr>
                <w:rFonts w:hint="eastAsia"/>
                <w:b/>
                <w:bCs/>
              </w:rPr>
              <w:t>㎡</w:t>
            </w:r>
          </w:p>
        </w:tc>
        <w:tc>
          <w:tcPr>
            <w:tcW w:w="1499" w:type="dxa"/>
            <w:shd w:val="clear" w:color="000000" w:fill="FFFFFF"/>
            <w:vAlign w:val="center"/>
          </w:tcPr>
          <w:p w14:paraId="77F4AD9A">
            <w:pPr>
              <w:pStyle w:val="41"/>
              <w:rPr>
                <w:rFonts w:hint="eastAsia"/>
                <w:b/>
                <w:bCs/>
              </w:rPr>
            </w:pPr>
            <w:r>
              <w:rPr>
                <w:b/>
                <w:bCs/>
              </w:rPr>
              <w:t>廊坊市中心血站</w:t>
            </w:r>
          </w:p>
        </w:tc>
      </w:tr>
      <w:tr w14:paraId="74A38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59C17C4">
            <w:pPr>
              <w:pStyle w:val="41"/>
              <w:rPr>
                <w:rFonts w:hint="eastAsia"/>
                <w:b/>
                <w:bCs/>
              </w:rPr>
            </w:pPr>
            <w:r>
              <w:rPr>
                <w:b/>
                <w:bCs/>
              </w:rPr>
              <w:t>51</w:t>
            </w:r>
          </w:p>
        </w:tc>
        <w:tc>
          <w:tcPr>
            <w:tcW w:w="2023" w:type="dxa"/>
            <w:shd w:val="clear" w:color="000000" w:fill="FFFFFF"/>
            <w:vAlign w:val="center"/>
          </w:tcPr>
          <w:p w14:paraId="404886C8">
            <w:pPr>
              <w:pStyle w:val="41"/>
              <w:rPr>
                <w:rFonts w:hint="eastAsia"/>
                <w:b/>
                <w:bCs/>
              </w:rPr>
            </w:pPr>
            <w:r>
              <w:rPr>
                <w:b/>
                <w:bCs/>
              </w:rPr>
              <w:t>纬五道（大皮营引渠</w:t>
            </w:r>
            <w:r>
              <w:rPr>
                <w:rFonts w:hint="eastAsia"/>
                <w:b/>
                <w:bCs/>
              </w:rPr>
              <w:t>－</w:t>
            </w:r>
            <w:r>
              <w:rPr>
                <w:b/>
                <w:bCs/>
              </w:rPr>
              <w:t>望京大道）道路工程经五路至望京大道段</w:t>
            </w:r>
          </w:p>
        </w:tc>
        <w:tc>
          <w:tcPr>
            <w:tcW w:w="8880" w:type="dxa"/>
            <w:shd w:val="clear" w:color="000000" w:fill="FFFFFF"/>
            <w:vAlign w:val="center"/>
          </w:tcPr>
          <w:p w14:paraId="39677E06">
            <w:pPr>
              <w:pStyle w:val="41"/>
              <w:rPr>
                <w:rFonts w:hint="eastAsia"/>
                <w:b/>
                <w:bCs/>
              </w:rPr>
            </w:pPr>
            <w:r>
              <w:rPr>
                <w:b/>
                <w:bCs/>
              </w:rPr>
              <w:t>包括道路工程、给排水工程等工程</w:t>
            </w:r>
          </w:p>
        </w:tc>
        <w:tc>
          <w:tcPr>
            <w:tcW w:w="1499" w:type="dxa"/>
            <w:shd w:val="clear" w:color="000000" w:fill="FFFFFF"/>
            <w:vAlign w:val="center"/>
          </w:tcPr>
          <w:p w14:paraId="525A7E13">
            <w:pPr>
              <w:pStyle w:val="41"/>
              <w:rPr>
                <w:rFonts w:hint="eastAsia"/>
                <w:b/>
                <w:bCs/>
              </w:rPr>
            </w:pPr>
            <w:r>
              <w:rPr>
                <w:b/>
                <w:bCs/>
              </w:rPr>
              <w:t>廊坊经济技术开发区管理委员会</w:t>
            </w:r>
          </w:p>
        </w:tc>
      </w:tr>
      <w:tr w14:paraId="6CE1A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16C9F64">
            <w:pPr>
              <w:pStyle w:val="41"/>
              <w:rPr>
                <w:rFonts w:hint="eastAsia"/>
                <w:b/>
                <w:bCs/>
              </w:rPr>
            </w:pPr>
            <w:r>
              <w:rPr>
                <w:b/>
                <w:bCs/>
              </w:rPr>
              <w:t>52</w:t>
            </w:r>
          </w:p>
        </w:tc>
        <w:tc>
          <w:tcPr>
            <w:tcW w:w="2023" w:type="dxa"/>
            <w:shd w:val="clear" w:color="000000" w:fill="FFFFFF"/>
            <w:vAlign w:val="center"/>
          </w:tcPr>
          <w:p w14:paraId="7F2B8C47">
            <w:pPr>
              <w:pStyle w:val="41"/>
              <w:rPr>
                <w:rFonts w:hint="eastAsia"/>
                <w:b/>
                <w:bCs/>
              </w:rPr>
            </w:pPr>
            <w:r>
              <w:rPr>
                <w:b/>
                <w:bCs/>
              </w:rPr>
              <w:t>北部新区汇源道雨水泵站及配套管网</w:t>
            </w:r>
          </w:p>
        </w:tc>
        <w:tc>
          <w:tcPr>
            <w:tcW w:w="8880" w:type="dxa"/>
            <w:shd w:val="clear" w:color="000000" w:fill="FFFFFF"/>
            <w:vAlign w:val="center"/>
          </w:tcPr>
          <w:p w14:paraId="44B16E89">
            <w:pPr>
              <w:pStyle w:val="41"/>
              <w:rPr>
                <w:rFonts w:hint="eastAsia"/>
                <w:b/>
                <w:bCs/>
              </w:rPr>
            </w:pPr>
            <w:r>
              <w:rPr>
                <w:b/>
                <w:bCs/>
              </w:rPr>
              <w:t>位置汇源道与八干渠交口西北角，服务于北部新区祥云道北侧区域地块，服务范围约2平方公里，雨水需通过汇源道泵站提升排入八干渠。规划流量15</w:t>
            </w:r>
            <w:r>
              <w:rPr>
                <w:rFonts w:hint="eastAsia"/>
                <w:b/>
                <w:bCs/>
              </w:rPr>
              <w:t>m³</w:t>
            </w:r>
            <w:r>
              <w:rPr>
                <w:b/>
                <w:bCs/>
              </w:rPr>
              <w:t>/s，占地面积7400</w:t>
            </w:r>
            <w:r>
              <w:rPr>
                <w:rFonts w:hint="eastAsia"/>
                <w:b/>
                <w:bCs/>
              </w:rPr>
              <w:t>㎡</w:t>
            </w:r>
            <w:r>
              <w:rPr>
                <w:b/>
                <w:bCs/>
              </w:rPr>
              <w:t>（11.1亩）。</w:t>
            </w:r>
          </w:p>
        </w:tc>
        <w:tc>
          <w:tcPr>
            <w:tcW w:w="1499" w:type="dxa"/>
            <w:shd w:val="clear" w:color="000000" w:fill="FFFFFF"/>
            <w:vAlign w:val="center"/>
          </w:tcPr>
          <w:p w14:paraId="65EA6997">
            <w:pPr>
              <w:pStyle w:val="41"/>
              <w:rPr>
                <w:rFonts w:hint="eastAsia"/>
                <w:b/>
                <w:bCs/>
              </w:rPr>
            </w:pPr>
            <w:r>
              <w:rPr>
                <w:b/>
                <w:bCs/>
              </w:rPr>
              <w:t>廊坊市住建局</w:t>
            </w:r>
          </w:p>
        </w:tc>
      </w:tr>
      <w:tr w14:paraId="41B0C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8E8C81E">
            <w:pPr>
              <w:pStyle w:val="41"/>
              <w:rPr>
                <w:rFonts w:hint="eastAsia"/>
                <w:b/>
                <w:bCs/>
              </w:rPr>
            </w:pPr>
            <w:r>
              <w:rPr>
                <w:b/>
                <w:bCs/>
              </w:rPr>
              <w:t>53</w:t>
            </w:r>
          </w:p>
        </w:tc>
        <w:tc>
          <w:tcPr>
            <w:tcW w:w="2023" w:type="dxa"/>
            <w:shd w:val="clear" w:color="000000" w:fill="FFFFFF"/>
            <w:vAlign w:val="center"/>
          </w:tcPr>
          <w:p w14:paraId="05520264">
            <w:pPr>
              <w:pStyle w:val="41"/>
              <w:rPr>
                <w:rFonts w:hint="eastAsia"/>
                <w:b/>
                <w:bCs/>
              </w:rPr>
            </w:pPr>
            <w:r>
              <w:rPr>
                <w:b/>
                <w:bCs/>
              </w:rPr>
              <w:t>北部新区纬一路雨水泵站及配套管网工程</w:t>
            </w:r>
          </w:p>
        </w:tc>
        <w:tc>
          <w:tcPr>
            <w:tcW w:w="8880" w:type="dxa"/>
            <w:shd w:val="clear" w:color="000000" w:fill="FFFFFF"/>
            <w:vAlign w:val="center"/>
          </w:tcPr>
          <w:p w14:paraId="3632617D">
            <w:pPr>
              <w:pStyle w:val="41"/>
              <w:rPr>
                <w:rFonts w:hint="eastAsia"/>
                <w:b/>
                <w:bCs/>
              </w:rPr>
            </w:pPr>
            <w:r>
              <w:rPr>
                <w:b/>
                <w:bCs/>
              </w:rPr>
              <w:t>位于丰盛路与纬一路交口西南角，服务于北部新区祥云道北侧区域地块。泵站设计流量15.2</w:t>
            </w:r>
            <w:r>
              <w:rPr>
                <w:rFonts w:hint="eastAsia"/>
                <w:b/>
                <w:bCs/>
              </w:rPr>
              <w:t>m³</w:t>
            </w:r>
            <w:r>
              <w:rPr>
                <w:b/>
                <w:bCs/>
              </w:rPr>
              <w:t>/s，占地面积约5800㎡（8.7亩）。现阶段裕华路管网已建设完成，雨水需通过纬一路泵站提升排入六干渠，纬一路泵站的建设。</w:t>
            </w:r>
          </w:p>
        </w:tc>
        <w:tc>
          <w:tcPr>
            <w:tcW w:w="1499" w:type="dxa"/>
            <w:shd w:val="clear" w:color="000000" w:fill="FFFFFF"/>
            <w:vAlign w:val="center"/>
          </w:tcPr>
          <w:p w14:paraId="45D2C3DD">
            <w:pPr>
              <w:pStyle w:val="41"/>
              <w:rPr>
                <w:rFonts w:hint="eastAsia"/>
                <w:b/>
                <w:bCs/>
              </w:rPr>
            </w:pPr>
            <w:r>
              <w:rPr>
                <w:b/>
                <w:bCs/>
              </w:rPr>
              <w:t>廊坊市住建局</w:t>
            </w:r>
          </w:p>
        </w:tc>
      </w:tr>
      <w:tr w14:paraId="33ED7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685761E">
            <w:pPr>
              <w:pStyle w:val="41"/>
              <w:rPr>
                <w:rFonts w:hint="eastAsia"/>
                <w:b/>
                <w:bCs/>
              </w:rPr>
            </w:pPr>
            <w:r>
              <w:rPr>
                <w:b/>
                <w:bCs/>
              </w:rPr>
              <w:t>54</w:t>
            </w:r>
          </w:p>
        </w:tc>
        <w:tc>
          <w:tcPr>
            <w:tcW w:w="2023" w:type="dxa"/>
            <w:shd w:val="clear" w:color="000000" w:fill="FFFFFF"/>
            <w:vAlign w:val="center"/>
          </w:tcPr>
          <w:p w14:paraId="39112FEB">
            <w:pPr>
              <w:pStyle w:val="41"/>
              <w:rPr>
                <w:rFonts w:hint="eastAsia"/>
                <w:b/>
                <w:bCs/>
              </w:rPr>
            </w:pPr>
            <w:r>
              <w:rPr>
                <w:b/>
                <w:bCs/>
              </w:rPr>
              <w:t>河北誉宁健康管理有限公司廊坊誉宁老年公寓项目</w:t>
            </w:r>
          </w:p>
        </w:tc>
        <w:tc>
          <w:tcPr>
            <w:tcW w:w="8880" w:type="dxa"/>
            <w:shd w:val="clear" w:color="000000" w:fill="FFFFFF"/>
            <w:vAlign w:val="center"/>
          </w:tcPr>
          <w:p w14:paraId="63682E19">
            <w:pPr>
              <w:pStyle w:val="41"/>
              <w:rPr>
                <w:rFonts w:hint="eastAsia"/>
                <w:b/>
                <w:bCs/>
              </w:rPr>
            </w:pPr>
            <w:r>
              <w:rPr>
                <w:b/>
                <w:bCs/>
              </w:rPr>
              <w:t>本项目总占地13270平方米（约合20亩），总建筑面积24524平方米，其中地上面积15924平方米，地下面积8600平方米。主要建设5栋养老用房，地下车库及地下室等。</w:t>
            </w:r>
          </w:p>
        </w:tc>
        <w:tc>
          <w:tcPr>
            <w:tcW w:w="1499" w:type="dxa"/>
            <w:shd w:val="clear" w:color="000000" w:fill="FFFFFF"/>
            <w:vAlign w:val="center"/>
          </w:tcPr>
          <w:p w14:paraId="2EBD6C38">
            <w:pPr>
              <w:pStyle w:val="41"/>
              <w:rPr>
                <w:rFonts w:hint="eastAsia"/>
                <w:b/>
                <w:bCs/>
              </w:rPr>
            </w:pPr>
            <w:r>
              <w:rPr>
                <w:b/>
                <w:bCs/>
              </w:rPr>
              <w:t>河北誉宁健康管理有限公司</w:t>
            </w:r>
          </w:p>
        </w:tc>
      </w:tr>
      <w:tr w14:paraId="19BC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75B7B6C">
            <w:pPr>
              <w:pStyle w:val="41"/>
              <w:rPr>
                <w:rFonts w:hint="eastAsia"/>
                <w:b/>
                <w:bCs/>
              </w:rPr>
            </w:pPr>
            <w:r>
              <w:rPr>
                <w:b/>
                <w:bCs/>
              </w:rPr>
              <w:t>55</w:t>
            </w:r>
          </w:p>
        </w:tc>
        <w:tc>
          <w:tcPr>
            <w:tcW w:w="2023" w:type="dxa"/>
            <w:shd w:val="clear" w:color="000000" w:fill="FFFFFF"/>
            <w:vAlign w:val="center"/>
          </w:tcPr>
          <w:p w14:paraId="4B9AA57E">
            <w:pPr>
              <w:pStyle w:val="41"/>
              <w:rPr>
                <w:rFonts w:hint="eastAsia"/>
                <w:b/>
                <w:bCs/>
              </w:rPr>
            </w:pPr>
            <w:r>
              <w:rPr>
                <w:b/>
                <w:bCs/>
              </w:rPr>
              <w:t>安次区医院迁址新建地下停车场项目</w:t>
            </w:r>
          </w:p>
        </w:tc>
        <w:tc>
          <w:tcPr>
            <w:tcW w:w="8880" w:type="dxa"/>
            <w:shd w:val="clear" w:color="000000" w:fill="FFFFFF"/>
            <w:vAlign w:val="center"/>
          </w:tcPr>
          <w:p w14:paraId="06CBA2A7">
            <w:pPr>
              <w:pStyle w:val="41"/>
              <w:rPr>
                <w:rFonts w:hint="eastAsia"/>
                <w:b/>
                <w:bCs/>
              </w:rPr>
            </w:pPr>
            <w:r>
              <w:rPr>
                <w:b/>
                <w:bCs/>
              </w:rPr>
              <w:t>总建筑面积：11086.02㎡（含汽车坡道面积、出地面楼梯间面积）</w:t>
            </w:r>
          </w:p>
        </w:tc>
        <w:tc>
          <w:tcPr>
            <w:tcW w:w="1499" w:type="dxa"/>
            <w:shd w:val="clear" w:color="000000" w:fill="FFFFFF"/>
            <w:vAlign w:val="center"/>
          </w:tcPr>
          <w:p w14:paraId="4D2B85E8">
            <w:pPr>
              <w:pStyle w:val="41"/>
              <w:rPr>
                <w:rFonts w:hint="eastAsia"/>
                <w:b/>
                <w:bCs/>
              </w:rPr>
            </w:pPr>
            <w:r>
              <w:rPr>
                <w:b/>
                <w:bCs/>
              </w:rPr>
              <w:t>廊坊市安次区卫生健康局</w:t>
            </w:r>
          </w:p>
        </w:tc>
      </w:tr>
      <w:tr w14:paraId="3AB76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1C397B4">
            <w:pPr>
              <w:pStyle w:val="41"/>
              <w:rPr>
                <w:rFonts w:hint="eastAsia"/>
                <w:b/>
                <w:bCs/>
              </w:rPr>
            </w:pPr>
            <w:r>
              <w:rPr>
                <w:b/>
                <w:bCs/>
              </w:rPr>
              <w:t>56</w:t>
            </w:r>
          </w:p>
        </w:tc>
        <w:tc>
          <w:tcPr>
            <w:tcW w:w="2023" w:type="dxa"/>
            <w:shd w:val="clear" w:color="000000" w:fill="FFFFFF"/>
            <w:vAlign w:val="center"/>
          </w:tcPr>
          <w:p w14:paraId="479F81CC">
            <w:pPr>
              <w:pStyle w:val="41"/>
              <w:rPr>
                <w:rFonts w:hint="eastAsia"/>
                <w:b/>
                <w:bCs/>
              </w:rPr>
            </w:pPr>
            <w:r>
              <w:rPr>
                <w:b/>
                <w:bCs/>
              </w:rPr>
              <w:t>润泽人工智能应用中心项目</w:t>
            </w:r>
          </w:p>
        </w:tc>
        <w:tc>
          <w:tcPr>
            <w:tcW w:w="8880" w:type="dxa"/>
            <w:shd w:val="clear" w:color="000000" w:fill="FFFFFF"/>
            <w:vAlign w:val="center"/>
          </w:tcPr>
          <w:p w14:paraId="4D434BCC">
            <w:pPr>
              <w:pStyle w:val="41"/>
              <w:rPr>
                <w:rFonts w:hint="eastAsia"/>
                <w:b/>
                <w:bCs/>
              </w:rPr>
            </w:pPr>
            <w:r>
              <w:rPr>
                <w:b/>
                <w:bCs/>
              </w:rPr>
              <w:t>项目计划总投资金额约218亿元，总建筑面积约55万平方米，规划建设3栋人工智能应用中心、3栋动力中心、2栋变电站。项目旨在构建以润泽人工智能应用中心为核心的大型数字经济集聚平台，建设人工智能训练与推理平台及相关配套设施；同时，配套建设安装机电设备、动力中心等。</w:t>
            </w:r>
          </w:p>
        </w:tc>
        <w:tc>
          <w:tcPr>
            <w:tcW w:w="1499" w:type="dxa"/>
            <w:shd w:val="clear" w:color="000000" w:fill="FFFFFF"/>
            <w:vAlign w:val="center"/>
          </w:tcPr>
          <w:p w14:paraId="29BFB60A">
            <w:pPr>
              <w:pStyle w:val="41"/>
              <w:rPr>
                <w:rFonts w:hint="eastAsia"/>
                <w:b/>
                <w:bCs/>
              </w:rPr>
            </w:pPr>
            <w:r>
              <w:rPr>
                <w:b/>
                <w:bCs/>
              </w:rPr>
              <w:t>润泽科技发展有限公司</w:t>
            </w:r>
          </w:p>
        </w:tc>
      </w:tr>
      <w:tr w14:paraId="16AE4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881" w:type="dxa"/>
            <w:shd w:val="clear" w:color="000000" w:fill="FFFFFF"/>
            <w:vAlign w:val="center"/>
          </w:tcPr>
          <w:p w14:paraId="2989647D">
            <w:pPr>
              <w:pStyle w:val="41"/>
              <w:rPr>
                <w:rFonts w:hint="eastAsia"/>
                <w:b/>
                <w:bCs/>
              </w:rPr>
            </w:pPr>
            <w:r>
              <w:rPr>
                <w:b/>
                <w:bCs/>
              </w:rPr>
              <w:t>57</w:t>
            </w:r>
          </w:p>
        </w:tc>
        <w:tc>
          <w:tcPr>
            <w:tcW w:w="2023" w:type="dxa"/>
            <w:shd w:val="clear" w:color="000000" w:fill="FFFFFF"/>
            <w:vAlign w:val="center"/>
          </w:tcPr>
          <w:p w14:paraId="16E0C85C">
            <w:pPr>
              <w:pStyle w:val="41"/>
              <w:rPr>
                <w:rFonts w:hint="eastAsia"/>
                <w:b/>
                <w:bCs/>
              </w:rPr>
            </w:pPr>
            <w:r>
              <w:rPr>
                <w:b/>
                <w:bCs/>
              </w:rPr>
              <w:t>润泽人工智能大模型推理应用算力中心一期项目</w:t>
            </w:r>
          </w:p>
        </w:tc>
        <w:tc>
          <w:tcPr>
            <w:tcW w:w="8880" w:type="dxa"/>
            <w:shd w:val="clear" w:color="000000" w:fill="FFFFFF"/>
            <w:vAlign w:val="center"/>
          </w:tcPr>
          <w:p w14:paraId="487326B2">
            <w:pPr>
              <w:pStyle w:val="41"/>
              <w:rPr>
                <w:rFonts w:hint="eastAsia"/>
                <w:b/>
                <w:bCs/>
              </w:rPr>
            </w:pPr>
            <w:r>
              <w:rPr>
                <w:b/>
                <w:bCs/>
              </w:rPr>
              <w:t>利用公司现有A-12数据中心楼，建设润泽人工智能大模型推理应用算力中心，项目计划总投资307200万元，购买高性能商用服务器约1024台，项目建成后，可提供算力约500P</w:t>
            </w:r>
            <w:r>
              <w:rPr>
                <w:rFonts w:hint="eastAsia"/>
                <w:b/>
                <w:bCs/>
              </w:rPr>
              <w:t>（</w:t>
            </w:r>
            <w:r>
              <w:rPr>
                <w:b/>
                <w:bCs/>
              </w:rPr>
              <w:t>FP32标准</w:t>
            </w:r>
            <w:r>
              <w:rPr>
                <w:rFonts w:hint="eastAsia"/>
                <w:b/>
                <w:bCs/>
              </w:rPr>
              <w:t>）</w:t>
            </w:r>
            <w:r>
              <w:rPr>
                <w:b/>
                <w:bCs/>
              </w:rPr>
              <w:t>，形成算力集群达万卡规模。</w:t>
            </w:r>
          </w:p>
        </w:tc>
        <w:tc>
          <w:tcPr>
            <w:tcW w:w="1499" w:type="dxa"/>
            <w:shd w:val="clear" w:color="000000" w:fill="FFFFFF"/>
            <w:vAlign w:val="center"/>
          </w:tcPr>
          <w:p w14:paraId="04A05A20">
            <w:pPr>
              <w:pStyle w:val="41"/>
              <w:rPr>
                <w:rFonts w:hint="eastAsia"/>
                <w:b/>
                <w:bCs/>
              </w:rPr>
            </w:pPr>
            <w:r>
              <w:rPr>
                <w:b/>
                <w:bCs/>
              </w:rPr>
              <w:t>润泽科技发展有限公司</w:t>
            </w:r>
          </w:p>
        </w:tc>
      </w:tr>
      <w:tr w14:paraId="263D6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5FA28F6">
            <w:pPr>
              <w:pStyle w:val="41"/>
              <w:rPr>
                <w:rFonts w:hint="eastAsia"/>
                <w:b/>
                <w:bCs/>
              </w:rPr>
            </w:pPr>
            <w:r>
              <w:rPr>
                <w:b/>
                <w:bCs/>
              </w:rPr>
              <w:t>58</w:t>
            </w:r>
          </w:p>
        </w:tc>
        <w:tc>
          <w:tcPr>
            <w:tcW w:w="2023" w:type="dxa"/>
            <w:shd w:val="clear" w:color="000000" w:fill="FFFFFF"/>
            <w:vAlign w:val="center"/>
          </w:tcPr>
          <w:p w14:paraId="59022953">
            <w:pPr>
              <w:pStyle w:val="41"/>
              <w:rPr>
                <w:rFonts w:hint="eastAsia"/>
                <w:b/>
                <w:bCs/>
              </w:rPr>
            </w:pPr>
            <w:r>
              <w:rPr>
                <w:b/>
                <w:bCs/>
              </w:rPr>
              <w:t>智慧产业融合与云联服务创新产业园项目</w:t>
            </w:r>
          </w:p>
        </w:tc>
        <w:tc>
          <w:tcPr>
            <w:tcW w:w="8880" w:type="dxa"/>
            <w:shd w:val="clear" w:color="000000" w:fill="FFFFFF"/>
            <w:vAlign w:val="center"/>
          </w:tcPr>
          <w:p w14:paraId="42F84BB0">
            <w:pPr>
              <w:pStyle w:val="41"/>
              <w:rPr>
                <w:rFonts w:hint="eastAsia"/>
                <w:b/>
                <w:bCs/>
              </w:rPr>
            </w:pPr>
            <w:r>
              <w:rPr>
                <w:b/>
                <w:bCs/>
              </w:rPr>
              <w:t>占地86亩，建筑面积116000平米，主要建筑三栋数据中心楼，三栋配套用房，一栋设备用房；16000架6kw机柜，项目建成后执行国家A级机房标准，将面向芯片研发、物联网、人工智能、无人驾驶、工业互联网、智慧金融等多个行业提供柔性算力服务、云计算服务、大数据处理服务。</w:t>
            </w:r>
          </w:p>
        </w:tc>
        <w:tc>
          <w:tcPr>
            <w:tcW w:w="1499" w:type="dxa"/>
            <w:shd w:val="clear" w:color="000000" w:fill="FFFFFF"/>
            <w:vAlign w:val="center"/>
          </w:tcPr>
          <w:p w14:paraId="4A7C866A">
            <w:pPr>
              <w:pStyle w:val="41"/>
              <w:rPr>
                <w:rFonts w:hint="eastAsia"/>
                <w:b/>
                <w:bCs/>
              </w:rPr>
            </w:pPr>
            <w:r>
              <w:rPr>
                <w:b/>
                <w:bCs/>
              </w:rPr>
              <w:t>悠联（廊坊）数据科技有限公司</w:t>
            </w:r>
          </w:p>
        </w:tc>
      </w:tr>
      <w:tr w14:paraId="68401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C429439">
            <w:pPr>
              <w:pStyle w:val="41"/>
              <w:rPr>
                <w:rFonts w:hint="eastAsia"/>
                <w:b/>
                <w:bCs/>
              </w:rPr>
            </w:pPr>
            <w:r>
              <w:rPr>
                <w:b/>
                <w:bCs/>
              </w:rPr>
              <w:t>59</w:t>
            </w:r>
          </w:p>
        </w:tc>
        <w:tc>
          <w:tcPr>
            <w:tcW w:w="2023" w:type="dxa"/>
            <w:shd w:val="clear" w:color="000000" w:fill="FFFFFF"/>
            <w:vAlign w:val="center"/>
          </w:tcPr>
          <w:p w14:paraId="413D1464">
            <w:pPr>
              <w:pStyle w:val="41"/>
              <w:rPr>
                <w:rFonts w:hint="eastAsia"/>
                <w:b/>
                <w:bCs/>
              </w:rPr>
            </w:pPr>
            <w:r>
              <w:rPr>
                <w:b/>
                <w:bCs/>
              </w:rPr>
              <w:t>廊坊曙成数据科技有限公司智能科技与云联服务创新产业中心项目</w:t>
            </w:r>
          </w:p>
        </w:tc>
        <w:tc>
          <w:tcPr>
            <w:tcW w:w="8880" w:type="dxa"/>
            <w:shd w:val="clear" w:color="000000" w:fill="FFFFFF"/>
            <w:vAlign w:val="center"/>
          </w:tcPr>
          <w:p w14:paraId="5F441751">
            <w:pPr>
              <w:pStyle w:val="41"/>
              <w:rPr>
                <w:rFonts w:hint="eastAsia"/>
                <w:b/>
                <w:bCs/>
              </w:rPr>
            </w:pPr>
            <w:r>
              <w:rPr>
                <w:b/>
                <w:bCs/>
              </w:rPr>
              <w:t>用地面积64884.91㎡（合约97.33亩），总建筑面积约162224.8㎡建设3栋数据中心楼及配套动力楼，1栋运维中心，电力配套设施；引进国际领先的嵌入式装配工艺，打造约1万个高标准服务器机柜，应用SDN技术以及Mix-cloud产品，为互联网头部企业和金融公司提供云计算与数据分析服务。</w:t>
            </w:r>
          </w:p>
        </w:tc>
        <w:tc>
          <w:tcPr>
            <w:tcW w:w="1499" w:type="dxa"/>
            <w:shd w:val="clear" w:color="000000" w:fill="FFFFFF"/>
            <w:vAlign w:val="center"/>
          </w:tcPr>
          <w:p w14:paraId="523F7A35">
            <w:pPr>
              <w:pStyle w:val="41"/>
              <w:rPr>
                <w:rFonts w:hint="eastAsia"/>
                <w:b/>
                <w:bCs/>
              </w:rPr>
            </w:pPr>
            <w:r>
              <w:rPr>
                <w:b/>
                <w:bCs/>
              </w:rPr>
              <w:t>廊坊曙成数据科技有限公司</w:t>
            </w:r>
          </w:p>
        </w:tc>
      </w:tr>
      <w:tr w14:paraId="710C5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F106EBB">
            <w:pPr>
              <w:pStyle w:val="41"/>
              <w:rPr>
                <w:rFonts w:hint="eastAsia"/>
                <w:b/>
                <w:bCs/>
              </w:rPr>
            </w:pPr>
            <w:r>
              <w:rPr>
                <w:b/>
                <w:bCs/>
              </w:rPr>
              <w:t>60</w:t>
            </w:r>
          </w:p>
        </w:tc>
        <w:tc>
          <w:tcPr>
            <w:tcW w:w="2023" w:type="dxa"/>
            <w:shd w:val="clear" w:color="000000" w:fill="FFFFFF"/>
            <w:vAlign w:val="center"/>
          </w:tcPr>
          <w:p w14:paraId="347500C8">
            <w:pPr>
              <w:pStyle w:val="41"/>
              <w:rPr>
                <w:rFonts w:hint="eastAsia"/>
                <w:b/>
                <w:bCs/>
              </w:rPr>
            </w:pPr>
            <w:r>
              <w:rPr>
                <w:b/>
                <w:bCs/>
              </w:rPr>
              <w:t>中食宏源地博（廊坊）科技有限公司云联数据智能产业中心项目</w:t>
            </w:r>
          </w:p>
        </w:tc>
        <w:tc>
          <w:tcPr>
            <w:tcW w:w="8880" w:type="dxa"/>
            <w:shd w:val="clear" w:color="000000" w:fill="FFFFFF"/>
            <w:vAlign w:val="center"/>
          </w:tcPr>
          <w:p w14:paraId="07ABD472">
            <w:pPr>
              <w:pStyle w:val="41"/>
              <w:rPr>
                <w:rFonts w:hint="eastAsia"/>
                <w:b/>
                <w:bCs/>
              </w:rPr>
            </w:pPr>
            <w:r>
              <w:rPr>
                <w:b/>
                <w:bCs/>
              </w:rPr>
              <w:t>总占地51562.19平方米，总建筑面积96350平方米。该项目主要建设数据中心3栋、基础配套设施，购置机柜13000台</w:t>
            </w:r>
            <w:r>
              <w:rPr>
                <w:rFonts w:hint="eastAsia"/>
                <w:b/>
                <w:bCs/>
              </w:rPr>
              <w:t>（</w:t>
            </w:r>
            <w:r>
              <w:rPr>
                <w:b/>
                <w:bCs/>
              </w:rPr>
              <w:t>套</w:t>
            </w:r>
            <w:r>
              <w:rPr>
                <w:rFonts w:hint="eastAsia"/>
                <w:b/>
                <w:bCs/>
              </w:rPr>
              <w:t>）</w:t>
            </w:r>
            <w:r>
              <w:rPr>
                <w:b/>
                <w:bCs/>
              </w:rPr>
              <w:t>。该项目以电力为基础动力引入数据中心，将机柜置于恒温恒湿的环境及指定位置，通过光缆与外部网络相连，满足机柜内服务器计算与存储的需求，通过调试、测试后投入使用。</w:t>
            </w:r>
          </w:p>
        </w:tc>
        <w:tc>
          <w:tcPr>
            <w:tcW w:w="1499" w:type="dxa"/>
            <w:shd w:val="clear" w:color="000000" w:fill="FFFFFF"/>
            <w:vAlign w:val="center"/>
          </w:tcPr>
          <w:p w14:paraId="6601E072">
            <w:pPr>
              <w:pStyle w:val="41"/>
              <w:rPr>
                <w:rFonts w:hint="eastAsia"/>
                <w:b/>
                <w:bCs/>
              </w:rPr>
            </w:pPr>
            <w:r>
              <w:rPr>
                <w:b/>
                <w:bCs/>
              </w:rPr>
              <w:t>中食宏源地博（廊坊）科技有限公司</w:t>
            </w:r>
          </w:p>
        </w:tc>
      </w:tr>
      <w:tr w14:paraId="3F670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168B55B">
            <w:pPr>
              <w:pStyle w:val="41"/>
              <w:rPr>
                <w:rFonts w:hint="eastAsia"/>
                <w:b/>
                <w:bCs/>
              </w:rPr>
            </w:pPr>
            <w:r>
              <w:rPr>
                <w:b/>
                <w:bCs/>
              </w:rPr>
              <w:t>61</w:t>
            </w:r>
          </w:p>
        </w:tc>
        <w:tc>
          <w:tcPr>
            <w:tcW w:w="2023" w:type="dxa"/>
            <w:shd w:val="clear" w:color="000000" w:fill="FFFFFF"/>
            <w:vAlign w:val="center"/>
          </w:tcPr>
          <w:p w14:paraId="29022120">
            <w:pPr>
              <w:pStyle w:val="41"/>
              <w:rPr>
                <w:rFonts w:hint="eastAsia"/>
                <w:b/>
                <w:bCs/>
              </w:rPr>
            </w:pPr>
            <w:r>
              <w:rPr>
                <w:b/>
                <w:bCs/>
              </w:rPr>
              <w:t>廊坊新树科技有限公司AI云计算中心项目</w:t>
            </w:r>
          </w:p>
        </w:tc>
        <w:tc>
          <w:tcPr>
            <w:tcW w:w="8880" w:type="dxa"/>
            <w:shd w:val="clear" w:color="000000" w:fill="FFFFFF"/>
            <w:vAlign w:val="center"/>
          </w:tcPr>
          <w:p w14:paraId="51BDA3E3">
            <w:pPr>
              <w:pStyle w:val="41"/>
              <w:rPr>
                <w:rFonts w:hint="eastAsia"/>
                <w:b/>
                <w:bCs/>
              </w:rPr>
            </w:pPr>
            <w:r>
              <w:rPr>
                <w:b/>
                <w:bCs/>
              </w:rPr>
              <w:t>建设人工智能技术研发孵化中心，云计算中心及相关配套设施。</w:t>
            </w:r>
          </w:p>
        </w:tc>
        <w:tc>
          <w:tcPr>
            <w:tcW w:w="1499" w:type="dxa"/>
            <w:shd w:val="clear" w:color="000000" w:fill="FFFFFF"/>
            <w:vAlign w:val="center"/>
          </w:tcPr>
          <w:p w14:paraId="734529F2">
            <w:pPr>
              <w:pStyle w:val="41"/>
              <w:rPr>
                <w:rFonts w:hint="eastAsia"/>
                <w:b/>
                <w:bCs/>
              </w:rPr>
            </w:pPr>
            <w:r>
              <w:rPr>
                <w:b/>
                <w:bCs/>
              </w:rPr>
              <w:t>廊坊新树科技有限公司</w:t>
            </w:r>
          </w:p>
        </w:tc>
      </w:tr>
      <w:tr w14:paraId="3DF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FC741ED">
            <w:pPr>
              <w:pStyle w:val="41"/>
              <w:rPr>
                <w:rFonts w:hint="eastAsia"/>
                <w:b/>
                <w:bCs/>
              </w:rPr>
            </w:pPr>
            <w:r>
              <w:rPr>
                <w:b/>
                <w:bCs/>
              </w:rPr>
              <w:t>62</w:t>
            </w:r>
          </w:p>
        </w:tc>
        <w:tc>
          <w:tcPr>
            <w:tcW w:w="2023" w:type="dxa"/>
            <w:shd w:val="clear" w:color="000000" w:fill="FFFFFF"/>
            <w:vAlign w:val="center"/>
          </w:tcPr>
          <w:p w14:paraId="4A391AEE">
            <w:pPr>
              <w:pStyle w:val="41"/>
              <w:rPr>
                <w:rFonts w:hint="eastAsia"/>
                <w:b/>
                <w:bCs/>
              </w:rPr>
            </w:pPr>
            <w:r>
              <w:rPr>
                <w:b/>
                <w:bCs/>
              </w:rPr>
              <w:t>网营物联（京津冀）智慧供应链基地项目</w:t>
            </w:r>
          </w:p>
        </w:tc>
        <w:tc>
          <w:tcPr>
            <w:tcW w:w="8880" w:type="dxa"/>
            <w:shd w:val="clear" w:color="000000" w:fill="FFFFFF"/>
            <w:vAlign w:val="center"/>
          </w:tcPr>
          <w:p w14:paraId="0BCB03CA">
            <w:pPr>
              <w:pStyle w:val="41"/>
              <w:rPr>
                <w:rFonts w:hint="eastAsia"/>
                <w:b/>
                <w:bCs/>
              </w:rPr>
            </w:pPr>
            <w:r>
              <w:rPr>
                <w:b/>
                <w:bCs/>
              </w:rPr>
              <w:t>项目主要作为辐射京津冀地区冷链物流、进出口商品物流、贸易结算等现代商贸物流中心。</w:t>
            </w:r>
          </w:p>
        </w:tc>
        <w:tc>
          <w:tcPr>
            <w:tcW w:w="1499" w:type="dxa"/>
            <w:shd w:val="clear" w:color="000000" w:fill="FFFFFF"/>
            <w:vAlign w:val="center"/>
          </w:tcPr>
          <w:p w14:paraId="065D225F">
            <w:pPr>
              <w:pStyle w:val="41"/>
              <w:rPr>
                <w:rFonts w:hint="eastAsia"/>
                <w:b/>
                <w:bCs/>
              </w:rPr>
            </w:pPr>
            <w:r>
              <w:rPr>
                <w:b/>
                <w:bCs/>
              </w:rPr>
              <w:t>网营（廊坊）供应链有限公司</w:t>
            </w:r>
          </w:p>
        </w:tc>
      </w:tr>
      <w:tr w14:paraId="361DB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0AF979B">
            <w:pPr>
              <w:pStyle w:val="41"/>
              <w:rPr>
                <w:rFonts w:hint="eastAsia"/>
                <w:b/>
                <w:bCs/>
              </w:rPr>
            </w:pPr>
            <w:r>
              <w:rPr>
                <w:b/>
                <w:bCs/>
              </w:rPr>
              <w:t>63</w:t>
            </w:r>
          </w:p>
        </w:tc>
        <w:tc>
          <w:tcPr>
            <w:tcW w:w="2023" w:type="dxa"/>
            <w:shd w:val="clear" w:color="000000" w:fill="FFFFFF"/>
            <w:vAlign w:val="center"/>
          </w:tcPr>
          <w:p w14:paraId="3B57CCFB">
            <w:pPr>
              <w:pStyle w:val="41"/>
              <w:rPr>
                <w:rFonts w:hint="eastAsia"/>
                <w:b/>
                <w:bCs/>
              </w:rPr>
            </w:pPr>
            <w:r>
              <w:rPr>
                <w:b/>
                <w:bCs/>
              </w:rPr>
              <w:t>廊坊热电厂集中供热管网二期工程</w:t>
            </w:r>
          </w:p>
        </w:tc>
        <w:tc>
          <w:tcPr>
            <w:tcW w:w="8880" w:type="dxa"/>
            <w:shd w:val="clear" w:color="000000" w:fill="FFFFFF"/>
            <w:vAlign w:val="center"/>
          </w:tcPr>
          <w:p w14:paraId="325F9173">
            <w:pPr>
              <w:pStyle w:val="41"/>
              <w:rPr>
                <w:rFonts w:hint="eastAsia"/>
                <w:b/>
                <w:bCs/>
              </w:rPr>
            </w:pPr>
            <w:r>
              <w:rPr>
                <w:b/>
                <w:bCs/>
              </w:rPr>
              <w:t>本项目利用廊坊热电厂二期2×350MW机组供热能力，主要为</w:t>
            </w:r>
            <w:r>
              <w:rPr>
                <w:rFonts w:hint="eastAsia"/>
                <w:b/>
                <w:bCs/>
              </w:rPr>
              <w:t>廊坊经济技术开发区</w:t>
            </w:r>
            <w:r>
              <w:rPr>
                <w:b/>
                <w:bCs/>
              </w:rPr>
              <w:t>西部、万庄民用及公共建筑提供采暖用热，供热主干线沿途预留分支接口。</w:t>
            </w:r>
          </w:p>
        </w:tc>
        <w:tc>
          <w:tcPr>
            <w:tcW w:w="1499" w:type="dxa"/>
            <w:shd w:val="clear" w:color="000000" w:fill="FFFFFF"/>
            <w:vAlign w:val="center"/>
          </w:tcPr>
          <w:p w14:paraId="175BC192">
            <w:pPr>
              <w:pStyle w:val="41"/>
              <w:rPr>
                <w:rFonts w:hint="eastAsia"/>
                <w:b/>
                <w:bCs/>
              </w:rPr>
            </w:pPr>
            <w:r>
              <w:rPr>
                <w:b/>
                <w:bCs/>
              </w:rPr>
              <w:t>国电电力廊坊能源有限公司</w:t>
            </w:r>
          </w:p>
        </w:tc>
      </w:tr>
      <w:tr w14:paraId="4ADCE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D973676">
            <w:pPr>
              <w:pStyle w:val="41"/>
              <w:rPr>
                <w:rFonts w:hint="eastAsia"/>
                <w:b/>
                <w:bCs/>
              </w:rPr>
            </w:pPr>
            <w:r>
              <w:rPr>
                <w:b/>
                <w:bCs/>
              </w:rPr>
              <w:t>64</w:t>
            </w:r>
          </w:p>
        </w:tc>
        <w:tc>
          <w:tcPr>
            <w:tcW w:w="2023" w:type="dxa"/>
            <w:shd w:val="clear" w:color="000000" w:fill="FFFFFF"/>
            <w:vAlign w:val="center"/>
          </w:tcPr>
          <w:p w14:paraId="1D1115DA">
            <w:pPr>
              <w:pStyle w:val="41"/>
              <w:rPr>
                <w:rFonts w:hint="eastAsia"/>
                <w:b/>
                <w:bCs/>
              </w:rPr>
            </w:pPr>
            <w:r>
              <w:rPr>
                <w:b/>
                <w:bCs/>
              </w:rPr>
              <w:t>廊坊AI数字人智能产业园项目</w:t>
            </w:r>
          </w:p>
        </w:tc>
        <w:tc>
          <w:tcPr>
            <w:tcW w:w="8880" w:type="dxa"/>
            <w:shd w:val="clear" w:color="000000" w:fill="FFFFFF"/>
            <w:vAlign w:val="center"/>
          </w:tcPr>
          <w:p w14:paraId="337FFC86">
            <w:pPr>
              <w:pStyle w:val="41"/>
              <w:rPr>
                <w:rFonts w:hint="eastAsia"/>
                <w:b/>
                <w:bCs/>
              </w:rPr>
            </w:pPr>
            <w:r>
              <w:rPr>
                <w:b/>
                <w:bCs/>
              </w:rPr>
              <w:t>主要建设AI数字人企业赋能中心、AI数字人人才培育中心、AI电商直播基地、人才公寓、企业综合服务楼、综合配套生活楼、地下设备间及地下停车场等，项目建成后以人工智能为市场定位将园区打造成为一座集科研+办公的综合产业基地，形成科技+产业+资本+服务的多元化基地体系用于招商引资，吸引AI智能产业企业入驻。</w:t>
            </w:r>
          </w:p>
        </w:tc>
        <w:tc>
          <w:tcPr>
            <w:tcW w:w="1499" w:type="dxa"/>
            <w:shd w:val="clear" w:color="000000" w:fill="FFFFFF"/>
            <w:vAlign w:val="center"/>
          </w:tcPr>
          <w:p w14:paraId="50078096">
            <w:pPr>
              <w:pStyle w:val="41"/>
              <w:rPr>
                <w:rFonts w:hint="eastAsia"/>
                <w:b/>
                <w:bCs/>
              </w:rPr>
            </w:pPr>
            <w:r>
              <w:rPr>
                <w:b/>
                <w:bCs/>
              </w:rPr>
              <w:t>廊坊辉航科技有限公司</w:t>
            </w:r>
          </w:p>
        </w:tc>
      </w:tr>
      <w:tr w14:paraId="24C3E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7AA7172">
            <w:pPr>
              <w:pStyle w:val="41"/>
              <w:rPr>
                <w:rFonts w:hint="eastAsia"/>
                <w:b/>
                <w:bCs/>
              </w:rPr>
            </w:pPr>
            <w:r>
              <w:rPr>
                <w:b/>
                <w:bCs/>
              </w:rPr>
              <w:t>65</w:t>
            </w:r>
          </w:p>
        </w:tc>
        <w:tc>
          <w:tcPr>
            <w:tcW w:w="2023" w:type="dxa"/>
            <w:shd w:val="clear" w:color="000000" w:fill="FFFFFF"/>
            <w:vAlign w:val="center"/>
          </w:tcPr>
          <w:p w14:paraId="00CEE8A0">
            <w:pPr>
              <w:pStyle w:val="41"/>
              <w:rPr>
                <w:rFonts w:hint="eastAsia"/>
                <w:b/>
                <w:bCs/>
              </w:rPr>
            </w:pPr>
            <w:r>
              <w:rPr>
                <w:b/>
                <w:bCs/>
              </w:rPr>
              <w:t>廊坊市精神病专科医院新建项目</w:t>
            </w:r>
          </w:p>
        </w:tc>
        <w:tc>
          <w:tcPr>
            <w:tcW w:w="8880" w:type="dxa"/>
            <w:shd w:val="clear" w:color="000000" w:fill="FFFFFF"/>
            <w:vAlign w:val="center"/>
          </w:tcPr>
          <w:p w14:paraId="1CBEFD2C">
            <w:pPr>
              <w:pStyle w:val="41"/>
              <w:rPr>
                <w:rFonts w:hint="eastAsia"/>
                <w:b/>
                <w:bCs/>
              </w:rPr>
            </w:pPr>
            <w:r>
              <w:rPr>
                <w:b/>
                <w:bCs/>
              </w:rPr>
              <w:t>项目计划总投资4.65亿元，占地54亩，床位设置500张，总建筑面积约5.65万平方米，其中地上建筑面积3.24万平方米，地下建筑面积2.41万平方米。</w:t>
            </w:r>
          </w:p>
        </w:tc>
        <w:tc>
          <w:tcPr>
            <w:tcW w:w="1499" w:type="dxa"/>
            <w:shd w:val="clear" w:color="000000" w:fill="FFFFFF"/>
            <w:vAlign w:val="center"/>
          </w:tcPr>
          <w:p w14:paraId="6603398E">
            <w:pPr>
              <w:pStyle w:val="41"/>
              <w:rPr>
                <w:rFonts w:hint="eastAsia"/>
                <w:b/>
                <w:bCs/>
              </w:rPr>
            </w:pPr>
            <w:r>
              <w:rPr>
                <w:b/>
                <w:bCs/>
              </w:rPr>
              <w:t>廊坊市卫生健康委员会</w:t>
            </w:r>
          </w:p>
        </w:tc>
      </w:tr>
      <w:tr w14:paraId="1D94C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A8B3834">
            <w:pPr>
              <w:pStyle w:val="41"/>
              <w:rPr>
                <w:rFonts w:hint="eastAsia"/>
                <w:b/>
                <w:bCs/>
              </w:rPr>
            </w:pPr>
            <w:r>
              <w:rPr>
                <w:b/>
                <w:bCs/>
              </w:rPr>
              <w:t>66</w:t>
            </w:r>
          </w:p>
        </w:tc>
        <w:tc>
          <w:tcPr>
            <w:tcW w:w="2023" w:type="dxa"/>
            <w:shd w:val="clear" w:color="000000" w:fill="FFFFFF"/>
            <w:vAlign w:val="center"/>
          </w:tcPr>
          <w:p w14:paraId="19F7CDFA">
            <w:pPr>
              <w:pStyle w:val="41"/>
              <w:rPr>
                <w:rFonts w:hint="eastAsia"/>
                <w:b/>
                <w:bCs/>
              </w:rPr>
            </w:pPr>
            <w:r>
              <w:rPr>
                <w:b/>
                <w:bCs/>
              </w:rPr>
              <w:t>安次区龙河南路网工程</w:t>
            </w:r>
          </w:p>
        </w:tc>
        <w:tc>
          <w:tcPr>
            <w:tcW w:w="8880" w:type="dxa"/>
            <w:shd w:val="clear" w:color="000000" w:fill="FFFFFF"/>
            <w:vAlign w:val="center"/>
          </w:tcPr>
          <w:p w14:paraId="52A5B44E">
            <w:pPr>
              <w:pStyle w:val="41"/>
              <w:rPr>
                <w:rFonts w:hint="eastAsia"/>
                <w:b/>
                <w:bCs/>
              </w:rPr>
            </w:pPr>
            <w:r>
              <w:rPr>
                <w:b/>
                <w:bCs/>
              </w:rPr>
              <w:t>安大道（安汇路</w:t>
            </w:r>
            <w:r>
              <w:rPr>
                <w:rFonts w:hint="eastAsia"/>
                <w:b/>
                <w:bCs/>
              </w:rPr>
              <w:t>－</w:t>
            </w:r>
            <w:r>
              <w:rPr>
                <w:b/>
                <w:bCs/>
              </w:rPr>
              <w:t>廊霸路）道路工程道路西起廊霸路，东至安汇路，道路长度为496m，红线宽度为30m。安汇路（廊霸路</w:t>
            </w:r>
            <w:r>
              <w:rPr>
                <w:rFonts w:hint="eastAsia"/>
                <w:b/>
                <w:bCs/>
              </w:rPr>
              <w:t>－</w:t>
            </w:r>
            <w:r>
              <w:rPr>
                <w:b/>
                <w:bCs/>
              </w:rPr>
              <w:t>安平道）道路工程道路北起廊霸路，南至安平道，道路长度为1263m，红线宽度为40m。富余道（永兴路</w:t>
            </w:r>
            <w:r>
              <w:rPr>
                <w:rFonts w:hint="eastAsia"/>
                <w:b/>
                <w:bCs/>
              </w:rPr>
              <w:t>－</w:t>
            </w:r>
            <w:r>
              <w:rPr>
                <w:b/>
                <w:bCs/>
              </w:rPr>
              <w:t>廊泊路）道路工程西起永兴路，东至廊泊路，道路长度为1797m。</w:t>
            </w:r>
          </w:p>
        </w:tc>
        <w:tc>
          <w:tcPr>
            <w:tcW w:w="1499" w:type="dxa"/>
            <w:shd w:val="clear" w:color="000000" w:fill="FFFFFF"/>
            <w:vAlign w:val="center"/>
          </w:tcPr>
          <w:p w14:paraId="3A02EEED">
            <w:pPr>
              <w:pStyle w:val="41"/>
              <w:rPr>
                <w:rFonts w:hint="eastAsia"/>
                <w:b/>
                <w:bCs/>
              </w:rPr>
            </w:pPr>
            <w:r>
              <w:rPr>
                <w:b/>
                <w:bCs/>
              </w:rPr>
              <w:t>廊坊市安次区住房和城乡建设局</w:t>
            </w:r>
          </w:p>
        </w:tc>
      </w:tr>
      <w:tr w14:paraId="7C5E2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F4BEA1C">
            <w:pPr>
              <w:pStyle w:val="41"/>
              <w:rPr>
                <w:rFonts w:hint="eastAsia"/>
                <w:b/>
                <w:bCs/>
              </w:rPr>
            </w:pPr>
            <w:r>
              <w:rPr>
                <w:b/>
                <w:bCs/>
              </w:rPr>
              <w:t>67</w:t>
            </w:r>
          </w:p>
        </w:tc>
        <w:tc>
          <w:tcPr>
            <w:tcW w:w="2023" w:type="dxa"/>
            <w:shd w:val="clear" w:color="000000" w:fill="FFFFFF"/>
            <w:vAlign w:val="center"/>
          </w:tcPr>
          <w:p w14:paraId="4E612C82">
            <w:pPr>
              <w:pStyle w:val="41"/>
              <w:rPr>
                <w:rFonts w:hint="eastAsia"/>
                <w:b/>
                <w:bCs/>
              </w:rPr>
            </w:pPr>
            <w:r>
              <w:rPr>
                <w:b/>
                <w:bCs/>
              </w:rPr>
              <w:t>聚信京津冀数字产业园项目</w:t>
            </w:r>
          </w:p>
        </w:tc>
        <w:tc>
          <w:tcPr>
            <w:tcW w:w="8880" w:type="dxa"/>
            <w:shd w:val="clear" w:color="000000" w:fill="FFFFFF"/>
            <w:vAlign w:val="center"/>
          </w:tcPr>
          <w:p w14:paraId="00F54648">
            <w:pPr>
              <w:pStyle w:val="41"/>
              <w:rPr>
                <w:rFonts w:hint="eastAsia"/>
                <w:b/>
                <w:bCs/>
              </w:rPr>
            </w:pPr>
            <w:r>
              <w:rPr>
                <w:b/>
                <w:bCs/>
              </w:rPr>
              <w:t>项目计划投资4亿元，建筑面积约20万平方米，主要建设数据应用产业基地、全国反诈模型技术中心、大数据人才培训中心等，项目以大数据分析应用为核心，聚集数据分析、数据应用企业。项目建成后，预计年营业收入10亿元，年纳税5000万元，提供就业岗位500个。</w:t>
            </w:r>
          </w:p>
        </w:tc>
        <w:tc>
          <w:tcPr>
            <w:tcW w:w="1499" w:type="dxa"/>
            <w:shd w:val="clear" w:color="000000" w:fill="FFFFFF"/>
            <w:vAlign w:val="center"/>
          </w:tcPr>
          <w:p w14:paraId="5C95DD78">
            <w:pPr>
              <w:pStyle w:val="41"/>
              <w:rPr>
                <w:rFonts w:hint="eastAsia"/>
                <w:b/>
                <w:bCs/>
              </w:rPr>
            </w:pPr>
            <w:r>
              <w:rPr>
                <w:b/>
                <w:bCs/>
              </w:rPr>
              <w:t>聚信数字产业园（廊坊）有限公司</w:t>
            </w:r>
          </w:p>
        </w:tc>
      </w:tr>
      <w:tr w14:paraId="242FD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4630733">
            <w:pPr>
              <w:pStyle w:val="41"/>
              <w:rPr>
                <w:rFonts w:hint="eastAsia"/>
                <w:b/>
                <w:bCs/>
              </w:rPr>
            </w:pPr>
            <w:r>
              <w:rPr>
                <w:b/>
                <w:bCs/>
              </w:rPr>
              <w:t>68</w:t>
            </w:r>
          </w:p>
        </w:tc>
        <w:tc>
          <w:tcPr>
            <w:tcW w:w="2023" w:type="dxa"/>
            <w:shd w:val="clear" w:color="000000" w:fill="FFFFFF"/>
            <w:vAlign w:val="center"/>
          </w:tcPr>
          <w:p w14:paraId="2617FBBB">
            <w:pPr>
              <w:pStyle w:val="41"/>
              <w:rPr>
                <w:rFonts w:hint="eastAsia"/>
                <w:b/>
                <w:bCs/>
              </w:rPr>
            </w:pPr>
            <w:r>
              <w:rPr>
                <w:b/>
                <w:bCs/>
              </w:rPr>
              <w:t>广阳经开区新建管网及周边基础设施项目</w:t>
            </w:r>
          </w:p>
        </w:tc>
        <w:tc>
          <w:tcPr>
            <w:tcW w:w="8880" w:type="dxa"/>
            <w:shd w:val="clear" w:color="000000" w:fill="FFFFFF"/>
            <w:vAlign w:val="center"/>
          </w:tcPr>
          <w:p w14:paraId="0121045D">
            <w:pPr>
              <w:pStyle w:val="41"/>
              <w:rPr>
                <w:rFonts w:hint="eastAsia"/>
                <w:b/>
                <w:bCs/>
              </w:rPr>
            </w:pPr>
            <w:r>
              <w:rPr>
                <w:b/>
                <w:bCs/>
              </w:rPr>
              <w:t>本项目总占地面积约10.2359公顷，新建1座110千伏变电站占地面积约0.6公顷，新建1处停车场占地面积约0.595公顷。建设道路约3540米，主要建设给水管网，雨水管网、砖砌体矩形雨水管道、雨水支</w:t>
            </w:r>
            <w:r>
              <w:rPr>
                <w:rFonts w:hint="eastAsia"/>
                <w:b/>
                <w:bCs/>
              </w:rPr>
              <w:t>管</w:t>
            </w:r>
            <w:r>
              <w:rPr>
                <w:b/>
                <w:bCs/>
              </w:rPr>
              <w:t>，污水管网，热力管网，电力管网，通信管网，等相关市政基础</w:t>
            </w:r>
            <w:r>
              <w:rPr>
                <w:rFonts w:hint="eastAsia"/>
                <w:b/>
                <w:bCs/>
              </w:rPr>
              <w:t>设施</w:t>
            </w:r>
            <w:r>
              <w:rPr>
                <w:b/>
                <w:bCs/>
              </w:rPr>
              <w:t>。</w:t>
            </w:r>
          </w:p>
        </w:tc>
        <w:tc>
          <w:tcPr>
            <w:tcW w:w="1499" w:type="dxa"/>
            <w:shd w:val="clear" w:color="000000" w:fill="FFFFFF"/>
            <w:vAlign w:val="center"/>
          </w:tcPr>
          <w:p w14:paraId="6AB10593">
            <w:pPr>
              <w:pStyle w:val="41"/>
              <w:rPr>
                <w:rFonts w:hint="eastAsia"/>
                <w:b/>
                <w:bCs/>
              </w:rPr>
            </w:pPr>
            <w:r>
              <w:rPr>
                <w:b/>
                <w:bCs/>
              </w:rPr>
              <w:t>河北廊坊广阳经济开发区管理委员会</w:t>
            </w:r>
          </w:p>
        </w:tc>
      </w:tr>
      <w:tr w14:paraId="72D35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A1FB4BF">
            <w:pPr>
              <w:pStyle w:val="41"/>
              <w:rPr>
                <w:rFonts w:hint="eastAsia"/>
                <w:b/>
                <w:bCs/>
              </w:rPr>
            </w:pPr>
            <w:r>
              <w:rPr>
                <w:b/>
                <w:bCs/>
              </w:rPr>
              <w:t>69</w:t>
            </w:r>
          </w:p>
        </w:tc>
        <w:tc>
          <w:tcPr>
            <w:tcW w:w="2023" w:type="dxa"/>
            <w:shd w:val="clear" w:color="000000" w:fill="FFFFFF"/>
            <w:vAlign w:val="center"/>
          </w:tcPr>
          <w:p w14:paraId="0D65E446">
            <w:pPr>
              <w:pStyle w:val="41"/>
              <w:rPr>
                <w:rFonts w:hint="eastAsia"/>
                <w:b/>
                <w:bCs/>
              </w:rPr>
            </w:pPr>
            <w:r>
              <w:rPr>
                <w:b/>
                <w:bCs/>
              </w:rPr>
              <w:t>廊坊国际智培学校项目工程项目</w:t>
            </w:r>
          </w:p>
        </w:tc>
        <w:tc>
          <w:tcPr>
            <w:tcW w:w="8880" w:type="dxa"/>
            <w:shd w:val="clear" w:color="000000" w:fill="FFFFFF"/>
            <w:vAlign w:val="center"/>
          </w:tcPr>
          <w:p w14:paraId="18F2FF97">
            <w:pPr>
              <w:pStyle w:val="41"/>
              <w:rPr>
                <w:rFonts w:hint="eastAsia"/>
                <w:b/>
                <w:bCs/>
              </w:rPr>
            </w:pPr>
            <w:r>
              <w:rPr>
                <w:b/>
                <w:bCs/>
              </w:rPr>
              <w:t>项目占地面积33207.31平方米（49.8亩），总投资1.89亿元，兴建国际学校，新建教学综合楼（5F）1栋、食堂（3F）1栋、学生宿舍楼（3F）3栋、学生宿舍楼（6F）1栋等。</w:t>
            </w:r>
          </w:p>
        </w:tc>
        <w:tc>
          <w:tcPr>
            <w:tcW w:w="1499" w:type="dxa"/>
            <w:shd w:val="clear" w:color="000000" w:fill="FFFFFF"/>
            <w:vAlign w:val="center"/>
          </w:tcPr>
          <w:p w14:paraId="3D43F323">
            <w:pPr>
              <w:pStyle w:val="41"/>
              <w:rPr>
                <w:rFonts w:hint="eastAsia"/>
                <w:b/>
                <w:bCs/>
              </w:rPr>
            </w:pPr>
            <w:r>
              <w:rPr>
                <w:b/>
                <w:bCs/>
              </w:rPr>
              <w:t>廊坊乐远教育科技有限公司</w:t>
            </w:r>
          </w:p>
        </w:tc>
      </w:tr>
      <w:tr w14:paraId="32568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FCF55BC">
            <w:pPr>
              <w:pStyle w:val="41"/>
              <w:rPr>
                <w:rFonts w:hint="eastAsia"/>
                <w:b/>
                <w:bCs/>
              </w:rPr>
            </w:pPr>
            <w:r>
              <w:rPr>
                <w:b/>
                <w:bCs/>
              </w:rPr>
              <w:t>70</w:t>
            </w:r>
          </w:p>
        </w:tc>
        <w:tc>
          <w:tcPr>
            <w:tcW w:w="2023" w:type="dxa"/>
            <w:shd w:val="clear" w:color="000000" w:fill="FFFFFF"/>
            <w:vAlign w:val="center"/>
          </w:tcPr>
          <w:p w14:paraId="4018ECFB">
            <w:pPr>
              <w:pStyle w:val="41"/>
              <w:rPr>
                <w:rFonts w:hint="eastAsia"/>
                <w:b/>
                <w:bCs/>
              </w:rPr>
            </w:pPr>
            <w:r>
              <w:rPr>
                <w:b/>
                <w:bCs/>
              </w:rPr>
              <w:t>广阳区康复医院建设项目</w:t>
            </w:r>
          </w:p>
        </w:tc>
        <w:tc>
          <w:tcPr>
            <w:tcW w:w="8880" w:type="dxa"/>
            <w:shd w:val="clear" w:color="000000" w:fill="FFFFFF"/>
            <w:vAlign w:val="center"/>
          </w:tcPr>
          <w:p w14:paraId="1748314D">
            <w:pPr>
              <w:pStyle w:val="41"/>
              <w:rPr>
                <w:rFonts w:hint="eastAsia"/>
                <w:b/>
                <w:bCs/>
              </w:rPr>
            </w:pPr>
            <w:r>
              <w:rPr>
                <w:b/>
                <w:bCs/>
              </w:rPr>
              <w:t>本项目总建筑面积16390.00平方米，其中，地上总建筑面积为8590.00平方米，地下总建筑面积为7800.00平方米。主要建设康复门诊病房楼和附属用房，共设置床位100张。</w:t>
            </w:r>
          </w:p>
        </w:tc>
        <w:tc>
          <w:tcPr>
            <w:tcW w:w="1499" w:type="dxa"/>
            <w:shd w:val="clear" w:color="000000" w:fill="FFFFFF"/>
            <w:vAlign w:val="center"/>
          </w:tcPr>
          <w:p w14:paraId="479821D3">
            <w:pPr>
              <w:pStyle w:val="41"/>
              <w:rPr>
                <w:rFonts w:hint="eastAsia"/>
                <w:b/>
                <w:bCs/>
              </w:rPr>
            </w:pPr>
            <w:r>
              <w:rPr>
                <w:b/>
                <w:bCs/>
              </w:rPr>
              <w:t>廊坊市广阳区康复医院</w:t>
            </w:r>
          </w:p>
        </w:tc>
      </w:tr>
      <w:tr w14:paraId="4532A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C89B60E">
            <w:pPr>
              <w:pStyle w:val="41"/>
              <w:rPr>
                <w:rFonts w:hint="eastAsia"/>
                <w:b/>
                <w:bCs/>
              </w:rPr>
            </w:pPr>
            <w:r>
              <w:rPr>
                <w:b/>
                <w:bCs/>
              </w:rPr>
              <w:t>71</w:t>
            </w:r>
          </w:p>
        </w:tc>
        <w:tc>
          <w:tcPr>
            <w:tcW w:w="2023" w:type="dxa"/>
            <w:shd w:val="clear" w:color="000000" w:fill="FFFFFF"/>
            <w:vAlign w:val="center"/>
          </w:tcPr>
          <w:p w14:paraId="0A1A071D">
            <w:pPr>
              <w:pStyle w:val="41"/>
              <w:rPr>
                <w:rFonts w:hint="eastAsia"/>
                <w:b/>
                <w:bCs/>
              </w:rPr>
            </w:pPr>
            <w:r>
              <w:rPr>
                <w:b/>
                <w:bCs/>
              </w:rPr>
              <w:t>乐康中医康复医院项目</w:t>
            </w:r>
          </w:p>
        </w:tc>
        <w:tc>
          <w:tcPr>
            <w:tcW w:w="8880" w:type="dxa"/>
            <w:shd w:val="clear" w:color="000000" w:fill="FFFFFF"/>
            <w:vAlign w:val="center"/>
          </w:tcPr>
          <w:p w14:paraId="238F96B7">
            <w:pPr>
              <w:pStyle w:val="41"/>
              <w:rPr>
                <w:rFonts w:hint="eastAsia"/>
                <w:b/>
                <w:bCs/>
              </w:rPr>
            </w:pPr>
            <w:r>
              <w:rPr>
                <w:b/>
                <w:bCs/>
              </w:rPr>
              <w:t>项目占地30.1亩，总建筑面积约30000平方米，主要建设门诊综合楼、急诊中心、住院楼、行政管理中心及附属设施，购置医疗检验检查、康复治疗等设备，项目建成后将设置临床科室、治疗科室、评定科室、医技科室、职能科室五大科室，可提供康复床位420张。</w:t>
            </w:r>
          </w:p>
        </w:tc>
        <w:tc>
          <w:tcPr>
            <w:tcW w:w="1499" w:type="dxa"/>
            <w:shd w:val="clear" w:color="000000" w:fill="FFFFFF"/>
            <w:vAlign w:val="center"/>
          </w:tcPr>
          <w:p w14:paraId="5695A047">
            <w:pPr>
              <w:pStyle w:val="41"/>
              <w:rPr>
                <w:rFonts w:hint="eastAsia"/>
                <w:b/>
                <w:bCs/>
              </w:rPr>
            </w:pPr>
            <w:r>
              <w:rPr>
                <w:b/>
                <w:bCs/>
              </w:rPr>
              <w:t>河北乐康健康科技有限公司</w:t>
            </w:r>
          </w:p>
        </w:tc>
      </w:tr>
      <w:tr w14:paraId="64988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43D45D9">
            <w:pPr>
              <w:pStyle w:val="41"/>
              <w:rPr>
                <w:rFonts w:hint="eastAsia"/>
                <w:b/>
                <w:bCs/>
              </w:rPr>
            </w:pPr>
            <w:r>
              <w:rPr>
                <w:rFonts w:hint="eastAsia"/>
                <w:b/>
                <w:bCs/>
              </w:rPr>
              <w:t>72</w:t>
            </w:r>
          </w:p>
        </w:tc>
        <w:tc>
          <w:tcPr>
            <w:tcW w:w="2023" w:type="dxa"/>
            <w:shd w:val="clear" w:color="000000" w:fill="FFFFFF"/>
            <w:vAlign w:val="center"/>
          </w:tcPr>
          <w:p w14:paraId="7DAD6FAB">
            <w:pPr>
              <w:pStyle w:val="41"/>
              <w:rPr>
                <w:rFonts w:hint="eastAsia"/>
                <w:b/>
                <w:bCs/>
              </w:rPr>
            </w:pPr>
            <w:r>
              <w:rPr>
                <w:b/>
                <w:bCs/>
              </w:rPr>
              <w:t>润泽国际康养中心项目</w:t>
            </w:r>
          </w:p>
        </w:tc>
        <w:tc>
          <w:tcPr>
            <w:tcW w:w="8880" w:type="dxa"/>
            <w:shd w:val="clear" w:color="000000" w:fill="FFFFFF"/>
            <w:vAlign w:val="center"/>
          </w:tcPr>
          <w:p w14:paraId="01A1EB29">
            <w:pPr>
              <w:pStyle w:val="41"/>
              <w:rPr>
                <w:rFonts w:hint="eastAsia"/>
                <w:b/>
                <w:bCs/>
              </w:rPr>
            </w:pPr>
            <w:r>
              <w:rPr>
                <w:b/>
                <w:bCs/>
              </w:rPr>
              <w:t>项目占地37.44亩，总建筑面积约35000平方米。主要建设康养中心，项目建成后，可提供康养床位约1000张，包含养生、健身、书画、舞蹈、阅览、中医保健、急救、治疗、心理咨询等功能，着力打造集养生、养老、养护为一体的一站式康养服务示范中心。</w:t>
            </w:r>
          </w:p>
        </w:tc>
        <w:tc>
          <w:tcPr>
            <w:tcW w:w="1499" w:type="dxa"/>
            <w:shd w:val="clear" w:color="000000" w:fill="FFFFFF"/>
            <w:vAlign w:val="center"/>
          </w:tcPr>
          <w:p w14:paraId="3BC73712">
            <w:pPr>
              <w:pStyle w:val="41"/>
              <w:rPr>
                <w:rFonts w:hint="eastAsia"/>
                <w:b/>
                <w:bCs/>
              </w:rPr>
            </w:pPr>
            <w:r>
              <w:rPr>
                <w:b/>
                <w:bCs/>
              </w:rPr>
              <w:t>廊坊润泽数据产业发展有限公司</w:t>
            </w:r>
          </w:p>
        </w:tc>
      </w:tr>
      <w:tr w14:paraId="616D5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AE78D5D">
            <w:pPr>
              <w:pStyle w:val="41"/>
              <w:rPr>
                <w:rFonts w:hint="eastAsia"/>
                <w:b/>
                <w:bCs/>
              </w:rPr>
            </w:pPr>
            <w:r>
              <w:rPr>
                <w:b/>
                <w:bCs/>
              </w:rPr>
              <w:t>73</w:t>
            </w:r>
          </w:p>
        </w:tc>
        <w:tc>
          <w:tcPr>
            <w:tcW w:w="2023" w:type="dxa"/>
            <w:shd w:val="clear" w:color="000000" w:fill="FFFFFF"/>
            <w:vAlign w:val="center"/>
          </w:tcPr>
          <w:p w14:paraId="302713DC">
            <w:pPr>
              <w:pStyle w:val="41"/>
              <w:rPr>
                <w:rFonts w:hint="eastAsia"/>
                <w:b/>
                <w:bCs/>
              </w:rPr>
            </w:pPr>
            <w:r>
              <w:rPr>
                <w:b/>
                <w:bCs/>
              </w:rPr>
              <w:t>开发区花园道公共智能停车场项目</w:t>
            </w:r>
          </w:p>
        </w:tc>
        <w:tc>
          <w:tcPr>
            <w:tcW w:w="8880" w:type="dxa"/>
            <w:shd w:val="clear" w:color="000000" w:fill="FFFFFF"/>
            <w:vAlign w:val="center"/>
          </w:tcPr>
          <w:p w14:paraId="6631A80D">
            <w:pPr>
              <w:pStyle w:val="41"/>
              <w:rPr>
                <w:rFonts w:hint="eastAsia"/>
                <w:b/>
                <w:bCs/>
              </w:rPr>
            </w:pPr>
            <w:r>
              <w:rPr>
                <w:b/>
                <w:bCs/>
              </w:rPr>
              <w:t>本项目总占地面积为19078.12㎡（约28.61亩），计划兴建总建筑面积11440㎡，建筑物占地面积为3815㎡，绿化面积为3803.12㎡，道路及广场面积为11460㎡，主要建设内容为智能停车场、附属商业及配套设施。</w:t>
            </w:r>
          </w:p>
        </w:tc>
        <w:tc>
          <w:tcPr>
            <w:tcW w:w="1499" w:type="dxa"/>
            <w:shd w:val="clear" w:color="000000" w:fill="FFFFFF"/>
            <w:vAlign w:val="center"/>
          </w:tcPr>
          <w:p w14:paraId="1A08DF5B">
            <w:pPr>
              <w:pStyle w:val="41"/>
              <w:rPr>
                <w:rFonts w:hint="eastAsia"/>
                <w:b/>
                <w:bCs/>
              </w:rPr>
            </w:pPr>
            <w:r>
              <w:rPr>
                <w:b/>
                <w:bCs/>
              </w:rPr>
              <w:t>廊坊保航智能停车管理有限公司</w:t>
            </w:r>
          </w:p>
        </w:tc>
      </w:tr>
      <w:tr w14:paraId="4DE0E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ABD5231">
            <w:pPr>
              <w:pStyle w:val="41"/>
              <w:rPr>
                <w:rFonts w:hint="eastAsia"/>
                <w:b/>
                <w:bCs/>
              </w:rPr>
            </w:pPr>
            <w:r>
              <w:rPr>
                <w:b/>
                <w:bCs/>
              </w:rPr>
              <w:t>74</w:t>
            </w:r>
          </w:p>
        </w:tc>
        <w:tc>
          <w:tcPr>
            <w:tcW w:w="2023" w:type="dxa"/>
            <w:shd w:val="clear" w:color="000000" w:fill="FFFFFF"/>
            <w:vAlign w:val="center"/>
          </w:tcPr>
          <w:p w14:paraId="0C06FF9D">
            <w:pPr>
              <w:pStyle w:val="41"/>
              <w:rPr>
                <w:rFonts w:hint="eastAsia"/>
                <w:b/>
                <w:bCs/>
              </w:rPr>
            </w:pPr>
            <w:r>
              <w:rPr>
                <w:b/>
                <w:bCs/>
              </w:rPr>
              <w:t>廊坊经济技术开发区第二幼儿园工程</w:t>
            </w:r>
          </w:p>
        </w:tc>
        <w:tc>
          <w:tcPr>
            <w:tcW w:w="8880" w:type="dxa"/>
            <w:shd w:val="clear" w:color="000000" w:fill="FFFFFF"/>
            <w:vAlign w:val="center"/>
          </w:tcPr>
          <w:p w14:paraId="0388ED66">
            <w:pPr>
              <w:pStyle w:val="41"/>
              <w:rPr>
                <w:rFonts w:hint="eastAsia"/>
                <w:b/>
                <w:bCs/>
              </w:rPr>
            </w:pPr>
            <w:r>
              <w:rPr>
                <w:b/>
                <w:bCs/>
              </w:rPr>
              <w:t>项目总用地面积为16666.41平方米（折合25亩），其中建筑基底面积3263.80平方米，绿化面积5718.25平方米，幼儿园活动场地、道路、升旗广场用地面积7684.36平方米。总建筑面积13240.77平方米</w:t>
            </w:r>
          </w:p>
        </w:tc>
        <w:tc>
          <w:tcPr>
            <w:tcW w:w="1499" w:type="dxa"/>
            <w:shd w:val="clear" w:color="000000" w:fill="FFFFFF"/>
            <w:vAlign w:val="center"/>
          </w:tcPr>
          <w:p w14:paraId="370820D8">
            <w:pPr>
              <w:pStyle w:val="41"/>
              <w:rPr>
                <w:rFonts w:hint="eastAsia"/>
                <w:b/>
                <w:bCs/>
              </w:rPr>
            </w:pPr>
            <w:r>
              <w:rPr>
                <w:b/>
                <w:bCs/>
              </w:rPr>
              <w:t>廊坊经济技术开发区管理委员会</w:t>
            </w:r>
          </w:p>
        </w:tc>
      </w:tr>
      <w:tr w14:paraId="4600F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7135225">
            <w:pPr>
              <w:pStyle w:val="41"/>
              <w:rPr>
                <w:rFonts w:hint="eastAsia"/>
                <w:b/>
                <w:bCs/>
              </w:rPr>
            </w:pPr>
            <w:r>
              <w:rPr>
                <w:b/>
                <w:bCs/>
              </w:rPr>
              <w:t>75</w:t>
            </w:r>
          </w:p>
        </w:tc>
        <w:tc>
          <w:tcPr>
            <w:tcW w:w="2023" w:type="dxa"/>
            <w:shd w:val="clear" w:color="000000" w:fill="FFFFFF"/>
            <w:vAlign w:val="center"/>
          </w:tcPr>
          <w:p w14:paraId="4B4335E0">
            <w:pPr>
              <w:pStyle w:val="41"/>
              <w:rPr>
                <w:rFonts w:hint="eastAsia"/>
                <w:b/>
                <w:bCs/>
              </w:rPr>
            </w:pPr>
            <w:r>
              <w:rPr>
                <w:b/>
                <w:bCs/>
              </w:rPr>
              <w:t>云鹏道至毕昇路隔压站热电集中供热改造项目</w:t>
            </w:r>
          </w:p>
        </w:tc>
        <w:tc>
          <w:tcPr>
            <w:tcW w:w="8880" w:type="dxa"/>
            <w:shd w:val="clear" w:color="000000" w:fill="FFFFFF"/>
            <w:vAlign w:val="center"/>
          </w:tcPr>
          <w:p w14:paraId="6C76A372">
            <w:pPr>
              <w:pStyle w:val="41"/>
              <w:rPr>
                <w:rFonts w:hint="eastAsia"/>
                <w:b/>
                <w:bCs/>
              </w:rPr>
            </w:pPr>
            <w:r>
              <w:rPr>
                <w:b/>
                <w:bCs/>
              </w:rPr>
              <w:t>1、利用现状建筑，改造160兆瓦隔压换热站1座及配套设施，隔压站位于廊坊市经济开发区毕昇路与三号路交口东北侧，供热范围不变。</w:t>
            </w:r>
            <w:r>
              <w:rPr>
                <w:b/>
                <w:bCs/>
              </w:rPr>
              <w:br w:type="textWrapping"/>
            </w:r>
            <w:r>
              <w:rPr>
                <w:b/>
                <w:bCs/>
              </w:rPr>
              <w:t>2、原DN400供热管改建DN800供热管网2.3千米。</w:t>
            </w:r>
          </w:p>
        </w:tc>
        <w:tc>
          <w:tcPr>
            <w:tcW w:w="1499" w:type="dxa"/>
            <w:shd w:val="clear" w:color="000000" w:fill="FFFFFF"/>
            <w:vAlign w:val="center"/>
          </w:tcPr>
          <w:p w14:paraId="1E693AC9">
            <w:pPr>
              <w:pStyle w:val="41"/>
              <w:rPr>
                <w:rFonts w:hint="eastAsia"/>
                <w:b/>
                <w:bCs/>
              </w:rPr>
            </w:pPr>
            <w:r>
              <w:rPr>
                <w:b/>
                <w:bCs/>
              </w:rPr>
              <w:t>廊坊开发区建设发展集团有限公司</w:t>
            </w:r>
          </w:p>
        </w:tc>
      </w:tr>
      <w:tr w14:paraId="438D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E80C8D3">
            <w:pPr>
              <w:pStyle w:val="41"/>
              <w:rPr>
                <w:rFonts w:hint="eastAsia"/>
                <w:b/>
                <w:bCs/>
              </w:rPr>
            </w:pPr>
            <w:r>
              <w:rPr>
                <w:b/>
                <w:bCs/>
              </w:rPr>
              <w:t>76</w:t>
            </w:r>
          </w:p>
        </w:tc>
        <w:tc>
          <w:tcPr>
            <w:tcW w:w="2023" w:type="dxa"/>
            <w:shd w:val="clear" w:color="000000" w:fill="FFFFFF"/>
            <w:vAlign w:val="center"/>
          </w:tcPr>
          <w:p w14:paraId="1DA50452">
            <w:pPr>
              <w:pStyle w:val="41"/>
              <w:rPr>
                <w:rFonts w:hint="eastAsia"/>
                <w:b/>
                <w:bCs/>
              </w:rPr>
            </w:pPr>
            <w:r>
              <w:rPr>
                <w:b/>
                <w:bCs/>
              </w:rPr>
              <w:t>廊坊市精神卫生福利中心项目</w:t>
            </w:r>
          </w:p>
        </w:tc>
        <w:tc>
          <w:tcPr>
            <w:tcW w:w="8880" w:type="dxa"/>
            <w:shd w:val="clear" w:color="000000" w:fill="FFFFFF"/>
            <w:vAlign w:val="center"/>
          </w:tcPr>
          <w:p w14:paraId="5EA38412">
            <w:pPr>
              <w:pStyle w:val="41"/>
              <w:rPr>
                <w:rFonts w:hint="eastAsia"/>
                <w:b/>
                <w:bCs/>
              </w:rPr>
            </w:pPr>
            <w:r>
              <w:rPr>
                <w:b/>
                <w:bCs/>
              </w:rPr>
              <w:t>建筑面积10919.43平方米，拟设200张床位。其中地上建筑面积29450平方米（包括养员区、办公区、康复诊疗区等），地下建筑面积757.79平方米（包括消防水池、泵房、换热站等）。规划机动车位77个，非机动车位247个。</w:t>
            </w:r>
          </w:p>
        </w:tc>
        <w:tc>
          <w:tcPr>
            <w:tcW w:w="1499" w:type="dxa"/>
            <w:shd w:val="clear" w:color="000000" w:fill="FFFFFF"/>
            <w:vAlign w:val="center"/>
          </w:tcPr>
          <w:p w14:paraId="420E8EEA">
            <w:pPr>
              <w:pStyle w:val="41"/>
              <w:rPr>
                <w:rFonts w:hint="eastAsia"/>
                <w:b/>
                <w:bCs/>
              </w:rPr>
            </w:pPr>
            <w:r>
              <w:rPr>
                <w:b/>
                <w:bCs/>
              </w:rPr>
              <w:t>廊坊市民政局</w:t>
            </w:r>
          </w:p>
        </w:tc>
      </w:tr>
      <w:tr w14:paraId="2BAAF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6BA34D3">
            <w:pPr>
              <w:pStyle w:val="41"/>
              <w:rPr>
                <w:rFonts w:hint="eastAsia"/>
                <w:b/>
                <w:bCs/>
              </w:rPr>
            </w:pPr>
            <w:r>
              <w:rPr>
                <w:b/>
                <w:bCs/>
              </w:rPr>
              <w:t>77</w:t>
            </w:r>
          </w:p>
        </w:tc>
        <w:tc>
          <w:tcPr>
            <w:tcW w:w="2023" w:type="dxa"/>
            <w:shd w:val="clear" w:color="000000" w:fill="FFFFFF"/>
            <w:vAlign w:val="center"/>
          </w:tcPr>
          <w:p w14:paraId="50894CD5">
            <w:pPr>
              <w:pStyle w:val="41"/>
              <w:rPr>
                <w:rFonts w:hint="eastAsia"/>
                <w:b/>
                <w:bCs/>
              </w:rPr>
            </w:pPr>
            <w:r>
              <w:rPr>
                <w:b/>
                <w:bCs/>
              </w:rPr>
              <w:t>廊坊卫生职业学院新建学生公寓项目</w:t>
            </w:r>
          </w:p>
        </w:tc>
        <w:tc>
          <w:tcPr>
            <w:tcW w:w="8880" w:type="dxa"/>
            <w:shd w:val="clear" w:color="000000" w:fill="FFFFFF"/>
            <w:vAlign w:val="center"/>
          </w:tcPr>
          <w:p w14:paraId="3E555A7A">
            <w:pPr>
              <w:pStyle w:val="41"/>
              <w:rPr>
                <w:rFonts w:hint="eastAsia"/>
                <w:b/>
                <w:bCs/>
              </w:rPr>
            </w:pPr>
            <w:r>
              <w:rPr>
                <w:b/>
                <w:bCs/>
              </w:rPr>
              <w:t>本项目占地面积2446.83平方米，总建筑面积约17757.35平方米（含地下人防）</w:t>
            </w:r>
          </w:p>
        </w:tc>
        <w:tc>
          <w:tcPr>
            <w:tcW w:w="1499" w:type="dxa"/>
            <w:shd w:val="clear" w:color="000000" w:fill="FFFFFF"/>
            <w:vAlign w:val="center"/>
          </w:tcPr>
          <w:p w14:paraId="6B7CBEA7">
            <w:pPr>
              <w:pStyle w:val="41"/>
              <w:rPr>
                <w:rFonts w:hint="eastAsia"/>
                <w:b/>
                <w:bCs/>
              </w:rPr>
            </w:pPr>
            <w:r>
              <w:rPr>
                <w:b/>
                <w:bCs/>
              </w:rPr>
              <w:t>廊坊卫生职业学院</w:t>
            </w:r>
          </w:p>
        </w:tc>
      </w:tr>
      <w:tr w14:paraId="070F7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A1FAF85">
            <w:pPr>
              <w:pStyle w:val="41"/>
              <w:rPr>
                <w:rFonts w:hint="eastAsia"/>
                <w:b/>
                <w:bCs/>
              </w:rPr>
            </w:pPr>
            <w:r>
              <w:rPr>
                <w:b/>
                <w:bCs/>
              </w:rPr>
              <w:t>78</w:t>
            </w:r>
          </w:p>
        </w:tc>
        <w:tc>
          <w:tcPr>
            <w:tcW w:w="2023" w:type="dxa"/>
            <w:shd w:val="clear" w:color="000000" w:fill="FFFFFF"/>
            <w:vAlign w:val="center"/>
          </w:tcPr>
          <w:p w14:paraId="0C9D5E15">
            <w:pPr>
              <w:pStyle w:val="41"/>
              <w:rPr>
                <w:rFonts w:hint="eastAsia"/>
                <w:b/>
                <w:bCs/>
              </w:rPr>
            </w:pPr>
            <w:r>
              <w:rPr>
                <w:b/>
                <w:bCs/>
              </w:rPr>
              <w:t>廊坊市卫生急救中心迁建项目</w:t>
            </w:r>
          </w:p>
        </w:tc>
        <w:tc>
          <w:tcPr>
            <w:tcW w:w="8880" w:type="dxa"/>
            <w:shd w:val="clear" w:color="000000" w:fill="FFFFFF"/>
            <w:vAlign w:val="center"/>
          </w:tcPr>
          <w:p w14:paraId="0C2EFA2A">
            <w:pPr>
              <w:pStyle w:val="41"/>
              <w:rPr>
                <w:rFonts w:hint="eastAsia"/>
                <w:b/>
                <w:bCs/>
              </w:rPr>
            </w:pPr>
            <w:r>
              <w:rPr>
                <w:b/>
                <w:bCs/>
              </w:rPr>
              <w:t>占地15亩，总建筑面积约9000平方米，其中：地上建筑面积6000平方米，地下建筑面积3000平方米</w:t>
            </w:r>
          </w:p>
        </w:tc>
        <w:tc>
          <w:tcPr>
            <w:tcW w:w="1499" w:type="dxa"/>
            <w:shd w:val="clear" w:color="000000" w:fill="FFFFFF"/>
            <w:vAlign w:val="center"/>
          </w:tcPr>
          <w:p w14:paraId="013FC905">
            <w:pPr>
              <w:pStyle w:val="41"/>
              <w:rPr>
                <w:rFonts w:hint="eastAsia"/>
                <w:b/>
                <w:bCs/>
              </w:rPr>
            </w:pPr>
            <w:r>
              <w:rPr>
                <w:b/>
                <w:bCs/>
              </w:rPr>
              <w:t>廊坊市卫生急救中心</w:t>
            </w:r>
          </w:p>
        </w:tc>
      </w:tr>
      <w:tr w14:paraId="40A59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7F9A1BE">
            <w:pPr>
              <w:pStyle w:val="41"/>
              <w:rPr>
                <w:rFonts w:hint="eastAsia"/>
                <w:b/>
                <w:bCs/>
              </w:rPr>
            </w:pPr>
            <w:r>
              <w:rPr>
                <w:rFonts w:hint="eastAsia"/>
                <w:b/>
                <w:bCs/>
              </w:rPr>
              <w:t>79</w:t>
            </w:r>
          </w:p>
        </w:tc>
        <w:tc>
          <w:tcPr>
            <w:tcW w:w="2023" w:type="dxa"/>
            <w:shd w:val="clear" w:color="000000" w:fill="FFFFFF"/>
            <w:vAlign w:val="center"/>
          </w:tcPr>
          <w:p w14:paraId="3EBEF5E4">
            <w:pPr>
              <w:pStyle w:val="41"/>
              <w:rPr>
                <w:rFonts w:hint="eastAsia"/>
                <w:b/>
                <w:bCs/>
              </w:rPr>
            </w:pPr>
            <w:r>
              <w:rPr>
                <w:b/>
                <w:bCs/>
              </w:rPr>
              <w:t>智慧停车新能源综合服务站建设项目</w:t>
            </w:r>
          </w:p>
        </w:tc>
        <w:tc>
          <w:tcPr>
            <w:tcW w:w="8880" w:type="dxa"/>
            <w:shd w:val="clear" w:color="000000" w:fill="FFFFFF"/>
            <w:vAlign w:val="center"/>
          </w:tcPr>
          <w:p w14:paraId="3EEBF170">
            <w:pPr>
              <w:pStyle w:val="41"/>
              <w:rPr>
                <w:rFonts w:hint="eastAsia"/>
                <w:b/>
                <w:bCs/>
              </w:rPr>
            </w:pPr>
            <w:r>
              <w:rPr>
                <w:b/>
                <w:bCs/>
              </w:rPr>
              <w:t>本项目总占地面积6000平方米（约合9亩），总建筑面积2000平方米。主要建设一栋二层新能源综合停车楼，50台大功率快速充电桩，150个停车位，投入使用后可实现50台纯电动车的停放、充电、保养及100台小汽车的停放。</w:t>
            </w:r>
          </w:p>
        </w:tc>
        <w:tc>
          <w:tcPr>
            <w:tcW w:w="1499" w:type="dxa"/>
            <w:shd w:val="clear" w:color="000000" w:fill="FFFFFF"/>
            <w:vAlign w:val="center"/>
          </w:tcPr>
          <w:p w14:paraId="7C9A25B5">
            <w:pPr>
              <w:pStyle w:val="41"/>
              <w:rPr>
                <w:rFonts w:hint="eastAsia"/>
                <w:b/>
                <w:bCs/>
              </w:rPr>
            </w:pPr>
            <w:r>
              <w:rPr>
                <w:b/>
                <w:bCs/>
              </w:rPr>
              <w:t>河北斯玛特智慧停车服务有限公司</w:t>
            </w:r>
          </w:p>
        </w:tc>
      </w:tr>
      <w:tr w14:paraId="6DA4D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AAB5945">
            <w:pPr>
              <w:pStyle w:val="41"/>
              <w:rPr>
                <w:rFonts w:hint="eastAsia"/>
                <w:b/>
                <w:bCs/>
              </w:rPr>
            </w:pPr>
            <w:r>
              <w:rPr>
                <w:rFonts w:hint="eastAsia"/>
                <w:b/>
                <w:bCs/>
              </w:rPr>
              <w:t>80</w:t>
            </w:r>
          </w:p>
        </w:tc>
        <w:tc>
          <w:tcPr>
            <w:tcW w:w="2023" w:type="dxa"/>
            <w:shd w:val="clear" w:color="000000" w:fill="FFFFFF"/>
            <w:vAlign w:val="center"/>
          </w:tcPr>
          <w:p w14:paraId="0A8C768C">
            <w:pPr>
              <w:pStyle w:val="41"/>
              <w:rPr>
                <w:rFonts w:hint="eastAsia"/>
                <w:b/>
                <w:bCs/>
              </w:rPr>
            </w:pPr>
            <w:r>
              <w:rPr>
                <w:b/>
                <w:bCs/>
              </w:rPr>
              <w:t>2025年廊坊市城区老旧燃气管网改造工程</w:t>
            </w:r>
          </w:p>
        </w:tc>
        <w:tc>
          <w:tcPr>
            <w:tcW w:w="8880" w:type="dxa"/>
            <w:shd w:val="clear" w:color="000000" w:fill="FFFFFF"/>
            <w:vAlign w:val="center"/>
          </w:tcPr>
          <w:p w14:paraId="49ACA177">
            <w:pPr>
              <w:pStyle w:val="41"/>
              <w:rPr>
                <w:rFonts w:hint="eastAsia"/>
                <w:b/>
                <w:bCs/>
              </w:rPr>
            </w:pPr>
            <w:r>
              <w:rPr>
                <w:b/>
                <w:bCs/>
              </w:rPr>
              <w:t>改造市政燃气管网4.9公里，管径DN50-DN200,主要包括:迎春路（爱民道-金光道）、北吉里（新民道-广阳道）、丰盛路（调压箱-主管道）、和平路（广阳道-管道局七区）等路段。改造燃气管网7.3公里，管径DN50-DN150，主要包括：二炮、光明东里、建民里、北吉里地税、中国银行、机研所、太平洋保险、华腾家园、富苑里、通讯营等燃气用户。</w:t>
            </w:r>
          </w:p>
        </w:tc>
        <w:tc>
          <w:tcPr>
            <w:tcW w:w="1499" w:type="dxa"/>
            <w:shd w:val="clear" w:color="000000" w:fill="FFFFFF"/>
            <w:vAlign w:val="center"/>
          </w:tcPr>
          <w:p w14:paraId="7EBB2C71">
            <w:pPr>
              <w:pStyle w:val="41"/>
              <w:rPr>
                <w:rFonts w:hint="eastAsia"/>
                <w:b/>
                <w:bCs/>
              </w:rPr>
            </w:pPr>
            <w:r>
              <w:rPr>
                <w:b/>
                <w:bCs/>
              </w:rPr>
              <w:t>廊坊新奥燃气有限公司</w:t>
            </w:r>
          </w:p>
        </w:tc>
      </w:tr>
      <w:tr w14:paraId="4E97D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9218288">
            <w:pPr>
              <w:pStyle w:val="41"/>
              <w:rPr>
                <w:rFonts w:hint="eastAsia"/>
                <w:b/>
                <w:bCs/>
              </w:rPr>
            </w:pPr>
            <w:r>
              <w:rPr>
                <w:rFonts w:hint="eastAsia"/>
                <w:b/>
                <w:bCs/>
              </w:rPr>
              <w:t>81</w:t>
            </w:r>
          </w:p>
        </w:tc>
        <w:tc>
          <w:tcPr>
            <w:tcW w:w="2023" w:type="dxa"/>
            <w:shd w:val="clear" w:color="000000" w:fill="FFFFFF"/>
            <w:vAlign w:val="center"/>
          </w:tcPr>
          <w:p w14:paraId="459998E9">
            <w:pPr>
              <w:pStyle w:val="41"/>
              <w:rPr>
                <w:rFonts w:hint="eastAsia"/>
                <w:b/>
                <w:bCs/>
              </w:rPr>
            </w:pPr>
            <w:r>
              <w:rPr>
                <w:b/>
                <w:bCs/>
              </w:rPr>
              <w:t>廊坊市城区燃气场站改造工程</w:t>
            </w:r>
          </w:p>
        </w:tc>
        <w:tc>
          <w:tcPr>
            <w:tcW w:w="8880" w:type="dxa"/>
            <w:shd w:val="clear" w:color="000000" w:fill="FFFFFF"/>
            <w:vAlign w:val="center"/>
          </w:tcPr>
          <w:p w14:paraId="308C0600">
            <w:pPr>
              <w:pStyle w:val="41"/>
              <w:rPr>
                <w:rFonts w:hint="eastAsia"/>
                <w:b/>
                <w:bCs/>
              </w:rPr>
            </w:pPr>
            <w:r>
              <w:rPr>
                <w:b/>
                <w:bCs/>
              </w:rPr>
              <w:t>1、LNG应急调峰储备站进行消防水系统智慧物联升级2、城南燃气门站更换站内压力管道500米。3、临空回迁区燃气门站进行智能周界报警设备建设、智慧门禁系统建设、智能视频监控设备建设、站控系统升级改造。4、开发区燃气门站更换站区压力管道1500米，进行智能周界报警设备建设、智慧门禁系统建设、燃气泄漏自动巡检系统建设、智能视频监控设备建设、放空阀工艺改造、站控系统升级改造、室内工艺安全设备建设。5、永唐秦燃气门站进行门站生产锅炉更新改造、智能周界报警设备建设、智慧门禁系统建设、燃气泄漏自动巡检系统建设、智能视频监控设备建设、放空阀工艺改造、站控系统升级改造、室内工艺安全设备建设、加臭系统物联升级。</w:t>
            </w:r>
          </w:p>
        </w:tc>
        <w:tc>
          <w:tcPr>
            <w:tcW w:w="1499" w:type="dxa"/>
            <w:shd w:val="clear" w:color="000000" w:fill="FFFFFF"/>
            <w:vAlign w:val="center"/>
          </w:tcPr>
          <w:p w14:paraId="06CF024C">
            <w:pPr>
              <w:pStyle w:val="41"/>
              <w:rPr>
                <w:rFonts w:hint="eastAsia"/>
                <w:b/>
                <w:bCs/>
              </w:rPr>
            </w:pPr>
            <w:r>
              <w:rPr>
                <w:b/>
                <w:bCs/>
              </w:rPr>
              <w:t>廊坊新奥燃气有限公司</w:t>
            </w:r>
          </w:p>
        </w:tc>
      </w:tr>
      <w:tr w14:paraId="5F1CF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339D3C6">
            <w:pPr>
              <w:pStyle w:val="41"/>
              <w:rPr>
                <w:rFonts w:hint="eastAsia"/>
                <w:b/>
                <w:bCs/>
              </w:rPr>
            </w:pPr>
            <w:r>
              <w:rPr>
                <w:rFonts w:hint="eastAsia"/>
                <w:b/>
                <w:bCs/>
              </w:rPr>
              <w:t>82</w:t>
            </w:r>
          </w:p>
        </w:tc>
        <w:tc>
          <w:tcPr>
            <w:tcW w:w="2023" w:type="dxa"/>
            <w:shd w:val="clear" w:color="000000" w:fill="FFFFFF"/>
            <w:vAlign w:val="center"/>
          </w:tcPr>
          <w:p w14:paraId="4C7E2BCB">
            <w:pPr>
              <w:pStyle w:val="41"/>
              <w:rPr>
                <w:rFonts w:hint="eastAsia"/>
                <w:b/>
                <w:bCs/>
              </w:rPr>
            </w:pPr>
            <w:r>
              <w:rPr>
                <w:b/>
                <w:bCs/>
              </w:rPr>
              <w:t>廊坊市公共供水管网漏损治理基础设施及数字化建设项目</w:t>
            </w:r>
          </w:p>
        </w:tc>
        <w:tc>
          <w:tcPr>
            <w:tcW w:w="8880" w:type="dxa"/>
            <w:shd w:val="clear" w:color="000000" w:fill="FFFFFF"/>
            <w:vAlign w:val="center"/>
          </w:tcPr>
          <w:p w14:paraId="1F62F4EC">
            <w:pPr>
              <w:pStyle w:val="41"/>
              <w:rPr>
                <w:rFonts w:hint="eastAsia"/>
                <w:b/>
                <w:bCs/>
              </w:rPr>
            </w:pPr>
            <w:r>
              <w:rPr>
                <w:b/>
                <w:bCs/>
              </w:rPr>
              <w:t>1、市政供水管道改造共计5.61km；2、老旧小区改造6个；3、二次供水改造4处；4、城区老旧阀门更新改造35座；5、增设压力监测点30处；6、更新升级二水厂电气设备；7、分区计量及数字化建设：建设22个四级分区、完成GIS补录500公里、二级分区更新考核表6块，三级分区考核表9块，四级分区考核表20块、更换安装计量水表，更换智能消防栓20台；供水管网分级分区计量漏损控制系统的智能化升级、物联网监控平台建设、管网资产管理平台建设、管网大数据共享平台建设及数字孪生管网智能管控平台建设。</w:t>
            </w:r>
          </w:p>
        </w:tc>
        <w:tc>
          <w:tcPr>
            <w:tcW w:w="1499" w:type="dxa"/>
            <w:shd w:val="clear" w:color="000000" w:fill="FFFFFF"/>
            <w:vAlign w:val="center"/>
          </w:tcPr>
          <w:p w14:paraId="325AC3F9">
            <w:pPr>
              <w:pStyle w:val="41"/>
              <w:rPr>
                <w:rFonts w:hint="eastAsia"/>
                <w:b/>
                <w:bCs/>
              </w:rPr>
            </w:pPr>
            <w:r>
              <w:rPr>
                <w:b/>
                <w:bCs/>
              </w:rPr>
              <w:t>廊坊市清泉供水有限责任公司</w:t>
            </w:r>
          </w:p>
        </w:tc>
      </w:tr>
      <w:tr w14:paraId="1C36E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44F2EBB">
            <w:pPr>
              <w:pStyle w:val="41"/>
              <w:rPr>
                <w:rFonts w:hint="eastAsia"/>
                <w:b/>
                <w:bCs/>
              </w:rPr>
            </w:pPr>
            <w:r>
              <w:rPr>
                <w:rFonts w:hint="eastAsia"/>
                <w:b/>
                <w:bCs/>
              </w:rPr>
              <w:t>83</w:t>
            </w:r>
          </w:p>
        </w:tc>
        <w:tc>
          <w:tcPr>
            <w:tcW w:w="2023" w:type="dxa"/>
            <w:shd w:val="clear" w:color="000000" w:fill="FFFFFF"/>
            <w:vAlign w:val="center"/>
          </w:tcPr>
          <w:p w14:paraId="1CC0AD9A">
            <w:pPr>
              <w:pStyle w:val="41"/>
              <w:rPr>
                <w:rFonts w:hint="eastAsia"/>
                <w:b/>
                <w:bCs/>
              </w:rPr>
            </w:pPr>
            <w:r>
              <w:rPr>
                <w:b/>
                <w:bCs/>
              </w:rPr>
              <w:t>冷却水厂及地下管线建设项目</w:t>
            </w:r>
          </w:p>
        </w:tc>
        <w:tc>
          <w:tcPr>
            <w:tcW w:w="8880" w:type="dxa"/>
            <w:shd w:val="clear" w:color="000000" w:fill="FFFFFF"/>
            <w:vAlign w:val="center"/>
          </w:tcPr>
          <w:p w14:paraId="26D0B58D">
            <w:pPr>
              <w:pStyle w:val="41"/>
              <w:rPr>
                <w:rFonts w:hint="eastAsia"/>
                <w:b/>
                <w:bCs/>
              </w:rPr>
            </w:pPr>
            <w:r>
              <w:rPr>
                <w:b/>
                <w:bCs/>
              </w:rPr>
              <w:t>1、新建d600-d2600雨水管道4.8公里，总投资6186万元；新建d500-d1200污水管道4.6公里，总投资4469万元；2、新建dn200-dn500供水管道4.7公里，总投资1189万元；3、新建1座冷却水厂（一期），规模1.5万吨/天，总投资8000万元；新建dn200-dn700冷却水管道6.9公里，总投资1323万元；4、建设其他附属设施和对路面进行恢复。</w:t>
            </w:r>
          </w:p>
        </w:tc>
        <w:tc>
          <w:tcPr>
            <w:tcW w:w="1499" w:type="dxa"/>
            <w:shd w:val="clear" w:color="000000" w:fill="FFFFFF"/>
            <w:vAlign w:val="center"/>
          </w:tcPr>
          <w:p w14:paraId="2FD1BC70">
            <w:pPr>
              <w:pStyle w:val="41"/>
              <w:rPr>
                <w:rFonts w:hint="eastAsia"/>
                <w:b/>
                <w:bCs/>
              </w:rPr>
            </w:pPr>
            <w:r>
              <w:rPr>
                <w:b/>
                <w:bCs/>
              </w:rPr>
              <w:t>河北廊坊高新技术产业开发区管理委员会</w:t>
            </w:r>
          </w:p>
        </w:tc>
      </w:tr>
      <w:tr w14:paraId="1D8DD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0A916E5">
            <w:pPr>
              <w:pStyle w:val="41"/>
              <w:rPr>
                <w:rFonts w:hint="eastAsia"/>
                <w:b/>
                <w:bCs/>
              </w:rPr>
            </w:pPr>
            <w:r>
              <w:rPr>
                <w:rFonts w:hint="eastAsia"/>
                <w:b/>
                <w:bCs/>
              </w:rPr>
              <w:t>84</w:t>
            </w:r>
          </w:p>
        </w:tc>
        <w:tc>
          <w:tcPr>
            <w:tcW w:w="2023" w:type="dxa"/>
            <w:shd w:val="clear" w:color="000000" w:fill="FFFFFF"/>
            <w:vAlign w:val="center"/>
          </w:tcPr>
          <w:p w14:paraId="71DFF8EC">
            <w:pPr>
              <w:pStyle w:val="41"/>
              <w:rPr>
                <w:rFonts w:hint="eastAsia"/>
                <w:b/>
                <w:bCs/>
              </w:rPr>
            </w:pPr>
            <w:r>
              <w:rPr>
                <w:b/>
                <w:bCs/>
              </w:rPr>
              <w:t>给水设施建设及改造项目</w:t>
            </w:r>
          </w:p>
        </w:tc>
        <w:tc>
          <w:tcPr>
            <w:tcW w:w="8880" w:type="dxa"/>
            <w:shd w:val="clear" w:color="000000" w:fill="FFFFFF"/>
            <w:vAlign w:val="center"/>
          </w:tcPr>
          <w:p w14:paraId="385D7C9B">
            <w:pPr>
              <w:pStyle w:val="41"/>
              <w:rPr>
                <w:rFonts w:hint="eastAsia"/>
                <w:b/>
                <w:bCs/>
              </w:rPr>
            </w:pPr>
            <w:r>
              <w:rPr>
                <w:b/>
                <w:bCs/>
              </w:rPr>
              <w:t>1、新建DN300-DN800供水管道6.6公里，投资1905万元；改造DN250-DN600供水管线13.8公里，投资3845万元；新建供水加压泵站1座，规模2.5万吨/天，投资3391万元；2、对已建37.5公里供水管网进行压力调控、分区计量及管网漏损监控改造，增设流量计、压力传感器等在线监测设备，建立完善的感知传输系统和智慧给水平台，投资678万元。</w:t>
            </w:r>
          </w:p>
        </w:tc>
        <w:tc>
          <w:tcPr>
            <w:tcW w:w="1499" w:type="dxa"/>
            <w:shd w:val="clear" w:color="000000" w:fill="FFFFFF"/>
            <w:vAlign w:val="center"/>
          </w:tcPr>
          <w:p w14:paraId="758229E3">
            <w:pPr>
              <w:pStyle w:val="41"/>
              <w:rPr>
                <w:rFonts w:hint="eastAsia"/>
                <w:b/>
                <w:bCs/>
              </w:rPr>
            </w:pPr>
            <w:r>
              <w:rPr>
                <w:b/>
                <w:bCs/>
              </w:rPr>
              <w:t>河北廊坊高新技术产业开发区管理委员会</w:t>
            </w:r>
          </w:p>
        </w:tc>
      </w:tr>
      <w:tr w14:paraId="5BEEA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4D79E7E">
            <w:pPr>
              <w:pStyle w:val="41"/>
              <w:rPr>
                <w:rFonts w:hint="eastAsia"/>
                <w:b/>
                <w:bCs/>
              </w:rPr>
            </w:pPr>
            <w:r>
              <w:rPr>
                <w:rFonts w:hint="eastAsia"/>
                <w:b/>
                <w:bCs/>
              </w:rPr>
              <w:t>85</w:t>
            </w:r>
          </w:p>
        </w:tc>
        <w:tc>
          <w:tcPr>
            <w:tcW w:w="2023" w:type="dxa"/>
            <w:shd w:val="clear" w:color="000000" w:fill="FFFFFF"/>
            <w:vAlign w:val="center"/>
          </w:tcPr>
          <w:p w14:paraId="3EE846B4">
            <w:pPr>
              <w:pStyle w:val="41"/>
              <w:rPr>
                <w:rFonts w:hint="eastAsia"/>
                <w:b/>
                <w:bCs/>
              </w:rPr>
            </w:pPr>
            <w:r>
              <w:rPr>
                <w:b/>
                <w:bCs/>
              </w:rPr>
              <w:t>廊坊市城市生活污水管网修复改造及监管平台建设项目</w:t>
            </w:r>
          </w:p>
        </w:tc>
        <w:tc>
          <w:tcPr>
            <w:tcW w:w="8880" w:type="dxa"/>
            <w:shd w:val="clear" w:color="000000" w:fill="FFFFFF"/>
            <w:vAlign w:val="center"/>
          </w:tcPr>
          <w:p w14:paraId="6FED35B0">
            <w:pPr>
              <w:pStyle w:val="41"/>
              <w:rPr>
                <w:rFonts w:hint="eastAsia"/>
                <w:b/>
                <w:bCs/>
              </w:rPr>
            </w:pPr>
            <w:r>
              <w:rPr>
                <w:b/>
                <w:bCs/>
              </w:rPr>
              <w:t>1、对城区内d400—d1500污水钢筋混凝土病态管网进行改造及修复，共计约230km。2、搭建廊坊市主城区排水防涝平台，实现管网信息普查入库、易积水点风险预警模型搭建、实时监测、运行监控、防汛应急、台账管理等功能。</w:t>
            </w:r>
          </w:p>
        </w:tc>
        <w:tc>
          <w:tcPr>
            <w:tcW w:w="1499" w:type="dxa"/>
            <w:shd w:val="clear" w:color="000000" w:fill="FFFFFF"/>
            <w:vAlign w:val="center"/>
          </w:tcPr>
          <w:p w14:paraId="7A319A05">
            <w:pPr>
              <w:pStyle w:val="41"/>
              <w:rPr>
                <w:rFonts w:hint="eastAsia"/>
                <w:b/>
                <w:bCs/>
              </w:rPr>
            </w:pPr>
            <w:r>
              <w:rPr>
                <w:b/>
                <w:bCs/>
              </w:rPr>
              <w:t>廊坊市城市管理综合行政执法局</w:t>
            </w:r>
          </w:p>
        </w:tc>
      </w:tr>
      <w:tr w14:paraId="0BC76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C7E5A99">
            <w:pPr>
              <w:pStyle w:val="41"/>
              <w:rPr>
                <w:rFonts w:hint="eastAsia"/>
                <w:b/>
                <w:bCs/>
              </w:rPr>
            </w:pPr>
            <w:r>
              <w:rPr>
                <w:rFonts w:hint="eastAsia"/>
                <w:b/>
                <w:bCs/>
              </w:rPr>
              <w:t>86</w:t>
            </w:r>
          </w:p>
        </w:tc>
        <w:tc>
          <w:tcPr>
            <w:tcW w:w="2023" w:type="dxa"/>
            <w:shd w:val="clear" w:color="000000" w:fill="FFFFFF"/>
            <w:vAlign w:val="center"/>
          </w:tcPr>
          <w:p w14:paraId="46669DE9">
            <w:pPr>
              <w:pStyle w:val="41"/>
              <w:rPr>
                <w:rFonts w:hint="eastAsia"/>
                <w:b/>
                <w:bCs/>
              </w:rPr>
            </w:pPr>
            <w:r>
              <w:rPr>
                <w:b/>
                <w:bCs/>
              </w:rPr>
              <w:t>廊坊市铁路北污水处理厂增容扩建工程</w:t>
            </w:r>
          </w:p>
        </w:tc>
        <w:tc>
          <w:tcPr>
            <w:tcW w:w="8880" w:type="dxa"/>
            <w:shd w:val="clear" w:color="000000" w:fill="FFFFFF"/>
            <w:vAlign w:val="center"/>
          </w:tcPr>
          <w:p w14:paraId="69C4D712">
            <w:pPr>
              <w:pStyle w:val="41"/>
              <w:rPr>
                <w:rFonts w:hint="eastAsia"/>
                <w:b/>
                <w:bCs/>
              </w:rPr>
            </w:pPr>
            <w:r>
              <w:rPr>
                <w:b/>
                <w:bCs/>
              </w:rPr>
              <w:t>对廊坊市铁路北污水处理厂进行增容扩建，增容的土建规模为10万m³/d，污水处理设备配建的规模为5万m³/d。</w:t>
            </w:r>
          </w:p>
        </w:tc>
        <w:tc>
          <w:tcPr>
            <w:tcW w:w="1499" w:type="dxa"/>
            <w:shd w:val="clear" w:color="000000" w:fill="FFFFFF"/>
            <w:vAlign w:val="center"/>
          </w:tcPr>
          <w:p w14:paraId="3F7BCF2A">
            <w:pPr>
              <w:pStyle w:val="41"/>
              <w:rPr>
                <w:rFonts w:hint="eastAsia"/>
                <w:b/>
                <w:bCs/>
              </w:rPr>
            </w:pPr>
            <w:r>
              <w:rPr>
                <w:b/>
                <w:bCs/>
              </w:rPr>
              <w:t>廊坊市云新环 境治理有限公 司</w:t>
            </w:r>
          </w:p>
        </w:tc>
      </w:tr>
      <w:tr w14:paraId="529B2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AEA38F9">
            <w:pPr>
              <w:pStyle w:val="41"/>
              <w:rPr>
                <w:rFonts w:hint="eastAsia"/>
                <w:b/>
                <w:bCs/>
              </w:rPr>
            </w:pPr>
            <w:r>
              <w:rPr>
                <w:rFonts w:hint="eastAsia"/>
                <w:b/>
                <w:bCs/>
              </w:rPr>
              <w:t>87</w:t>
            </w:r>
          </w:p>
        </w:tc>
        <w:tc>
          <w:tcPr>
            <w:tcW w:w="2023" w:type="dxa"/>
            <w:shd w:val="clear" w:color="000000" w:fill="FFFFFF"/>
            <w:vAlign w:val="center"/>
          </w:tcPr>
          <w:p w14:paraId="0698A42B">
            <w:pPr>
              <w:pStyle w:val="41"/>
              <w:rPr>
                <w:rFonts w:hint="eastAsia"/>
                <w:b/>
                <w:bCs/>
              </w:rPr>
            </w:pPr>
            <w:r>
              <w:rPr>
                <w:b/>
                <w:bCs/>
              </w:rPr>
              <w:t>廊坊市城区排水堵点疏通改造工程</w:t>
            </w:r>
          </w:p>
        </w:tc>
        <w:tc>
          <w:tcPr>
            <w:tcW w:w="8880" w:type="dxa"/>
            <w:shd w:val="clear" w:color="000000" w:fill="FFFFFF"/>
            <w:vAlign w:val="center"/>
          </w:tcPr>
          <w:p w14:paraId="28DEB4E7">
            <w:pPr>
              <w:pStyle w:val="41"/>
              <w:rPr>
                <w:rFonts w:hint="eastAsia"/>
                <w:b/>
                <w:bCs/>
              </w:rPr>
            </w:pPr>
            <w:r>
              <w:rPr>
                <w:b/>
                <w:bCs/>
              </w:rPr>
              <w:t>在市政道路与庭院之间市政雨污水接驳位置约411处混错接点进行改造，长度约22km，同步实施路面恢复等，解决源头分流以及城市易积水区域堵点问题。</w:t>
            </w:r>
          </w:p>
        </w:tc>
        <w:tc>
          <w:tcPr>
            <w:tcW w:w="1499" w:type="dxa"/>
            <w:shd w:val="clear" w:color="000000" w:fill="FFFFFF"/>
            <w:vAlign w:val="center"/>
          </w:tcPr>
          <w:p w14:paraId="02CECD00">
            <w:pPr>
              <w:pStyle w:val="41"/>
              <w:rPr>
                <w:rFonts w:hint="eastAsia"/>
                <w:b/>
                <w:bCs/>
              </w:rPr>
            </w:pPr>
            <w:r>
              <w:rPr>
                <w:b/>
                <w:bCs/>
              </w:rPr>
              <w:t>廊坊市广阳区政府、廊坊市安次区政府、廊坊经济技术开发区管理委员会</w:t>
            </w:r>
          </w:p>
        </w:tc>
      </w:tr>
      <w:tr w14:paraId="05EA6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60BD5BD">
            <w:pPr>
              <w:pStyle w:val="41"/>
              <w:rPr>
                <w:rFonts w:hint="eastAsia"/>
                <w:b/>
                <w:bCs/>
              </w:rPr>
            </w:pPr>
            <w:r>
              <w:rPr>
                <w:rFonts w:hint="eastAsia"/>
                <w:b/>
                <w:bCs/>
              </w:rPr>
              <w:t>88</w:t>
            </w:r>
          </w:p>
        </w:tc>
        <w:tc>
          <w:tcPr>
            <w:tcW w:w="2023" w:type="dxa"/>
            <w:shd w:val="clear" w:color="000000" w:fill="FFFFFF"/>
            <w:vAlign w:val="center"/>
          </w:tcPr>
          <w:p w14:paraId="2F137573">
            <w:pPr>
              <w:pStyle w:val="41"/>
              <w:rPr>
                <w:rFonts w:hint="eastAsia"/>
                <w:b/>
                <w:bCs/>
              </w:rPr>
            </w:pPr>
            <w:r>
              <w:rPr>
                <w:b/>
                <w:bCs/>
              </w:rPr>
              <w:t>市区老旧管网更新改造工程</w:t>
            </w:r>
          </w:p>
        </w:tc>
        <w:tc>
          <w:tcPr>
            <w:tcW w:w="8880" w:type="dxa"/>
            <w:shd w:val="clear" w:color="000000" w:fill="FFFFFF"/>
            <w:vAlign w:val="center"/>
          </w:tcPr>
          <w:p w14:paraId="188D82B0">
            <w:pPr>
              <w:pStyle w:val="41"/>
              <w:rPr>
                <w:rFonts w:hint="eastAsia"/>
                <w:b/>
                <w:bCs/>
              </w:rPr>
            </w:pPr>
            <w:r>
              <w:rPr>
                <w:b/>
                <w:bCs/>
              </w:rPr>
              <w:t>本项目主要对顺安街（3532小区—银河路）、春阳路（金光道-解放道）等21条廊坊市城区现状街巷胡同合流管道进行更新改造，工程内容为排水工程和道路拆除恢复工程。</w:t>
            </w:r>
          </w:p>
        </w:tc>
        <w:tc>
          <w:tcPr>
            <w:tcW w:w="1499" w:type="dxa"/>
            <w:shd w:val="clear" w:color="000000" w:fill="FFFFFF"/>
            <w:vAlign w:val="center"/>
          </w:tcPr>
          <w:p w14:paraId="07DB5F7A">
            <w:pPr>
              <w:pStyle w:val="41"/>
              <w:rPr>
                <w:rFonts w:hint="eastAsia"/>
                <w:b/>
                <w:bCs/>
              </w:rPr>
            </w:pPr>
            <w:r>
              <w:rPr>
                <w:rFonts w:hint="eastAsia"/>
                <w:b/>
                <w:bCs/>
              </w:rPr>
              <w:t>廊坊市住建局</w:t>
            </w:r>
          </w:p>
        </w:tc>
      </w:tr>
      <w:tr w14:paraId="2DBE9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D8B46C1">
            <w:pPr>
              <w:pStyle w:val="41"/>
              <w:rPr>
                <w:rFonts w:hint="eastAsia"/>
                <w:b/>
                <w:bCs/>
              </w:rPr>
            </w:pPr>
            <w:r>
              <w:rPr>
                <w:rFonts w:hint="eastAsia"/>
                <w:b/>
                <w:bCs/>
              </w:rPr>
              <w:t>89</w:t>
            </w:r>
          </w:p>
        </w:tc>
        <w:tc>
          <w:tcPr>
            <w:tcW w:w="2023" w:type="dxa"/>
            <w:shd w:val="clear" w:color="000000" w:fill="FFFFFF"/>
            <w:vAlign w:val="center"/>
          </w:tcPr>
          <w:p w14:paraId="33260F8A">
            <w:pPr>
              <w:pStyle w:val="41"/>
              <w:rPr>
                <w:rFonts w:hint="eastAsia"/>
                <w:b/>
                <w:bCs/>
              </w:rPr>
            </w:pPr>
            <w:r>
              <w:rPr>
                <w:b/>
                <w:bCs/>
              </w:rPr>
              <w:t>排水管网系统更新改造工程</w:t>
            </w:r>
          </w:p>
        </w:tc>
        <w:tc>
          <w:tcPr>
            <w:tcW w:w="8880" w:type="dxa"/>
            <w:shd w:val="clear" w:color="000000" w:fill="FFFFFF"/>
            <w:vAlign w:val="center"/>
          </w:tcPr>
          <w:p w14:paraId="562EE82A">
            <w:pPr>
              <w:pStyle w:val="41"/>
              <w:rPr>
                <w:rFonts w:hint="eastAsia"/>
                <w:b/>
                <w:bCs/>
              </w:rPr>
            </w:pPr>
            <w:r>
              <w:rPr>
                <w:rFonts w:hint="eastAsia"/>
                <w:b/>
                <w:bCs/>
              </w:rPr>
              <w:t>本项目主要对9.19公里主次干道、支路，3.55公里街巷道路的排水管网系统进行更新改造，道路总长度12.74公里，工程内容为排水工程、道路拆除恢复工程、管道清淤、管道CCTV检测及修复、物联感知设备。</w:t>
            </w:r>
          </w:p>
        </w:tc>
        <w:tc>
          <w:tcPr>
            <w:tcW w:w="1499" w:type="dxa"/>
            <w:shd w:val="clear" w:color="000000" w:fill="FFFFFF"/>
            <w:vAlign w:val="center"/>
          </w:tcPr>
          <w:p w14:paraId="608D7497">
            <w:pPr>
              <w:pStyle w:val="41"/>
              <w:rPr>
                <w:rFonts w:hint="eastAsia"/>
                <w:b/>
                <w:bCs/>
              </w:rPr>
            </w:pPr>
            <w:r>
              <w:rPr>
                <w:rFonts w:hint="eastAsia"/>
                <w:b/>
                <w:bCs/>
              </w:rPr>
              <w:t>廊坊市住建局</w:t>
            </w:r>
          </w:p>
        </w:tc>
      </w:tr>
      <w:tr w14:paraId="305F0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4930793">
            <w:pPr>
              <w:pStyle w:val="41"/>
              <w:rPr>
                <w:rFonts w:hint="eastAsia"/>
                <w:b/>
                <w:bCs/>
              </w:rPr>
            </w:pPr>
            <w:r>
              <w:rPr>
                <w:rFonts w:hint="eastAsia"/>
                <w:b/>
                <w:bCs/>
              </w:rPr>
              <w:t>90</w:t>
            </w:r>
          </w:p>
        </w:tc>
        <w:tc>
          <w:tcPr>
            <w:tcW w:w="2023" w:type="dxa"/>
            <w:shd w:val="clear" w:color="000000" w:fill="FFFFFF"/>
            <w:vAlign w:val="center"/>
          </w:tcPr>
          <w:p w14:paraId="1796395E">
            <w:pPr>
              <w:pStyle w:val="41"/>
              <w:rPr>
                <w:rFonts w:hint="eastAsia"/>
                <w:b/>
                <w:bCs/>
              </w:rPr>
            </w:pPr>
            <w:r>
              <w:rPr>
                <w:b/>
                <w:bCs/>
              </w:rPr>
              <w:t>廊坊开发区污水管网建设工程</w:t>
            </w:r>
          </w:p>
        </w:tc>
        <w:tc>
          <w:tcPr>
            <w:tcW w:w="8880" w:type="dxa"/>
            <w:shd w:val="clear" w:color="000000" w:fill="FFFFFF"/>
            <w:vAlign w:val="center"/>
          </w:tcPr>
          <w:p w14:paraId="79239001">
            <w:pPr>
              <w:pStyle w:val="41"/>
              <w:rPr>
                <w:rFonts w:hint="eastAsia"/>
                <w:b/>
                <w:bCs/>
              </w:rPr>
            </w:pPr>
            <w:r>
              <w:rPr>
                <w:rFonts w:hint="eastAsia"/>
                <w:b/>
                <w:bCs/>
              </w:rPr>
              <w:t>项目涉及四海路(汇源道-祥云道)、富中路(花园道-金源道)、景明道(富中路-万福路)等6条道路，主要内容为新建d800污水管道，污水主管道长度约4.04公里。</w:t>
            </w:r>
          </w:p>
        </w:tc>
        <w:tc>
          <w:tcPr>
            <w:tcW w:w="1499" w:type="dxa"/>
            <w:shd w:val="clear" w:color="000000" w:fill="FFFFFF"/>
            <w:vAlign w:val="center"/>
          </w:tcPr>
          <w:p w14:paraId="645873CB">
            <w:pPr>
              <w:pStyle w:val="41"/>
              <w:rPr>
                <w:rFonts w:hint="eastAsia"/>
                <w:b/>
                <w:bCs/>
              </w:rPr>
            </w:pPr>
            <w:r>
              <w:rPr>
                <w:rFonts w:hint="eastAsia"/>
                <w:b/>
                <w:bCs/>
              </w:rPr>
              <w:t>廊坊经济技术开发区公用事业管理局</w:t>
            </w:r>
          </w:p>
        </w:tc>
      </w:tr>
      <w:tr w14:paraId="44EE2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9DA2382">
            <w:pPr>
              <w:pStyle w:val="41"/>
              <w:rPr>
                <w:rFonts w:hint="eastAsia"/>
                <w:b/>
                <w:bCs/>
              </w:rPr>
            </w:pPr>
            <w:r>
              <w:rPr>
                <w:rFonts w:hint="eastAsia"/>
                <w:b/>
                <w:bCs/>
              </w:rPr>
              <w:t>91</w:t>
            </w:r>
          </w:p>
        </w:tc>
        <w:tc>
          <w:tcPr>
            <w:tcW w:w="2023" w:type="dxa"/>
            <w:shd w:val="clear" w:color="000000" w:fill="FFFFFF"/>
            <w:vAlign w:val="center"/>
          </w:tcPr>
          <w:p w14:paraId="509110B6">
            <w:pPr>
              <w:pStyle w:val="41"/>
              <w:rPr>
                <w:rFonts w:hint="eastAsia"/>
                <w:b/>
                <w:bCs/>
              </w:rPr>
            </w:pPr>
            <w:r>
              <w:rPr>
                <w:b/>
                <w:bCs/>
              </w:rPr>
              <w:t>廊坊市城区干渠排水防涝改造提升工程</w:t>
            </w:r>
          </w:p>
        </w:tc>
        <w:tc>
          <w:tcPr>
            <w:tcW w:w="8880" w:type="dxa"/>
            <w:shd w:val="clear" w:color="000000" w:fill="FFFFFF"/>
            <w:vAlign w:val="center"/>
          </w:tcPr>
          <w:p w14:paraId="683AF1D4">
            <w:pPr>
              <w:pStyle w:val="41"/>
              <w:rPr>
                <w:rFonts w:hint="eastAsia"/>
                <w:b/>
                <w:bCs/>
              </w:rPr>
            </w:pPr>
            <w:r>
              <w:rPr>
                <w:rFonts w:hint="eastAsia"/>
                <w:b/>
                <w:bCs/>
              </w:rPr>
              <w:t>1、八干渠、大皮营引渠、新六干渠渠道清淤长度约20公里；2、新六干渠（大皮营引渠-八干渠）拓宽河道、河道清淤等配套设施，渠道长度约6500米；3、八干渠、大皮营引渠巡河路维修；4、对金桥钢坝、尖塔钢坝、北甸钢坝、北甸闸、龙河闸、八干渠橡胶坝整修。对19个排污口安装控制阀门。此外，在各河渠布设智能监测预警设备及进行闸门智能化改造。</w:t>
            </w:r>
          </w:p>
        </w:tc>
        <w:tc>
          <w:tcPr>
            <w:tcW w:w="1499" w:type="dxa"/>
            <w:shd w:val="clear" w:color="000000" w:fill="FFFFFF"/>
            <w:vAlign w:val="center"/>
          </w:tcPr>
          <w:p w14:paraId="385C3872">
            <w:pPr>
              <w:pStyle w:val="41"/>
              <w:rPr>
                <w:rFonts w:hint="eastAsia"/>
                <w:b/>
                <w:bCs/>
              </w:rPr>
            </w:pPr>
            <w:r>
              <w:rPr>
                <w:rFonts w:hint="eastAsia"/>
                <w:b/>
                <w:bCs/>
              </w:rPr>
              <w:t>廊坊市城市管理综合行政执法局</w:t>
            </w:r>
          </w:p>
        </w:tc>
      </w:tr>
      <w:tr w14:paraId="4DF40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02E2875">
            <w:pPr>
              <w:pStyle w:val="41"/>
              <w:rPr>
                <w:rFonts w:hint="eastAsia"/>
                <w:b/>
                <w:bCs/>
              </w:rPr>
            </w:pPr>
            <w:r>
              <w:rPr>
                <w:rFonts w:hint="eastAsia"/>
                <w:b/>
                <w:bCs/>
              </w:rPr>
              <w:t>92</w:t>
            </w:r>
          </w:p>
        </w:tc>
        <w:tc>
          <w:tcPr>
            <w:tcW w:w="2023" w:type="dxa"/>
            <w:shd w:val="clear" w:color="000000" w:fill="FFFFFF"/>
            <w:vAlign w:val="center"/>
          </w:tcPr>
          <w:p w14:paraId="05D2D0F2">
            <w:pPr>
              <w:pStyle w:val="41"/>
              <w:rPr>
                <w:rFonts w:hint="eastAsia"/>
                <w:b/>
                <w:bCs/>
              </w:rPr>
            </w:pPr>
            <w:r>
              <w:rPr>
                <w:b/>
                <w:bCs/>
              </w:rPr>
              <w:t>廊坊市东环路（兴业道—九干渠）及南环路（富余道-五干渠）排水管网提升改造工程</w:t>
            </w:r>
          </w:p>
        </w:tc>
        <w:tc>
          <w:tcPr>
            <w:tcW w:w="8880" w:type="dxa"/>
            <w:shd w:val="clear" w:color="000000" w:fill="FFFFFF"/>
            <w:vAlign w:val="center"/>
          </w:tcPr>
          <w:p w14:paraId="03A68F7D">
            <w:pPr>
              <w:pStyle w:val="41"/>
              <w:rPr>
                <w:rFonts w:hint="eastAsia"/>
                <w:b/>
                <w:bCs/>
              </w:rPr>
            </w:pPr>
            <w:r>
              <w:rPr>
                <w:rFonts w:hint="eastAsia"/>
                <w:b/>
                <w:bCs/>
              </w:rPr>
              <w:t>（1）东环路（兴业道-九干渠）：道路两侧敷设d1000-d1200钢筋混凝土雨水管道，长度共计1050米；</w:t>
            </w:r>
          </w:p>
          <w:p w14:paraId="27DB5968">
            <w:pPr>
              <w:pStyle w:val="41"/>
              <w:rPr>
                <w:rFonts w:hint="eastAsia"/>
                <w:b/>
                <w:bCs/>
              </w:rPr>
            </w:pPr>
            <w:r>
              <w:rPr>
                <w:rFonts w:hint="eastAsia"/>
                <w:b/>
                <w:bCs/>
              </w:rPr>
              <w:t>（2）南环路（富余道-五干渠）：道路两侧敷设d1000-d1400钢筋混凝土雨水管道，长度共计5800米；同步配套建设检查井220座、雨水口220座、恢复道路路面约23975平方米，铣刨罩面面积78775平方米（不含车行道破除 恢复面积）；配套雨水泵站1座，规模3m³/s；配套建设智能监测预警设备等。雨水管道采用明开挖及拉森钢板桩支护施工方式，同步进行降水及基坑支护。</w:t>
            </w:r>
          </w:p>
        </w:tc>
        <w:tc>
          <w:tcPr>
            <w:tcW w:w="1499" w:type="dxa"/>
            <w:shd w:val="clear" w:color="000000" w:fill="FFFFFF"/>
            <w:vAlign w:val="center"/>
          </w:tcPr>
          <w:p w14:paraId="2501B7C7">
            <w:pPr>
              <w:pStyle w:val="41"/>
              <w:rPr>
                <w:rFonts w:hint="eastAsia"/>
                <w:b/>
                <w:bCs/>
              </w:rPr>
            </w:pPr>
            <w:r>
              <w:rPr>
                <w:rFonts w:hint="eastAsia"/>
                <w:b/>
                <w:bCs/>
              </w:rPr>
              <w:t>廊坊市城市管理综合行政执法局</w:t>
            </w:r>
          </w:p>
        </w:tc>
      </w:tr>
      <w:tr w14:paraId="62CA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6BB5110">
            <w:pPr>
              <w:pStyle w:val="41"/>
              <w:rPr>
                <w:rFonts w:hint="eastAsia"/>
                <w:b/>
                <w:bCs/>
              </w:rPr>
            </w:pPr>
            <w:r>
              <w:rPr>
                <w:rFonts w:hint="eastAsia"/>
                <w:b/>
                <w:bCs/>
              </w:rPr>
              <w:t>93</w:t>
            </w:r>
          </w:p>
        </w:tc>
        <w:tc>
          <w:tcPr>
            <w:tcW w:w="2023" w:type="dxa"/>
            <w:shd w:val="clear" w:color="000000" w:fill="FFFFFF"/>
            <w:vAlign w:val="center"/>
          </w:tcPr>
          <w:p w14:paraId="7B2188C2">
            <w:pPr>
              <w:pStyle w:val="41"/>
              <w:rPr>
                <w:rFonts w:hint="eastAsia"/>
                <w:b/>
                <w:bCs/>
              </w:rPr>
            </w:pPr>
            <w:r>
              <w:rPr>
                <w:b/>
                <w:bCs/>
              </w:rPr>
              <w:t>廊坊市城区排水管网提升改造工程（一期)</w:t>
            </w:r>
          </w:p>
        </w:tc>
        <w:tc>
          <w:tcPr>
            <w:tcW w:w="8880" w:type="dxa"/>
            <w:shd w:val="clear" w:color="000000" w:fill="FFFFFF"/>
            <w:vAlign w:val="center"/>
          </w:tcPr>
          <w:p w14:paraId="50887249">
            <w:pPr>
              <w:pStyle w:val="41"/>
              <w:rPr>
                <w:rFonts w:hint="eastAsia"/>
                <w:b/>
                <w:bCs/>
              </w:rPr>
            </w:pPr>
            <w:r>
              <w:rPr>
                <w:rFonts w:hint="eastAsia"/>
                <w:b/>
                <w:bCs/>
              </w:rPr>
              <w:t>1、雨水工程（1）东安路（北凤道-爱民东道）敷设d1000-d2800钢筋混凝 土雨水管道，长度约2600米，建设雨水泵站1座，规模2m³/s。（2）建设南路（瑞丰道—南龙道）敷设d1600钢筋混凝土雨 水管道，长度约500米。（3）西昌路（北凤道—新源道大皮营引渠）敷设d1800钢筋 混凝土雨水管道，长度约820米。（4）益民道（和平路-东安路）敷设d2000钢筋混凝土雨水管 道，长度约700米。</w:t>
            </w:r>
          </w:p>
          <w:p w14:paraId="1D954572">
            <w:pPr>
              <w:pStyle w:val="41"/>
              <w:rPr>
                <w:rFonts w:hint="eastAsia"/>
                <w:b/>
                <w:bCs/>
              </w:rPr>
            </w:pPr>
            <w:r>
              <w:rPr>
                <w:rFonts w:hint="eastAsia"/>
                <w:b/>
                <w:bCs/>
              </w:rPr>
              <w:t>（5）更换水泵、格栅、起重机、闸门，购买发电机及应急排 水设备，更新泵站设施及泵站池体改造等。（6）对新源道、银河路、东安路等路段增加管道、闸门，解决积水问题。</w:t>
            </w:r>
          </w:p>
          <w:p w14:paraId="0295E19D">
            <w:pPr>
              <w:pStyle w:val="41"/>
              <w:rPr>
                <w:rFonts w:hint="eastAsia"/>
                <w:b/>
                <w:bCs/>
              </w:rPr>
            </w:pPr>
            <w:r>
              <w:rPr>
                <w:rFonts w:hint="eastAsia"/>
                <w:b/>
                <w:bCs/>
              </w:rPr>
              <w:t>2、污水工程（1）八干渠敷设d1200钢筋混凝土污水管道，长度约500米；廊坊市凯发新泉污水处理厂龙河园区敷设d1600钢筋混凝土污水管道，长度约3800米。（2）华航东校区西侧八干渠岸边、金光道地球物理研究所前、爱民东道与东安路交口东侧、解放道与新华路交口、永丰道行政审批局西侧5处管道破损处进行修复。同步配套建设检查井150座、雨水口300座、恢复道路路面约39620平方米，铣刨罩面面积98100平方米（不含车行道破除恢复面积）；配建智能监测预警设备等；雨水管道及污水管道采用顶管施工方式，同步进行降水及基坑支护。</w:t>
            </w:r>
          </w:p>
        </w:tc>
        <w:tc>
          <w:tcPr>
            <w:tcW w:w="1499" w:type="dxa"/>
            <w:shd w:val="clear" w:color="000000" w:fill="FFFFFF"/>
            <w:vAlign w:val="center"/>
          </w:tcPr>
          <w:p w14:paraId="4AFCE42E">
            <w:pPr>
              <w:pStyle w:val="41"/>
              <w:rPr>
                <w:rFonts w:hint="eastAsia"/>
                <w:b/>
                <w:bCs/>
              </w:rPr>
            </w:pPr>
            <w:r>
              <w:rPr>
                <w:rFonts w:hint="eastAsia"/>
                <w:b/>
                <w:bCs/>
              </w:rPr>
              <w:t>廊坊市城市管理综合行政执法局</w:t>
            </w:r>
          </w:p>
        </w:tc>
      </w:tr>
      <w:tr w14:paraId="6AA94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FF4F8F2">
            <w:pPr>
              <w:pStyle w:val="41"/>
              <w:rPr>
                <w:rFonts w:hint="eastAsia"/>
                <w:b/>
                <w:bCs/>
              </w:rPr>
            </w:pPr>
            <w:r>
              <w:rPr>
                <w:rFonts w:hint="eastAsia"/>
                <w:b/>
                <w:bCs/>
              </w:rPr>
              <w:t>94</w:t>
            </w:r>
          </w:p>
        </w:tc>
        <w:tc>
          <w:tcPr>
            <w:tcW w:w="2023" w:type="dxa"/>
            <w:shd w:val="clear" w:color="000000" w:fill="FFFFFF"/>
            <w:vAlign w:val="center"/>
          </w:tcPr>
          <w:p w14:paraId="43FF0D24">
            <w:pPr>
              <w:pStyle w:val="41"/>
              <w:rPr>
                <w:rFonts w:hint="eastAsia"/>
                <w:b/>
                <w:bCs/>
              </w:rPr>
            </w:pPr>
            <w:r>
              <w:rPr>
                <w:b/>
                <w:bCs/>
              </w:rPr>
              <w:t>廊坊市文明路建国道积水区域内涝整治项目</w:t>
            </w:r>
          </w:p>
        </w:tc>
        <w:tc>
          <w:tcPr>
            <w:tcW w:w="8880" w:type="dxa"/>
            <w:shd w:val="clear" w:color="000000" w:fill="FFFFFF"/>
            <w:vAlign w:val="center"/>
          </w:tcPr>
          <w:p w14:paraId="2AA804E2">
            <w:pPr>
              <w:pStyle w:val="41"/>
              <w:rPr>
                <w:rFonts w:hint="eastAsia"/>
                <w:b/>
                <w:bCs/>
              </w:rPr>
            </w:pPr>
            <w:r>
              <w:rPr>
                <w:rFonts w:hint="eastAsia"/>
                <w:b/>
                <w:bCs/>
              </w:rPr>
              <w:t>（1）文明路（金光道-解放道）敷设d1000-d1500钢筋混凝土雨水管道，长度约496m；（2）建国道（银河路-新华路）敷设d1000-d1200钢筋混凝土雨水管道，长度约700m；（3）解放道（文明路-东安路）敷设d1800-d2600钢筋混凝土雨水管道，长度约2844m；（4）东安路（解放道-益民道）敷设d2800-d3000钢筋混凝土雨水管道，长度约1568m。同步配套建设检查井181座、雨水口94座、恢复道路路面约39086平方米、铣刨罩面面积（不含车行道破除恢复面积）约76776平方米等；配建智能监测预警设备等。雨水管道采用明开挖及拉森钢板桩支护施工方式，同步进行降水及基坑支护。</w:t>
            </w:r>
          </w:p>
        </w:tc>
        <w:tc>
          <w:tcPr>
            <w:tcW w:w="1499" w:type="dxa"/>
            <w:shd w:val="clear" w:color="000000" w:fill="FFFFFF"/>
            <w:vAlign w:val="center"/>
          </w:tcPr>
          <w:p w14:paraId="0AD00DAC">
            <w:pPr>
              <w:pStyle w:val="41"/>
              <w:rPr>
                <w:rFonts w:hint="eastAsia"/>
                <w:b/>
                <w:bCs/>
              </w:rPr>
            </w:pPr>
            <w:r>
              <w:rPr>
                <w:rFonts w:hint="eastAsia"/>
                <w:b/>
                <w:bCs/>
              </w:rPr>
              <w:t>廊坊市城市管理综合行政执法局</w:t>
            </w:r>
          </w:p>
        </w:tc>
      </w:tr>
      <w:tr w14:paraId="0153C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A67DE44">
            <w:pPr>
              <w:pStyle w:val="41"/>
              <w:rPr>
                <w:rFonts w:hint="eastAsia"/>
                <w:b/>
                <w:bCs/>
              </w:rPr>
            </w:pPr>
            <w:r>
              <w:rPr>
                <w:rFonts w:hint="eastAsia"/>
                <w:b/>
                <w:bCs/>
              </w:rPr>
              <w:t>95</w:t>
            </w:r>
          </w:p>
        </w:tc>
        <w:tc>
          <w:tcPr>
            <w:tcW w:w="2023" w:type="dxa"/>
            <w:shd w:val="clear" w:color="000000" w:fill="FFFFFF"/>
            <w:vAlign w:val="center"/>
          </w:tcPr>
          <w:p w14:paraId="7DC6CD63">
            <w:pPr>
              <w:pStyle w:val="41"/>
              <w:rPr>
                <w:rFonts w:hint="eastAsia"/>
                <w:b/>
                <w:bCs/>
              </w:rPr>
            </w:pPr>
            <w:r>
              <w:rPr>
                <w:b/>
                <w:bCs/>
              </w:rPr>
              <w:t>病态管网检测与修复工程</w:t>
            </w:r>
          </w:p>
        </w:tc>
        <w:tc>
          <w:tcPr>
            <w:tcW w:w="8880" w:type="dxa"/>
            <w:shd w:val="clear" w:color="000000" w:fill="FFFFFF"/>
            <w:vAlign w:val="center"/>
          </w:tcPr>
          <w:p w14:paraId="4EC24460">
            <w:pPr>
              <w:pStyle w:val="41"/>
              <w:rPr>
                <w:rFonts w:hint="eastAsia"/>
                <w:b/>
                <w:bCs/>
              </w:rPr>
            </w:pPr>
            <w:r>
              <w:rPr>
                <w:rFonts w:hint="eastAsia"/>
                <w:b/>
                <w:bCs/>
              </w:rPr>
              <w:t>项目范围主要涉及廊坊市中心城区内2020年度完成内窥检测的现状主干排水管网，总长约41.3公里，项目内容包含排水管网修复工程和智能井盖物联网监测系统工程，主要内容包括：（1）对中心城区现状排水管网中存在的结构性和功能性 病害进行修复；（2）对中心城区典型区域加装智慧井盖、液位计等智能装备，实现排水管网动态监测。</w:t>
            </w:r>
          </w:p>
        </w:tc>
        <w:tc>
          <w:tcPr>
            <w:tcW w:w="1499" w:type="dxa"/>
            <w:shd w:val="clear" w:color="000000" w:fill="FFFFFF"/>
            <w:vAlign w:val="center"/>
          </w:tcPr>
          <w:p w14:paraId="0DC608FF">
            <w:pPr>
              <w:pStyle w:val="41"/>
              <w:rPr>
                <w:rFonts w:hint="eastAsia"/>
                <w:b/>
                <w:bCs/>
              </w:rPr>
            </w:pPr>
            <w:r>
              <w:rPr>
                <w:rFonts w:hint="eastAsia"/>
                <w:b/>
                <w:bCs/>
              </w:rPr>
              <w:t>廊坊市住建局</w:t>
            </w:r>
          </w:p>
        </w:tc>
      </w:tr>
      <w:tr w14:paraId="19676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59CAC23">
            <w:pPr>
              <w:pStyle w:val="41"/>
              <w:rPr>
                <w:rFonts w:hint="eastAsia"/>
                <w:b/>
                <w:bCs/>
              </w:rPr>
            </w:pPr>
            <w:r>
              <w:rPr>
                <w:rFonts w:hint="eastAsia"/>
                <w:b/>
                <w:bCs/>
              </w:rPr>
              <w:t>96</w:t>
            </w:r>
          </w:p>
        </w:tc>
        <w:tc>
          <w:tcPr>
            <w:tcW w:w="2023" w:type="dxa"/>
            <w:shd w:val="clear" w:color="000000" w:fill="FFFFFF"/>
            <w:vAlign w:val="center"/>
          </w:tcPr>
          <w:p w14:paraId="668468DF">
            <w:pPr>
              <w:pStyle w:val="41"/>
              <w:rPr>
                <w:rFonts w:hint="eastAsia"/>
                <w:b/>
                <w:bCs/>
              </w:rPr>
            </w:pPr>
            <w:r>
              <w:rPr>
                <w:b/>
                <w:bCs/>
              </w:rPr>
              <w:t>安次区热电联产配套工程</w:t>
            </w:r>
          </w:p>
        </w:tc>
        <w:tc>
          <w:tcPr>
            <w:tcW w:w="8880" w:type="dxa"/>
            <w:shd w:val="clear" w:color="000000" w:fill="FFFFFF"/>
            <w:vAlign w:val="center"/>
          </w:tcPr>
          <w:p w14:paraId="00B81428">
            <w:pPr>
              <w:pStyle w:val="41"/>
              <w:rPr>
                <w:rFonts w:hint="eastAsia"/>
                <w:b/>
                <w:bCs/>
              </w:rPr>
            </w:pPr>
            <w:r>
              <w:rPr>
                <w:rFonts w:hint="eastAsia"/>
                <w:b/>
                <w:bCs/>
              </w:rPr>
              <w:t>供热一次网改造3.36公里，管径为DN200-DN600；改造建设4座隔压站；分布式供热站改造23处；二次网及换热站改造17处。</w:t>
            </w:r>
          </w:p>
        </w:tc>
        <w:tc>
          <w:tcPr>
            <w:tcW w:w="1499" w:type="dxa"/>
            <w:shd w:val="clear" w:color="000000" w:fill="FFFFFF"/>
            <w:vAlign w:val="center"/>
          </w:tcPr>
          <w:p w14:paraId="30E9EE4A">
            <w:pPr>
              <w:pStyle w:val="41"/>
              <w:rPr>
                <w:rFonts w:hint="eastAsia"/>
                <w:b/>
                <w:bCs/>
              </w:rPr>
            </w:pPr>
            <w:r>
              <w:rPr>
                <w:rFonts w:hint="eastAsia"/>
                <w:b/>
                <w:bCs/>
              </w:rPr>
              <w:t>廊坊市安次区住房和城乡建设局</w:t>
            </w:r>
          </w:p>
        </w:tc>
      </w:tr>
      <w:tr w14:paraId="65AF8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F4F9F35">
            <w:pPr>
              <w:pStyle w:val="41"/>
              <w:rPr>
                <w:rFonts w:hint="eastAsia"/>
                <w:b/>
                <w:bCs/>
              </w:rPr>
            </w:pPr>
            <w:r>
              <w:rPr>
                <w:rFonts w:hint="eastAsia"/>
                <w:b/>
                <w:bCs/>
              </w:rPr>
              <w:t>97</w:t>
            </w:r>
          </w:p>
        </w:tc>
        <w:tc>
          <w:tcPr>
            <w:tcW w:w="2023" w:type="dxa"/>
            <w:shd w:val="clear" w:color="000000" w:fill="FFFFFF"/>
            <w:vAlign w:val="center"/>
          </w:tcPr>
          <w:p w14:paraId="1C9B90E8">
            <w:pPr>
              <w:pStyle w:val="41"/>
              <w:rPr>
                <w:rFonts w:hint="eastAsia"/>
                <w:b/>
                <w:bCs/>
              </w:rPr>
            </w:pPr>
            <w:r>
              <w:rPr>
                <w:b/>
                <w:bCs/>
              </w:rPr>
              <w:t>安次区供热设施提升改造工程</w:t>
            </w:r>
          </w:p>
        </w:tc>
        <w:tc>
          <w:tcPr>
            <w:tcW w:w="8880" w:type="dxa"/>
            <w:shd w:val="clear" w:color="000000" w:fill="FFFFFF"/>
            <w:vAlign w:val="center"/>
          </w:tcPr>
          <w:p w14:paraId="1712CB8B">
            <w:pPr>
              <w:pStyle w:val="41"/>
              <w:rPr>
                <w:rFonts w:hint="eastAsia"/>
                <w:b/>
                <w:bCs/>
              </w:rPr>
            </w:pPr>
            <w:r>
              <w:rPr>
                <w:rFonts w:hint="eastAsia"/>
                <w:b/>
                <w:bCs/>
              </w:rPr>
              <w:t>对机井队宿舍等6个小区二次供热管道进行提升改造；盛德花园等7个小区更换阀门、过滤器、入户装置等管网局部改造；永兴站内锅炉本体及配套设施维修等。</w:t>
            </w:r>
          </w:p>
        </w:tc>
        <w:tc>
          <w:tcPr>
            <w:tcW w:w="1499" w:type="dxa"/>
            <w:shd w:val="clear" w:color="000000" w:fill="FFFFFF"/>
            <w:vAlign w:val="center"/>
          </w:tcPr>
          <w:p w14:paraId="4717589E">
            <w:pPr>
              <w:pStyle w:val="41"/>
              <w:rPr>
                <w:rFonts w:hint="eastAsia"/>
                <w:b/>
                <w:bCs/>
              </w:rPr>
            </w:pPr>
            <w:r>
              <w:rPr>
                <w:rFonts w:hint="eastAsia"/>
                <w:b/>
                <w:bCs/>
              </w:rPr>
              <w:t>廊坊市安次区住房和城乡建设局</w:t>
            </w:r>
          </w:p>
        </w:tc>
      </w:tr>
      <w:tr w14:paraId="08669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90E8498">
            <w:pPr>
              <w:pStyle w:val="41"/>
              <w:rPr>
                <w:rFonts w:hint="eastAsia"/>
                <w:b/>
                <w:bCs/>
              </w:rPr>
            </w:pPr>
            <w:r>
              <w:rPr>
                <w:rFonts w:hint="eastAsia"/>
                <w:b/>
                <w:bCs/>
              </w:rPr>
              <w:t>98</w:t>
            </w:r>
          </w:p>
        </w:tc>
        <w:tc>
          <w:tcPr>
            <w:tcW w:w="2023" w:type="dxa"/>
            <w:shd w:val="clear" w:color="000000" w:fill="FFFFFF"/>
            <w:vAlign w:val="center"/>
          </w:tcPr>
          <w:p w14:paraId="5D017E47">
            <w:pPr>
              <w:pStyle w:val="41"/>
              <w:rPr>
                <w:rFonts w:hint="eastAsia"/>
                <w:b/>
                <w:bCs/>
              </w:rPr>
            </w:pPr>
            <w:r>
              <w:rPr>
                <w:b/>
                <w:bCs/>
              </w:rPr>
              <w:t>廊坊市广达供热有限公司供热小区改造工程</w:t>
            </w:r>
          </w:p>
        </w:tc>
        <w:tc>
          <w:tcPr>
            <w:tcW w:w="8880" w:type="dxa"/>
            <w:shd w:val="clear" w:color="000000" w:fill="FFFFFF"/>
            <w:vAlign w:val="center"/>
          </w:tcPr>
          <w:p w14:paraId="1D565970">
            <w:pPr>
              <w:pStyle w:val="41"/>
              <w:rPr>
                <w:rFonts w:hint="eastAsia"/>
                <w:b/>
                <w:bCs/>
              </w:rPr>
            </w:pPr>
            <w:r>
              <w:rPr>
                <w:rFonts w:hint="eastAsia"/>
                <w:b/>
                <w:bCs/>
              </w:rPr>
              <w:t>更换12处老旧二次管网及楼内立管。</w:t>
            </w:r>
          </w:p>
        </w:tc>
        <w:tc>
          <w:tcPr>
            <w:tcW w:w="1499" w:type="dxa"/>
            <w:shd w:val="clear" w:color="000000" w:fill="FFFFFF"/>
            <w:vAlign w:val="center"/>
          </w:tcPr>
          <w:p w14:paraId="14B1E9E4">
            <w:pPr>
              <w:pStyle w:val="41"/>
              <w:rPr>
                <w:rFonts w:hint="eastAsia"/>
                <w:b/>
                <w:bCs/>
              </w:rPr>
            </w:pPr>
            <w:r>
              <w:rPr>
                <w:rFonts w:hint="eastAsia"/>
                <w:b/>
                <w:bCs/>
              </w:rPr>
              <w:t>廊坊市广达供热有限公司</w:t>
            </w:r>
          </w:p>
        </w:tc>
      </w:tr>
      <w:tr w14:paraId="76B44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3F848C4">
            <w:pPr>
              <w:pStyle w:val="41"/>
              <w:rPr>
                <w:rFonts w:hint="eastAsia"/>
                <w:b/>
                <w:bCs/>
              </w:rPr>
            </w:pPr>
            <w:r>
              <w:rPr>
                <w:rFonts w:hint="eastAsia"/>
                <w:b/>
                <w:bCs/>
              </w:rPr>
              <w:t>99</w:t>
            </w:r>
          </w:p>
        </w:tc>
        <w:tc>
          <w:tcPr>
            <w:tcW w:w="2023" w:type="dxa"/>
            <w:shd w:val="clear" w:color="000000" w:fill="FFFFFF"/>
            <w:vAlign w:val="center"/>
          </w:tcPr>
          <w:p w14:paraId="470C8455">
            <w:pPr>
              <w:pStyle w:val="41"/>
              <w:rPr>
                <w:rFonts w:hint="eastAsia"/>
                <w:b/>
                <w:bCs/>
              </w:rPr>
            </w:pPr>
            <w:r>
              <w:rPr>
                <w:b/>
                <w:bCs/>
              </w:rPr>
              <w:t>廊坊市广炎供热有限公司供热换热站及管网改造工程</w:t>
            </w:r>
          </w:p>
        </w:tc>
        <w:tc>
          <w:tcPr>
            <w:tcW w:w="8880" w:type="dxa"/>
            <w:shd w:val="clear" w:color="000000" w:fill="FFFFFF"/>
            <w:vAlign w:val="center"/>
          </w:tcPr>
          <w:p w14:paraId="463D97C1">
            <w:pPr>
              <w:pStyle w:val="41"/>
              <w:rPr>
                <w:rFonts w:hint="eastAsia"/>
                <w:b/>
                <w:bCs/>
              </w:rPr>
            </w:pPr>
            <w:r>
              <w:rPr>
                <w:rFonts w:hint="eastAsia"/>
                <w:b/>
                <w:bCs/>
              </w:rPr>
              <w:t>改造2座隔压站，新建站内管线0.15公里，改造热力管线0.5公里，管径为DN350。</w:t>
            </w:r>
          </w:p>
        </w:tc>
        <w:tc>
          <w:tcPr>
            <w:tcW w:w="1499" w:type="dxa"/>
            <w:shd w:val="clear" w:color="000000" w:fill="FFFFFF"/>
            <w:vAlign w:val="center"/>
          </w:tcPr>
          <w:p w14:paraId="43F3B003">
            <w:pPr>
              <w:pStyle w:val="41"/>
              <w:rPr>
                <w:rFonts w:hint="eastAsia"/>
                <w:b/>
                <w:bCs/>
              </w:rPr>
            </w:pPr>
            <w:r>
              <w:rPr>
                <w:rFonts w:hint="eastAsia"/>
                <w:b/>
                <w:bCs/>
              </w:rPr>
              <w:t>廊坊市广炎供热有限公司</w:t>
            </w:r>
          </w:p>
        </w:tc>
      </w:tr>
      <w:tr w14:paraId="6851E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D473479">
            <w:pPr>
              <w:pStyle w:val="41"/>
              <w:rPr>
                <w:rFonts w:hint="eastAsia"/>
                <w:b/>
                <w:bCs/>
              </w:rPr>
            </w:pPr>
            <w:r>
              <w:rPr>
                <w:rFonts w:hint="eastAsia"/>
                <w:b/>
                <w:bCs/>
              </w:rPr>
              <w:t>100</w:t>
            </w:r>
          </w:p>
        </w:tc>
        <w:tc>
          <w:tcPr>
            <w:tcW w:w="2023" w:type="dxa"/>
            <w:shd w:val="clear" w:color="000000" w:fill="FFFFFF"/>
            <w:vAlign w:val="center"/>
          </w:tcPr>
          <w:p w14:paraId="2FB4F946">
            <w:pPr>
              <w:pStyle w:val="41"/>
              <w:rPr>
                <w:rFonts w:hint="eastAsia"/>
                <w:b/>
                <w:bCs/>
              </w:rPr>
            </w:pPr>
            <w:r>
              <w:rPr>
                <w:b/>
                <w:bCs/>
              </w:rPr>
              <w:t>廊坊市燃气物联监测数智化建设项目</w:t>
            </w:r>
          </w:p>
        </w:tc>
        <w:tc>
          <w:tcPr>
            <w:tcW w:w="8880" w:type="dxa"/>
            <w:shd w:val="clear" w:color="000000" w:fill="FFFFFF"/>
            <w:vAlign w:val="center"/>
          </w:tcPr>
          <w:p w14:paraId="4CCBBAE3">
            <w:pPr>
              <w:pStyle w:val="41"/>
              <w:rPr>
                <w:rFonts w:hint="eastAsia"/>
                <w:b/>
                <w:bCs/>
              </w:rPr>
            </w:pPr>
            <w:r>
              <w:rPr>
                <w:rFonts w:hint="eastAsia"/>
                <w:b/>
                <w:bCs/>
              </w:rPr>
              <w:t>安装4096台调压设备监测终端、2365台阀门井监测终端、130台智能阴保桩、燃气报警器及切断阀8.5万处、工商业报警500台、引入管紧急自动切断装置30733栋。</w:t>
            </w:r>
          </w:p>
        </w:tc>
        <w:tc>
          <w:tcPr>
            <w:tcW w:w="1499" w:type="dxa"/>
            <w:shd w:val="clear" w:color="000000" w:fill="FFFFFF"/>
            <w:vAlign w:val="center"/>
          </w:tcPr>
          <w:p w14:paraId="3ECD62BE">
            <w:pPr>
              <w:pStyle w:val="41"/>
              <w:rPr>
                <w:rFonts w:hint="eastAsia"/>
                <w:b/>
                <w:bCs/>
              </w:rPr>
            </w:pPr>
            <w:r>
              <w:rPr>
                <w:rFonts w:hint="eastAsia"/>
                <w:b/>
                <w:bCs/>
              </w:rPr>
              <w:t>廊坊新奥燃气有限公司</w:t>
            </w:r>
          </w:p>
        </w:tc>
      </w:tr>
      <w:tr w14:paraId="34024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97471E8">
            <w:pPr>
              <w:pStyle w:val="41"/>
              <w:rPr>
                <w:rFonts w:hint="eastAsia"/>
                <w:b/>
                <w:bCs/>
              </w:rPr>
            </w:pPr>
            <w:r>
              <w:rPr>
                <w:rFonts w:hint="eastAsia"/>
                <w:b/>
                <w:bCs/>
              </w:rPr>
              <w:t>101</w:t>
            </w:r>
          </w:p>
        </w:tc>
        <w:tc>
          <w:tcPr>
            <w:tcW w:w="2023" w:type="dxa"/>
            <w:shd w:val="clear" w:color="000000" w:fill="FFFFFF"/>
            <w:vAlign w:val="center"/>
          </w:tcPr>
          <w:p w14:paraId="7342A86C">
            <w:pPr>
              <w:pStyle w:val="41"/>
              <w:rPr>
                <w:rFonts w:hint="eastAsia"/>
                <w:b/>
                <w:bCs/>
              </w:rPr>
            </w:pPr>
            <w:r>
              <w:rPr>
                <w:b/>
                <w:bCs/>
              </w:rPr>
              <w:t>廊坊市地下管网综合管理系统建设项目</w:t>
            </w:r>
          </w:p>
        </w:tc>
        <w:tc>
          <w:tcPr>
            <w:tcW w:w="8880" w:type="dxa"/>
            <w:shd w:val="clear" w:color="000000" w:fill="FFFFFF"/>
            <w:vAlign w:val="center"/>
          </w:tcPr>
          <w:p w14:paraId="5F441A96">
            <w:pPr>
              <w:pStyle w:val="41"/>
              <w:rPr>
                <w:rFonts w:hint="eastAsia"/>
                <w:b/>
                <w:bCs/>
              </w:rPr>
            </w:pPr>
            <w:r>
              <w:rPr>
                <w:rFonts w:hint="eastAsia"/>
                <w:b/>
                <w:bCs/>
              </w:rPr>
              <w:t>新建廊坊市地下管网综合管理系统，建立线上审批、管理工作机制，将地下管线的普查、设计、审批、使用、维护与规划、测绘、住建、城管、以及应急等部门的工作动态关联，形成人机联动工作模式，统筹管理地下管网。</w:t>
            </w:r>
          </w:p>
        </w:tc>
        <w:tc>
          <w:tcPr>
            <w:tcW w:w="1499" w:type="dxa"/>
            <w:shd w:val="clear" w:color="000000" w:fill="FFFFFF"/>
            <w:vAlign w:val="center"/>
          </w:tcPr>
          <w:p w14:paraId="52BCE74D">
            <w:pPr>
              <w:pStyle w:val="41"/>
              <w:rPr>
                <w:rFonts w:hint="eastAsia"/>
                <w:b/>
                <w:bCs/>
              </w:rPr>
            </w:pPr>
            <w:r>
              <w:rPr>
                <w:rFonts w:hint="eastAsia"/>
                <w:b/>
                <w:bCs/>
              </w:rPr>
              <w:t>廊坊市城市管理综合行政执法局</w:t>
            </w:r>
          </w:p>
        </w:tc>
      </w:tr>
      <w:tr w14:paraId="733AB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5EA0681">
            <w:pPr>
              <w:pStyle w:val="41"/>
              <w:rPr>
                <w:rFonts w:hint="eastAsia"/>
                <w:b/>
                <w:bCs/>
              </w:rPr>
            </w:pPr>
            <w:r>
              <w:rPr>
                <w:rFonts w:hint="eastAsia"/>
                <w:b/>
                <w:bCs/>
              </w:rPr>
              <w:t>102</w:t>
            </w:r>
          </w:p>
        </w:tc>
        <w:tc>
          <w:tcPr>
            <w:tcW w:w="2023" w:type="dxa"/>
            <w:shd w:val="clear" w:color="000000" w:fill="FFFFFF"/>
            <w:vAlign w:val="center"/>
          </w:tcPr>
          <w:p w14:paraId="0E085C7B">
            <w:pPr>
              <w:pStyle w:val="41"/>
              <w:rPr>
                <w:rFonts w:hint="eastAsia"/>
                <w:b/>
                <w:bCs/>
              </w:rPr>
            </w:pPr>
            <w:r>
              <w:rPr>
                <w:b/>
                <w:bCs/>
              </w:rPr>
              <w:t>廊坊市地下管网及设施运行管理信息化平台建设项目</w:t>
            </w:r>
          </w:p>
        </w:tc>
        <w:tc>
          <w:tcPr>
            <w:tcW w:w="8880" w:type="dxa"/>
            <w:shd w:val="clear" w:color="000000" w:fill="FFFFFF"/>
            <w:vAlign w:val="center"/>
          </w:tcPr>
          <w:p w14:paraId="71D09773">
            <w:pPr>
              <w:pStyle w:val="41"/>
              <w:rPr>
                <w:rFonts w:hint="eastAsia"/>
                <w:b/>
                <w:bCs/>
              </w:rPr>
            </w:pPr>
            <w:r>
              <w:rPr>
                <w:rFonts w:hint="eastAsia"/>
                <w:b/>
                <w:bCs/>
              </w:rPr>
              <w:t>新建地下管网及设施运行管理信息化平台，平台包括业务指导、监督检查、监测预警、综合评价、决策建议、数据交换 、数据汇聚和平台维护等功能，实现对供热、燃气、供水、排水等地下管线及综合管廊设施的全面态势感知，并进行立体多维展示，通过可视化科学调度，进行数字化指挥巡查。</w:t>
            </w:r>
          </w:p>
        </w:tc>
        <w:tc>
          <w:tcPr>
            <w:tcW w:w="1499" w:type="dxa"/>
            <w:shd w:val="clear" w:color="000000" w:fill="FFFFFF"/>
            <w:vAlign w:val="center"/>
          </w:tcPr>
          <w:p w14:paraId="6A4EFC87">
            <w:pPr>
              <w:pStyle w:val="41"/>
              <w:rPr>
                <w:rFonts w:hint="eastAsia"/>
                <w:b/>
                <w:bCs/>
              </w:rPr>
            </w:pPr>
            <w:r>
              <w:rPr>
                <w:rFonts w:hint="eastAsia"/>
                <w:b/>
                <w:bCs/>
              </w:rPr>
              <w:t>廊坊市城市管理综合行政执法局</w:t>
            </w:r>
          </w:p>
        </w:tc>
      </w:tr>
      <w:tr w14:paraId="5D38E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F17A349">
            <w:pPr>
              <w:pStyle w:val="41"/>
              <w:rPr>
                <w:rFonts w:hint="eastAsia"/>
                <w:b/>
                <w:bCs/>
              </w:rPr>
            </w:pPr>
            <w:r>
              <w:rPr>
                <w:rFonts w:hint="eastAsia"/>
                <w:b/>
                <w:bCs/>
              </w:rPr>
              <w:t>103</w:t>
            </w:r>
          </w:p>
        </w:tc>
        <w:tc>
          <w:tcPr>
            <w:tcW w:w="2023" w:type="dxa"/>
            <w:shd w:val="clear" w:color="000000" w:fill="FFFFFF"/>
            <w:vAlign w:val="center"/>
          </w:tcPr>
          <w:p w14:paraId="38E002DC">
            <w:pPr>
              <w:pStyle w:val="41"/>
              <w:rPr>
                <w:rFonts w:hint="eastAsia"/>
                <w:b/>
                <w:bCs/>
              </w:rPr>
            </w:pPr>
            <w:r>
              <w:rPr>
                <w:b/>
                <w:bCs/>
              </w:rPr>
              <w:t>廊坊市主城区排水防涝监管平台建设项目</w:t>
            </w:r>
          </w:p>
        </w:tc>
        <w:tc>
          <w:tcPr>
            <w:tcW w:w="8880" w:type="dxa"/>
            <w:shd w:val="clear" w:color="000000" w:fill="FFFFFF"/>
            <w:vAlign w:val="center"/>
          </w:tcPr>
          <w:p w14:paraId="04DA7583">
            <w:pPr>
              <w:pStyle w:val="41"/>
              <w:rPr>
                <w:rFonts w:hint="eastAsia"/>
                <w:b/>
                <w:bCs/>
              </w:rPr>
            </w:pPr>
            <w:r>
              <w:rPr>
                <w:rFonts w:hint="eastAsia"/>
                <w:b/>
                <w:bCs/>
              </w:rPr>
              <w:t>1、新建廊坊市主城区排水防涝监管平台，集成城市排水系统所有物联感知监测设备及自控系统，实现源网厂河一体化调度。</w:t>
            </w:r>
          </w:p>
          <w:p w14:paraId="4BDACFEC">
            <w:pPr>
              <w:pStyle w:val="41"/>
              <w:rPr>
                <w:rFonts w:hint="eastAsia"/>
                <w:b/>
                <w:bCs/>
              </w:rPr>
            </w:pPr>
            <w:r>
              <w:rPr>
                <w:rFonts w:hint="eastAsia"/>
                <w:b/>
                <w:bCs/>
              </w:rPr>
              <w:t>2、布设包括雨量计2台、电子水尺11套、泵站出口流量计</w:t>
            </w:r>
          </w:p>
          <w:p w14:paraId="24676674">
            <w:pPr>
              <w:pStyle w:val="41"/>
              <w:rPr>
                <w:rFonts w:hint="eastAsia"/>
                <w:b/>
                <w:bCs/>
              </w:rPr>
            </w:pPr>
            <w:r>
              <w:rPr>
                <w:rFonts w:hint="eastAsia"/>
                <w:b/>
                <w:bCs/>
              </w:rPr>
              <w:t>35套，排水分区液位、流量25套、污水处理厂进水水量、水质6套、公园野外等地方的井盖报警器（定位+倾斜+移位+水淹）295套、重点道路上的井盖报警器（定位+倾斜+移位+水淹）500套、视频摄像头10套、闸门PLC改造10套、泵站</w:t>
            </w:r>
          </w:p>
          <w:p w14:paraId="2DD24230">
            <w:pPr>
              <w:pStyle w:val="41"/>
              <w:rPr>
                <w:rFonts w:hint="eastAsia"/>
                <w:b/>
                <w:bCs/>
              </w:rPr>
            </w:pPr>
            <w:r>
              <w:rPr>
                <w:rFonts w:hint="eastAsia"/>
                <w:b/>
                <w:bCs/>
              </w:rPr>
              <w:t>PLC柜改造39套。</w:t>
            </w:r>
          </w:p>
        </w:tc>
        <w:tc>
          <w:tcPr>
            <w:tcW w:w="1499" w:type="dxa"/>
            <w:shd w:val="clear" w:color="000000" w:fill="FFFFFF"/>
            <w:vAlign w:val="center"/>
          </w:tcPr>
          <w:p w14:paraId="7642014D">
            <w:pPr>
              <w:pStyle w:val="41"/>
              <w:rPr>
                <w:rFonts w:hint="eastAsia"/>
                <w:b/>
                <w:bCs/>
              </w:rPr>
            </w:pPr>
            <w:r>
              <w:rPr>
                <w:rFonts w:hint="eastAsia"/>
                <w:b/>
                <w:bCs/>
              </w:rPr>
              <w:t>廊坊市城市管理综合行政执法局</w:t>
            </w:r>
          </w:p>
        </w:tc>
      </w:tr>
      <w:tr w14:paraId="39C7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BF5307D">
            <w:pPr>
              <w:pStyle w:val="41"/>
              <w:rPr>
                <w:rFonts w:hint="eastAsia"/>
              </w:rPr>
            </w:pPr>
            <w:r>
              <w:rPr>
                <w:rFonts w:hint="eastAsia"/>
              </w:rPr>
              <w:t>104</w:t>
            </w:r>
          </w:p>
        </w:tc>
        <w:tc>
          <w:tcPr>
            <w:tcW w:w="2023" w:type="dxa"/>
            <w:shd w:val="clear" w:color="000000" w:fill="FFFFFF"/>
            <w:vAlign w:val="center"/>
          </w:tcPr>
          <w:p w14:paraId="3852131D">
            <w:pPr>
              <w:pStyle w:val="41"/>
              <w:rPr>
                <w:rFonts w:hint="eastAsia"/>
              </w:rPr>
            </w:pPr>
            <w:r>
              <w:rPr>
                <w:rFonts w:hint="eastAsia"/>
              </w:rPr>
              <w:t>规划支路建设工程</w:t>
            </w:r>
          </w:p>
        </w:tc>
        <w:tc>
          <w:tcPr>
            <w:tcW w:w="8880" w:type="dxa"/>
            <w:shd w:val="clear" w:color="000000" w:fill="FFFFFF"/>
            <w:vAlign w:val="center"/>
          </w:tcPr>
          <w:p w14:paraId="3FB401FF">
            <w:pPr>
              <w:pStyle w:val="41"/>
              <w:rPr>
                <w:rFonts w:hint="eastAsia"/>
              </w:rPr>
            </w:pPr>
            <w:r>
              <w:rPr>
                <w:rFonts w:hint="eastAsia"/>
              </w:rPr>
              <w:t>规划支路建设工程，包含规划支路和东华南路两条支路的建设，共计482米。规划支路北起广阳道，南至规划支路二，道路长316米，红线宽20米。东华南路北起广阳道，南至户屯南道，道路长166米，红线宽20米。实施内容包括道路工程、排水工程、路灯工程、交通设施工程。项目总投资估算1467万元，其中工程费744.98万元，征拆费372.29万元。</w:t>
            </w:r>
          </w:p>
        </w:tc>
        <w:tc>
          <w:tcPr>
            <w:tcW w:w="1499" w:type="dxa"/>
            <w:shd w:val="clear" w:color="000000" w:fill="FFFFFF"/>
            <w:vAlign w:val="center"/>
          </w:tcPr>
          <w:p w14:paraId="77BD71E5">
            <w:pPr>
              <w:pStyle w:val="41"/>
              <w:rPr>
                <w:rFonts w:hint="eastAsia"/>
              </w:rPr>
            </w:pPr>
            <w:r>
              <w:rPr>
                <w:rFonts w:hint="eastAsia"/>
              </w:rPr>
              <w:t>廊坊市市政设施管理中心</w:t>
            </w:r>
          </w:p>
        </w:tc>
      </w:tr>
      <w:tr w14:paraId="4310F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DA2FB4A">
            <w:pPr>
              <w:pStyle w:val="41"/>
              <w:rPr>
                <w:rFonts w:hint="eastAsia"/>
              </w:rPr>
            </w:pPr>
            <w:r>
              <w:rPr>
                <w:rFonts w:hint="eastAsia"/>
              </w:rPr>
              <w:t>105</w:t>
            </w:r>
          </w:p>
        </w:tc>
        <w:tc>
          <w:tcPr>
            <w:tcW w:w="2023" w:type="dxa"/>
            <w:shd w:val="clear" w:color="000000" w:fill="FFFFFF"/>
            <w:vAlign w:val="center"/>
          </w:tcPr>
          <w:p w14:paraId="608F0AD1">
            <w:pPr>
              <w:pStyle w:val="41"/>
              <w:rPr>
                <w:rFonts w:hint="eastAsia"/>
              </w:rPr>
            </w:pPr>
            <w:r>
              <w:rPr>
                <w:rFonts w:hint="eastAsia"/>
              </w:rPr>
              <w:t>市中心血站、市妇幼配套路网工程</w:t>
            </w:r>
          </w:p>
        </w:tc>
        <w:tc>
          <w:tcPr>
            <w:tcW w:w="8880" w:type="dxa"/>
            <w:shd w:val="clear" w:color="000000" w:fill="FFFFFF"/>
            <w:vAlign w:val="center"/>
          </w:tcPr>
          <w:p w14:paraId="6A9ED1F5">
            <w:pPr>
              <w:pStyle w:val="41"/>
              <w:rPr>
                <w:rFonts w:hint="eastAsia"/>
              </w:rPr>
            </w:pPr>
            <w:r>
              <w:rPr>
                <w:rFonts w:hint="eastAsia"/>
              </w:rPr>
              <w:t>市中心血站、市妇幼配套路网工程，道路建设总长度为米2055米，主要为绵竹路（红梅环路—中通路）1373米，集美道（绵竹路—晓春路）271米，晓春路（红梅环路—集美道）411米，实施内容包括道路工程、桥梁工程、排水工程、路灯工程、交通设施工程，项目估算总投资22000万元。</w:t>
            </w:r>
          </w:p>
        </w:tc>
        <w:tc>
          <w:tcPr>
            <w:tcW w:w="1499" w:type="dxa"/>
            <w:shd w:val="clear" w:color="000000" w:fill="FFFFFF"/>
            <w:vAlign w:val="center"/>
          </w:tcPr>
          <w:p w14:paraId="69E9A2A1">
            <w:pPr>
              <w:pStyle w:val="41"/>
              <w:rPr>
                <w:rFonts w:hint="eastAsia"/>
              </w:rPr>
            </w:pPr>
            <w:r>
              <w:rPr>
                <w:rFonts w:hint="eastAsia"/>
              </w:rPr>
              <w:t>廊坊市市政设施管理中心</w:t>
            </w:r>
          </w:p>
        </w:tc>
      </w:tr>
      <w:tr w14:paraId="3A2DA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D45EBC8">
            <w:pPr>
              <w:pStyle w:val="41"/>
              <w:rPr>
                <w:rFonts w:hint="eastAsia"/>
              </w:rPr>
            </w:pPr>
            <w:r>
              <w:rPr>
                <w:rFonts w:hint="eastAsia"/>
              </w:rPr>
              <w:t>106</w:t>
            </w:r>
          </w:p>
        </w:tc>
        <w:tc>
          <w:tcPr>
            <w:tcW w:w="2023" w:type="dxa"/>
            <w:shd w:val="clear" w:color="000000" w:fill="FFFFFF"/>
            <w:vAlign w:val="center"/>
          </w:tcPr>
          <w:p w14:paraId="7E734460">
            <w:pPr>
              <w:pStyle w:val="41"/>
              <w:rPr>
                <w:rFonts w:hint="eastAsia"/>
              </w:rPr>
            </w:pPr>
            <w:r>
              <w:rPr>
                <w:rFonts w:hint="eastAsia"/>
              </w:rPr>
              <w:t>第三十一小学周边配套道路工程</w:t>
            </w:r>
          </w:p>
        </w:tc>
        <w:tc>
          <w:tcPr>
            <w:tcW w:w="8880" w:type="dxa"/>
            <w:shd w:val="clear" w:color="000000" w:fill="FFFFFF"/>
            <w:vAlign w:val="center"/>
          </w:tcPr>
          <w:p w14:paraId="2713064C">
            <w:pPr>
              <w:pStyle w:val="41"/>
              <w:rPr>
                <w:rFonts w:hint="eastAsia"/>
              </w:rPr>
            </w:pPr>
            <w:r>
              <w:rPr>
                <w:rFonts w:hint="eastAsia"/>
              </w:rPr>
              <w:t>第三十一小学周边配套道路工程，道路建设总长度为1493米，主要为户屯道（东安路—规划六路）756米，道路红线宽15米；规划支路（新源道—广阳道）737米，道路红线宽20米，实施内容包括道路工程、排水工程、路灯工程、交通设施工程。项目总投资估算4566万元，其中工程费2089万元，征拆费1748万元。</w:t>
            </w:r>
          </w:p>
        </w:tc>
        <w:tc>
          <w:tcPr>
            <w:tcW w:w="1499" w:type="dxa"/>
            <w:shd w:val="clear" w:color="000000" w:fill="FFFFFF"/>
            <w:vAlign w:val="center"/>
          </w:tcPr>
          <w:p w14:paraId="1FE548FC">
            <w:pPr>
              <w:pStyle w:val="41"/>
              <w:rPr>
                <w:rFonts w:hint="eastAsia"/>
              </w:rPr>
            </w:pPr>
            <w:r>
              <w:rPr>
                <w:rFonts w:hint="eastAsia"/>
              </w:rPr>
              <w:t>廊坊市市政设施管理中心</w:t>
            </w:r>
          </w:p>
        </w:tc>
      </w:tr>
      <w:tr w14:paraId="7DFDA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4908B77">
            <w:pPr>
              <w:pStyle w:val="41"/>
              <w:rPr>
                <w:rFonts w:hint="eastAsia"/>
              </w:rPr>
            </w:pPr>
            <w:r>
              <w:rPr>
                <w:rFonts w:hint="eastAsia"/>
              </w:rPr>
              <w:t>107</w:t>
            </w:r>
          </w:p>
        </w:tc>
        <w:tc>
          <w:tcPr>
            <w:tcW w:w="2023" w:type="dxa"/>
            <w:shd w:val="clear" w:color="000000" w:fill="FFFFFF"/>
            <w:vAlign w:val="center"/>
          </w:tcPr>
          <w:p w14:paraId="38430F93">
            <w:pPr>
              <w:pStyle w:val="41"/>
              <w:rPr>
                <w:rFonts w:hint="eastAsia"/>
              </w:rPr>
            </w:pPr>
            <w:r>
              <w:rPr>
                <w:rFonts w:hint="eastAsia"/>
              </w:rPr>
              <w:t>第十六中学周边路网完善工程</w:t>
            </w:r>
          </w:p>
        </w:tc>
        <w:tc>
          <w:tcPr>
            <w:tcW w:w="8880" w:type="dxa"/>
            <w:shd w:val="clear" w:color="000000" w:fill="FFFFFF"/>
            <w:vAlign w:val="center"/>
          </w:tcPr>
          <w:p w14:paraId="7FB94ED8">
            <w:pPr>
              <w:pStyle w:val="41"/>
              <w:rPr>
                <w:rFonts w:hint="eastAsia"/>
              </w:rPr>
            </w:pPr>
            <w:r>
              <w:rPr>
                <w:rFonts w:hint="eastAsia"/>
              </w:rPr>
              <w:t>第十六中学周边路网完善工程，道路建设总长度为1852米，主要为汇源道（新华路—新开路）1089米，建设路（纬一路—汇源道）226米，纬二路（新华路—建设路）537米，实施内容包括道路工程、排水工程、路灯工程、交通设施工程，项目估算投总资29492.62万元，其中工程费10161.78万元。</w:t>
            </w:r>
          </w:p>
        </w:tc>
        <w:tc>
          <w:tcPr>
            <w:tcW w:w="1499" w:type="dxa"/>
            <w:shd w:val="clear" w:color="000000" w:fill="FFFFFF"/>
            <w:vAlign w:val="center"/>
          </w:tcPr>
          <w:p w14:paraId="0312A983">
            <w:pPr>
              <w:pStyle w:val="41"/>
              <w:rPr>
                <w:rFonts w:hint="eastAsia"/>
              </w:rPr>
            </w:pPr>
            <w:r>
              <w:rPr>
                <w:rFonts w:hint="eastAsia"/>
              </w:rPr>
              <w:t>廊坊市市政设施管理中心</w:t>
            </w:r>
          </w:p>
        </w:tc>
      </w:tr>
      <w:tr w14:paraId="7E57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84581F6">
            <w:pPr>
              <w:pStyle w:val="41"/>
              <w:rPr>
                <w:rFonts w:hint="eastAsia"/>
              </w:rPr>
            </w:pPr>
            <w:r>
              <w:rPr>
                <w:rFonts w:hint="eastAsia"/>
              </w:rPr>
              <w:t>108</w:t>
            </w:r>
          </w:p>
        </w:tc>
        <w:tc>
          <w:tcPr>
            <w:tcW w:w="2023" w:type="dxa"/>
            <w:shd w:val="clear" w:color="000000" w:fill="FFFFFF"/>
            <w:vAlign w:val="center"/>
          </w:tcPr>
          <w:p w14:paraId="6D975F9B">
            <w:pPr>
              <w:pStyle w:val="41"/>
              <w:rPr>
                <w:rFonts w:hint="eastAsia"/>
              </w:rPr>
            </w:pPr>
            <w:r>
              <w:rPr>
                <w:rFonts w:hint="eastAsia"/>
              </w:rPr>
              <w:t>新建道路绿化建设</w:t>
            </w:r>
          </w:p>
        </w:tc>
        <w:tc>
          <w:tcPr>
            <w:tcW w:w="8880" w:type="dxa"/>
            <w:shd w:val="clear" w:color="000000" w:fill="FFFFFF"/>
            <w:vAlign w:val="center"/>
          </w:tcPr>
          <w:p w14:paraId="633BA1B6">
            <w:pPr>
              <w:pStyle w:val="41"/>
              <w:rPr>
                <w:rFonts w:hint="eastAsia"/>
              </w:rPr>
            </w:pPr>
            <w:r>
              <w:rPr>
                <w:rFonts w:hint="eastAsia"/>
              </w:rPr>
              <w:t>新源道（裕华路-银河路）、金光道（西昌路-海德公园车行主入口）、丰盛路（广阳道-汇源道）、北凤道（西昌路以西）、汇源道（经六路-永兴路）、永兴路（汇源道-纬一路）等道路的配套绿化，内容包括苗木种植、给水管网的铺设等。</w:t>
            </w:r>
          </w:p>
        </w:tc>
        <w:tc>
          <w:tcPr>
            <w:tcW w:w="1499" w:type="dxa"/>
            <w:shd w:val="clear" w:color="000000" w:fill="FFFFFF"/>
            <w:vAlign w:val="center"/>
          </w:tcPr>
          <w:p w14:paraId="01B7AC3F">
            <w:pPr>
              <w:pStyle w:val="41"/>
              <w:rPr>
                <w:rFonts w:hint="eastAsia"/>
              </w:rPr>
            </w:pPr>
            <w:r>
              <w:rPr>
                <w:rFonts w:hint="eastAsia"/>
              </w:rPr>
              <w:t>廊坊市园林绿化事务中心</w:t>
            </w:r>
          </w:p>
        </w:tc>
      </w:tr>
      <w:tr w14:paraId="5A113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01C70BF0">
            <w:pPr>
              <w:pStyle w:val="41"/>
              <w:rPr>
                <w:rFonts w:hint="eastAsia"/>
              </w:rPr>
            </w:pPr>
            <w:r>
              <w:rPr>
                <w:rFonts w:hint="eastAsia"/>
              </w:rPr>
              <w:t>109</w:t>
            </w:r>
          </w:p>
        </w:tc>
        <w:tc>
          <w:tcPr>
            <w:tcW w:w="2023" w:type="dxa"/>
            <w:shd w:val="clear" w:color="000000" w:fill="FFFFFF"/>
            <w:vAlign w:val="center"/>
          </w:tcPr>
          <w:p w14:paraId="4C21B4C1">
            <w:pPr>
              <w:pStyle w:val="41"/>
              <w:rPr>
                <w:rFonts w:hint="eastAsia"/>
              </w:rPr>
            </w:pPr>
            <w:r>
              <w:rPr>
                <w:rFonts w:hint="eastAsia"/>
              </w:rPr>
              <w:t>中通路（廊万路-大皮营引渠)道路改造工程</w:t>
            </w:r>
          </w:p>
        </w:tc>
        <w:tc>
          <w:tcPr>
            <w:tcW w:w="8880" w:type="dxa"/>
            <w:shd w:val="clear" w:color="000000" w:fill="FFFFFF"/>
            <w:vAlign w:val="center"/>
          </w:tcPr>
          <w:p w14:paraId="44201D4B">
            <w:pPr>
              <w:pStyle w:val="41"/>
              <w:rPr>
                <w:rFonts w:hint="eastAsia"/>
              </w:rPr>
            </w:pPr>
            <w:r>
              <w:rPr>
                <w:rFonts w:hint="eastAsia"/>
              </w:rPr>
              <w:t>中通路改造西起廊万路，东至大皮营引渠，改造长度5505米，道路红线宽40米。按照拆迁量最小的方案设计（廊万路至绵竹路实现双向四车道、绵竹路至大皮营渠实现双向六车道），项目总投资估算8817万元。力争2024年12月主路完工</w:t>
            </w:r>
          </w:p>
        </w:tc>
        <w:tc>
          <w:tcPr>
            <w:tcW w:w="1499" w:type="dxa"/>
            <w:shd w:val="clear" w:color="000000" w:fill="FFFFFF"/>
            <w:vAlign w:val="center"/>
          </w:tcPr>
          <w:p w14:paraId="1F10942D">
            <w:pPr>
              <w:pStyle w:val="41"/>
              <w:rPr>
                <w:rFonts w:hint="eastAsia"/>
              </w:rPr>
            </w:pPr>
            <w:r>
              <w:rPr>
                <w:rFonts w:hint="eastAsia"/>
              </w:rPr>
              <w:t>廊坊市市政设施管理中心</w:t>
            </w:r>
          </w:p>
        </w:tc>
      </w:tr>
      <w:tr w14:paraId="780F3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0C0B788">
            <w:pPr>
              <w:pStyle w:val="41"/>
              <w:rPr>
                <w:rFonts w:hint="eastAsia"/>
              </w:rPr>
            </w:pPr>
            <w:r>
              <w:rPr>
                <w:rFonts w:hint="eastAsia"/>
              </w:rPr>
              <w:t>110</w:t>
            </w:r>
          </w:p>
        </w:tc>
        <w:tc>
          <w:tcPr>
            <w:tcW w:w="2023" w:type="dxa"/>
            <w:shd w:val="clear" w:color="000000" w:fill="FFFFFF"/>
            <w:vAlign w:val="center"/>
          </w:tcPr>
          <w:p w14:paraId="5C4DBBCA">
            <w:pPr>
              <w:pStyle w:val="41"/>
              <w:rPr>
                <w:rFonts w:hint="eastAsia"/>
              </w:rPr>
            </w:pPr>
            <w:r>
              <w:rPr>
                <w:rFonts w:hint="eastAsia"/>
              </w:rPr>
              <w:t>廊坊凯发新泉水务有限公司8万吨提标改造工程</w:t>
            </w:r>
          </w:p>
        </w:tc>
        <w:tc>
          <w:tcPr>
            <w:tcW w:w="8880" w:type="dxa"/>
            <w:shd w:val="clear" w:color="000000" w:fill="FFFFFF"/>
            <w:vAlign w:val="center"/>
          </w:tcPr>
          <w:p w14:paraId="2D2A16FD">
            <w:pPr>
              <w:pStyle w:val="41"/>
              <w:rPr>
                <w:rFonts w:hint="eastAsia"/>
              </w:rPr>
            </w:pPr>
            <w:r>
              <w:rPr>
                <w:rFonts w:hint="eastAsia"/>
              </w:rPr>
              <w:t>对现状8万m3/d污水厂进行提标改造，建设内容包括：拆除曝气生物滤池、二沉池等，新建细格栅及曝气沉砂池、膜池、配电系统、曝气系统等，改造后出水水质达到京标B标准。</w:t>
            </w:r>
            <w:r>
              <w:rPr>
                <w:rFonts w:hint="eastAsia"/>
              </w:rPr>
              <w:br w:type="textWrapping"/>
            </w:r>
            <w:r>
              <w:rPr>
                <w:rFonts w:hint="eastAsia"/>
              </w:rPr>
              <w:t>备注：总投资16000.00万元（调整设计后完善）</w:t>
            </w:r>
          </w:p>
        </w:tc>
        <w:tc>
          <w:tcPr>
            <w:tcW w:w="1499" w:type="dxa"/>
            <w:shd w:val="clear" w:color="000000" w:fill="FFFFFF"/>
            <w:vAlign w:val="center"/>
          </w:tcPr>
          <w:p w14:paraId="42C0C33F">
            <w:pPr>
              <w:pStyle w:val="41"/>
              <w:rPr>
                <w:rFonts w:hint="eastAsia"/>
              </w:rPr>
            </w:pPr>
            <w:r>
              <w:rPr>
                <w:rFonts w:hint="eastAsia"/>
              </w:rPr>
              <w:t>廊坊凯发新泉水务有限公司</w:t>
            </w:r>
          </w:p>
        </w:tc>
      </w:tr>
      <w:tr w14:paraId="0603B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9F7B26F">
            <w:pPr>
              <w:pStyle w:val="41"/>
              <w:rPr>
                <w:rFonts w:hint="eastAsia"/>
              </w:rPr>
            </w:pPr>
            <w:r>
              <w:rPr>
                <w:rFonts w:hint="eastAsia"/>
              </w:rPr>
              <w:t>111</w:t>
            </w:r>
          </w:p>
        </w:tc>
        <w:tc>
          <w:tcPr>
            <w:tcW w:w="2023" w:type="dxa"/>
            <w:shd w:val="clear" w:color="000000" w:fill="FFFFFF"/>
            <w:vAlign w:val="center"/>
          </w:tcPr>
          <w:p w14:paraId="2E85487B">
            <w:pPr>
              <w:pStyle w:val="41"/>
              <w:rPr>
                <w:rFonts w:hint="eastAsia"/>
              </w:rPr>
            </w:pPr>
            <w:r>
              <w:rPr>
                <w:rFonts w:hint="eastAsia"/>
              </w:rPr>
              <w:t>市医院（迁建）配套路网及排水工程</w:t>
            </w:r>
          </w:p>
        </w:tc>
        <w:tc>
          <w:tcPr>
            <w:tcW w:w="8880" w:type="dxa"/>
            <w:shd w:val="clear" w:color="000000" w:fill="FFFFFF"/>
            <w:vAlign w:val="center"/>
          </w:tcPr>
          <w:p w14:paraId="4A3A6FC6">
            <w:pPr>
              <w:pStyle w:val="41"/>
              <w:rPr>
                <w:rFonts w:hint="eastAsia"/>
              </w:rPr>
            </w:pPr>
            <w:r>
              <w:rPr>
                <w:rFonts w:hint="eastAsia"/>
              </w:rPr>
              <w:t>市医院（迁建）配套路网及排水工程，道路建设总长度为1722米，主要为安禾路（迎宾大道—平安大道）589米，安名路（前东道—平安大道）247米，前东道（安禾路—安名路）445米，平安大道（安禾路—安名路）441米，实施内容包括道路工程、排水工程、路灯工程、交通设施工程；新建迎宾大道（大西外环—龙河）雨水主管道2941米，迎宾大道（安禾路—龙河）污水主管道3254米，项目估算总投资32100万元。</w:t>
            </w:r>
          </w:p>
        </w:tc>
        <w:tc>
          <w:tcPr>
            <w:tcW w:w="1499" w:type="dxa"/>
            <w:shd w:val="clear" w:color="000000" w:fill="FFFFFF"/>
            <w:vAlign w:val="center"/>
          </w:tcPr>
          <w:p w14:paraId="3EDED7A5">
            <w:pPr>
              <w:pStyle w:val="41"/>
              <w:rPr>
                <w:rFonts w:hint="eastAsia"/>
              </w:rPr>
            </w:pPr>
            <w:r>
              <w:rPr>
                <w:rFonts w:hint="eastAsia"/>
              </w:rPr>
              <w:t>廊坊市市政设施管理中心</w:t>
            </w:r>
          </w:p>
        </w:tc>
      </w:tr>
      <w:tr w14:paraId="43D80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6B0FC30">
            <w:pPr>
              <w:pStyle w:val="41"/>
              <w:rPr>
                <w:rFonts w:hint="eastAsia"/>
              </w:rPr>
            </w:pPr>
            <w:r>
              <w:rPr>
                <w:rFonts w:hint="eastAsia"/>
              </w:rPr>
              <w:t>112</w:t>
            </w:r>
          </w:p>
        </w:tc>
        <w:tc>
          <w:tcPr>
            <w:tcW w:w="2023" w:type="dxa"/>
            <w:shd w:val="clear" w:color="000000" w:fill="FFFFFF"/>
            <w:vAlign w:val="center"/>
          </w:tcPr>
          <w:p w14:paraId="5EC7AC68">
            <w:pPr>
              <w:pStyle w:val="41"/>
              <w:rPr>
                <w:rFonts w:hint="eastAsia"/>
              </w:rPr>
            </w:pPr>
            <w:r>
              <w:rPr>
                <w:rFonts w:hint="eastAsia"/>
              </w:rPr>
              <w:t>廊坊市第四中学分校项目</w:t>
            </w:r>
          </w:p>
        </w:tc>
        <w:tc>
          <w:tcPr>
            <w:tcW w:w="8880" w:type="dxa"/>
            <w:shd w:val="clear" w:color="000000" w:fill="FFFFFF"/>
            <w:vAlign w:val="center"/>
          </w:tcPr>
          <w:p w14:paraId="2D2DEBFF">
            <w:pPr>
              <w:pStyle w:val="41"/>
              <w:rPr>
                <w:rFonts w:hint="eastAsia"/>
              </w:rPr>
            </w:pPr>
            <w:r>
              <w:rPr>
                <w:rFonts w:hint="eastAsia"/>
              </w:rPr>
              <w:t>计划投资7712万元，总建筑面积1.16万平方米，建设1栋综合教学楼、1栋综合服务中心、地下设备用房，配套建设塑胶跑道、操场、篮球场、排球场、室外硬化、绿化、大门和围墙等。办学规模为10轨30个教学班，可容纳1500名学生。</w:t>
            </w:r>
          </w:p>
        </w:tc>
        <w:tc>
          <w:tcPr>
            <w:tcW w:w="1499" w:type="dxa"/>
            <w:shd w:val="clear" w:color="000000" w:fill="FFFFFF"/>
            <w:vAlign w:val="center"/>
          </w:tcPr>
          <w:p w14:paraId="55C363C9">
            <w:pPr>
              <w:pStyle w:val="41"/>
              <w:rPr>
                <w:rFonts w:hint="eastAsia"/>
              </w:rPr>
            </w:pPr>
            <w:r>
              <w:rPr>
                <w:rFonts w:hint="eastAsia"/>
              </w:rPr>
              <w:t>廊坊市第四中学</w:t>
            </w:r>
          </w:p>
        </w:tc>
      </w:tr>
      <w:tr w14:paraId="7838F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0B19EB8">
            <w:pPr>
              <w:pStyle w:val="41"/>
              <w:rPr>
                <w:rFonts w:hint="eastAsia"/>
              </w:rPr>
            </w:pPr>
            <w:r>
              <w:rPr>
                <w:rFonts w:hint="eastAsia"/>
              </w:rPr>
              <w:t>113</w:t>
            </w:r>
          </w:p>
        </w:tc>
        <w:tc>
          <w:tcPr>
            <w:tcW w:w="2023" w:type="dxa"/>
            <w:shd w:val="clear" w:color="000000" w:fill="FFFFFF"/>
            <w:vAlign w:val="center"/>
          </w:tcPr>
          <w:p w14:paraId="4922D95A">
            <w:pPr>
              <w:pStyle w:val="41"/>
              <w:rPr>
                <w:rFonts w:hint="eastAsia"/>
              </w:rPr>
            </w:pPr>
            <w:r>
              <w:rPr>
                <w:rFonts w:hint="eastAsia"/>
              </w:rPr>
              <w:t>董常甫村棚户区改造项目</w:t>
            </w:r>
          </w:p>
        </w:tc>
        <w:tc>
          <w:tcPr>
            <w:tcW w:w="8880" w:type="dxa"/>
            <w:shd w:val="clear" w:color="000000" w:fill="FFFFFF"/>
            <w:vAlign w:val="center"/>
          </w:tcPr>
          <w:p w14:paraId="58F929BC">
            <w:pPr>
              <w:pStyle w:val="41"/>
              <w:rPr>
                <w:rFonts w:hint="eastAsia"/>
              </w:rPr>
            </w:pPr>
            <w:r>
              <w:rPr>
                <w:rFonts w:hint="eastAsia"/>
              </w:rPr>
              <w:t>主要建设住宅、配套公建、地下车库、地下城室等。项目共建成23栋住宅楼，12栋配套公建楼，共建成住宅2154套。</w:t>
            </w:r>
          </w:p>
        </w:tc>
        <w:tc>
          <w:tcPr>
            <w:tcW w:w="1499" w:type="dxa"/>
            <w:shd w:val="clear" w:color="000000" w:fill="FFFFFF"/>
            <w:vAlign w:val="center"/>
          </w:tcPr>
          <w:p w14:paraId="69C2FB8B">
            <w:pPr>
              <w:pStyle w:val="41"/>
              <w:rPr>
                <w:rFonts w:hint="eastAsia"/>
              </w:rPr>
            </w:pPr>
            <w:r>
              <w:rPr>
                <w:rFonts w:hint="eastAsia"/>
              </w:rPr>
              <w:t>廊坊市永兴房地产开发有限责任公司</w:t>
            </w:r>
          </w:p>
        </w:tc>
      </w:tr>
      <w:tr w14:paraId="36DD9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BD19869">
            <w:pPr>
              <w:pStyle w:val="41"/>
              <w:rPr>
                <w:rFonts w:hint="eastAsia"/>
              </w:rPr>
            </w:pPr>
            <w:r>
              <w:rPr>
                <w:rFonts w:hint="eastAsia"/>
              </w:rPr>
              <w:t>114</w:t>
            </w:r>
          </w:p>
        </w:tc>
        <w:tc>
          <w:tcPr>
            <w:tcW w:w="2023" w:type="dxa"/>
            <w:shd w:val="clear" w:color="000000" w:fill="FFFFFF"/>
            <w:vAlign w:val="center"/>
          </w:tcPr>
          <w:p w14:paraId="72D0C7B0">
            <w:pPr>
              <w:pStyle w:val="41"/>
              <w:rPr>
                <w:rFonts w:hint="eastAsia"/>
              </w:rPr>
            </w:pPr>
            <w:r>
              <w:rPr>
                <w:rFonts w:hint="eastAsia"/>
              </w:rPr>
              <w:t>第四幼儿园分园</w:t>
            </w:r>
          </w:p>
        </w:tc>
        <w:tc>
          <w:tcPr>
            <w:tcW w:w="8880" w:type="dxa"/>
            <w:shd w:val="clear" w:color="000000" w:fill="FFFFFF"/>
            <w:vAlign w:val="center"/>
          </w:tcPr>
          <w:p w14:paraId="4E899915">
            <w:pPr>
              <w:pStyle w:val="41"/>
              <w:rPr>
                <w:rFonts w:hint="eastAsia"/>
              </w:rPr>
            </w:pPr>
            <w:r>
              <w:rPr>
                <w:rFonts w:hint="eastAsia"/>
              </w:rPr>
              <w:t>对悦居时代社区配建幼儿园进行装修改建，主要内容为地胶、吊顶、厕所装修、消防改造、墙壁装饰装修等，建筑面积1827.58平方米。</w:t>
            </w:r>
          </w:p>
        </w:tc>
        <w:tc>
          <w:tcPr>
            <w:tcW w:w="1499" w:type="dxa"/>
            <w:shd w:val="clear" w:color="000000" w:fill="FFFFFF"/>
            <w:vAlign w:val="center"/>
          </w:tcPr>
          <w:p w14:paraId="0FC29512">
            <w:pPr>
              <w:pStyle w:val="41"/>
              <w:rPr>
                <w:rFonts w:hint="eastAsia"/>
              </w:rPr>
            </w:pPr>
            <w:r>
              <w:rPr>
                <w:rFonts w:hint="eastAsia"/>
              </w:rPr>
              <w:t>廊坊市安次区教育和体育局</w:t>
            </w:r>
          </w:p>
        </w:tc>
      </w:tr>
      <w:tr w14:paraId="69730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CF30637">
            <w:pPr>
              <w:pStyle w:val="41"/>
              <w:rPr>
                <w:rFonts w:hint="eastAsia"/>
              </w:rPr>
            </w:pPr>
            <w:r>
              <w:rPr>
                <w:rFonts w:hint="eastAsia"/>
              </w:rPr>
              <w:t>115</w:t>
            </w:r>
          </w:p>
        </w:tc>
        <w:tc>
          <w:tcPr>
            <w:tcW w:w="2023" w:type="dxa"/>
            <w:shd w:val="clear" w:color="000000" w:fill="FFFFFF"/>
            <w:vAlign w:val="center"/>
          </w:tcPr>
          <w:p w14:paraId="42426391">
            <w:pPr>
              <w:pStyle w:val="41"/>
              <w:rPr>
                <w:rFonts w:hint="eastAsia"/>
              </w:rPr>
            </w:pPr>
            <w:r>
              <w:rPr>
                <w:rFonts w:hint="eastAsia"/>
              </w:rPr>
              <w:t>第七幼儿园</w:t>
            </w:r>
          </w:p>
        </w:tc>
        <w:tc>
          <w:tcPr>
            <w:tcW w:w="8880" w:type="dxa"/>
            <w:shd w:val="clear" w:color="000000" w:fill="FFFFFF"/>
            <w:vAlign w:val="center"/>
          </w:tcPr>
          <w:p w14:paraId="07F2879F">
            <w:pPr>
              <w:pStyle w:val="41"/>
              <w:rPr>
                <w:rFonts w:hint="eastAsia"/>
              </w:rPr>
            </w:pPr>
            <w:r>
              <w:rPr>
                <w:rFonts w:hint="eastAsia"/>
              </w:rPr>
              <w:t>对丁香园小区配建幼儿园进行装修改造，主要内容为地胶、吊顶、厕所装修、消防改造、墙壁装饰装修等，建筑面积2624.84平方米。</w:t>
            </w:r>
          </w:p>
        </w:tc>
        <w:tc>
          <w:tcPr>
            <w:tcW w:w="1499" w:type="dxa"/>
            <w:shd w:val="clear" w:color="000000" w:fill="FFFFFF"/>
            <w:vAlign w:val="center"/>
          </w:tcPr>
          <w:p w14:paraId="7E499F59">
            <w:pPr>
              <w:pStyle w:val="41"/>
              <w:rPr>
                <w:rFonts w:hint="eastAsia"/>
              </w:rPr>
            </w:pPr>
            <w:r>
              <w:rPr>
                <w:rFonts w:hint="eastAsia"/>
              </w:rPr>
              <w:t>廊坊市安次区教育和体育局</w:t>
            </w:r>
          </w:p>
        </w:tc>
      </w:tr>
      <w:tr w14:paraId="0757F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D34CAB5">
            <w:pPr>
              <w:pStyle w:val="41"/>
              <w:rPr>
                <w:rFonts w:hint="eastAsia"/>
              </w:rPr>
            </w:pPr>
            <w:r>
              <w:rPr>
                <w:rFonts w:hint="eastAsia"/>
              </w:rPr>
              <w:t>116</w:t>
            </w:r>
          </w:p>
        </w:tc>
        <w:tc>
          <w:tcPr>
            <w:tcW w:w="2023" w:type="dxa"/>
            <w:shd w:val="clear" w:color="000000" w:fill="FFFFFF"/>
            <w:vAlign w:val="center"/>
          </w:tcPr>
          <w:p w14:paraId="6D517225">
            <w:pPr>
              <w:pStyle w:val="41"/>
              <w:rPr>
                <w:rFonts w:hint="eastAsia"/>
              </w:rPr>
            </w:pPr>
            <w:r>
              <w:rPr>
                <w:rFonts w:hint="eastAsia"/>
              </w:rPr>
              <w:t>第三十小学装配式用房采购</w:t>
            </w:r>
          </w:p>
        </w:tc>
        <w:tc>
          <w:tcPr>
            <w:tcW w:w="8880" w:type="dxa"/>
            <w:shd w:val="clear" w:color="000000" w:fill="FFFFFF"/>
            <w:vAlign w:val="center"/>
          </w:tcPr>
          <w:p w14:paraId="6894E0F6">
            <w:pPr>
              <w:pStyle w:val="41"/>
              <w:rPr>
                <w:rFonts w:hint="eastAsia"/>
              </w:rPr>
            </w:pPr>
            <w:r>
              <w:rPr>
                <w:rFonts w:hint="eastAsia"/>
              </w:rPr>
              <w:t>建筑面积3787.4平米，教室、办公室卫生间等</w:t>
            </w:r>
          </w:p>
        </w:tc>
        <w:tc>
          <w:tcPr>
            <w:tcW w:w="1499" w:type="dxa"/>
            <w:shd w:val="clear" w:color="000000" w:fill="FFFFFF"/>
            <w:vAlign w:val="center"/>
          </w:tcPr>
          <w:p w14:paraId="32873062">
            <w:pPr>
              <w:pStyle w:val="41"/>
              <w:rPr>
                <w:rFonts w:hint="eastAsia"/>
              </w:rPr>
            </w:pPr>
            <w:r>
              <w:rPr>
                <w:rFonts w:hint="eastAsia"/>
              </w:rPr>
              <w:t>廊坊市安次区教育和体育局</w:t>
            </w:r>
          </w:p>
        </w:tc>
      </w:tr>
      <w:tr w14:paraId="33A49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3FDE1C0">
            <w:pPr>
              <w:pStyle w:val="41"/>
              <w:rPr>
                <w:rFonts w:hint="eastAsia"/>
              </w:rPr>
            </w:pPr>
            <w:r>
              <w:rPr>
                <w:rFonts w:hint="eastAsia"/>
              </w:rPr>
              <w:t>117</w:t>
            </w:r>
          </w:p>
        </w:tc>
        <w:tc>
          <w:tcPr>
            <w:tcW w:w="2023" w:type="dxa"/>
            <w:shd w:val="clear" w:color="000000" w:fill="FFFFFF"/>
            <w:vAlign w:val="center"/>
          </w:tcPr>
          <w:p w14:paraId="4DCA5BC4">
            <w:pPr>
              <w:pStyle w:val="41"/>
              <w:rPr>
                <w:rFonts w:hint="eastAsia"/>
              </w:rPr>
            </w:pPr>
            <w:r>
              <w:rPr>
                <w:rFonts w:hint="eastAsia"/>
              </w:rPr>
              <w:t>第四中学装配式用房采购</w:t>
            </w:r>
          </w:p>
        </w:tc>
        <w:tc>
          <w:tcPr>
            <w:tcW w:w="8880" w:type="dxa"/>
            <w:shd w:val="clear" w:color="000000" w:fill="FFFFFF"/>
            <w:vAlign w:val="center"/>
          </w:tcPr>
          <w:p w14:paraId="672F3FF3">
            <w:pPr>
              <w:pStyle w:val="41"/>
              <w:rPr>
                <w:rFonts w:hint="eastAsia"/>
              </w:rPr>
            </w:pPr>
            <w:r>
              <w:rPr>
                <w:rFonts w:hint="eastAsia"/>
              </w:rPr>
              <w:t>装配式三层，总面积2855平方米</w:t>
            </w:r>
          </w:p>
        </w:tc>
        <w:tc>
          <w:tcPr>
            <w:tcW w:w="1499" w:type="dxa"/>
            <w:shd w:val="clear" w:color="000000" w:fill="FFFFFF"/>
            <w:vAlign w:val="center"/>
          </w:tcPr>
          <w:p w14:paraId="1AB52DA3">
            <w:pPr>
              <w:pStyle w:val="41"/>
              <w:rPr>
                <w:rFonts w:hint="eastAsia"/>
              </w:rPr>
            </w:pPr>
            <w:r>
              <w:rPr>
                <w:rFonts w:hint="eastAsia"/>
              </w:rPr>
              <w:t>廊坊市安次区教育和体育局</w:t>
            </w:r>
          </w:p>
        </w:tc>
      </w:tr>
      <w:tr w14:paraId="05EF8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B4165EA">
            <w:pPr>
              <w:pStyle w:val="41"/>
              <w:rPr>
                <w:rFonts w:hint="eastAsia"/>
              </w:rPr>
            </w:pPr>
            <w:r>
              <w:rPr>
                <w:rFonts w:hint="eastAsia"/>
              </w:rPr>
              <w:t>118</w:t>
            </w:r>
          </w:p>
        </w:tc>
        <w:tc>
          <w:tcPr>
            <w:tcW w:w="2023" w:type="dxa"/>
            <w:shd w:val="clear" w:color="000000" w:fill="FFFFFF"/>
            <w:vAlign w:val="center"/>
          </w:tcPr>
          <w:p w14:paraId="26EFB0D4">
            <w:pPr>
              <w:pStyle w:val="41"/>
              <w:rPr>
                <w:rFonts w:hint="eastAsia"/>
              </w:rPr>
            </w:pPr>
            <w:r>
              <w:rPr>
                <w:rFonts w:hint="eastAsia"/>
              </w:rPr>
              <w:t>永华道北侧及开源里夹缝区棚户区改造项目</w:t>
            </w:r>
          </w:p>
        </w:tc>
        <w:tc>
          <w:tcPr>
            <w:tcW w:w="8880" w:type="dxa"/>
            <w:shd w:val="clear" w:color="000000" w:fill="FFFFFF"/>
            <w:vAlign w:val="center"/>
          </w:tcPr>
          <w:p w14:paraId="545F814B">
            <w:pPr>
              <w:pStyle w:val="41"/>
              <w:rPr>
                <w:rFonts w:hint="eastAsia"/>
              </w:rPr>
            </w:pPr>
            <w:r>
              <w:rPr>
                <w:rFonts w:hint="eastAsia"/>
              </w:rPr>
              <w:t>主要建设住宅、幼儿园、配套、地下车库、地下室等。项目共建成10栋住宅楼、1栋幼儿园、1栋配套楼，共建成住宅824套。</w:t>
            </w:r>
          </w:p>
        </w:tc>
        <w:tc>
          <w:tcPr>
            <w:tcW w:w="1499" w:type="dxa"/>
            <w:shd w:val="clear" w:color="000000" w:fill="FFFFFF"/>
            <w:vAlign w:val="center"/>
          </w:tcPr>
          <w:p w14:paraId="6EEFF0A3">
            <w:pPr>
              <w:pStyle w:val="41"/>
              <w:rPr>
                <w:rFonts w:hint="eastAsia"/>
              </w:rPr>
            </w:pPr>
            <w:r>
              <w:rPr>
                <w:rFonts w:hint="eastAsia"/>
              </w:rPr>
              <w:t>廊坊市永兴房地产开发有限责任公司</w:t>
            </w:r>
          </w:p>
        </w:tc>
      </w:tr>
      <w:tr w14:paraId="31473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132692D">
            <w:pPr>
              <w:pStyle w:val="41"/>
              <w:rPr>
                <w:rFonts w:hint="eastAsia"/>
              </w:rPr>
            </w:pPr>
            <w:r>
              <w:rPr>
                <w:rFonts w:hint="eastAsia"/>
              </w:rPr>
              <w:t>119</w:t>
            </w:r>
          </w:p>
        </w:tc>
        <w:tc>
          <w:tcPr>
            <w:tcW w:w="2023" w:type="dxa"/>
            <w:shd w:val="clear" w:color="000000" w:fill="FFFFFF"/>
            <w:vAlign w:val="center"/>
          </w:tcPr>
          <w:p w14:paraId="15F9C6B5">
            <w:pPr>
              <w:pStyle w:val="41"/>
              <w:rPr>
                <w:rFonts w:hint="eastAsia"/>
              </w:rPr>
            </w:pPr>
            <w:r>
              <w:rPr>
                <w:rFonts w:hint="eastAsia"/>
              </w:rPr>
              <w:t>廊坊市安次区永定长安城市更新首期项目</w:t>
            </w:r>
          </w:p>
        </w:tc>
        <w:tc>
          <w:tcPr>
            <w:tcW w:w="8880" w:type="dxa"/>
            <w:shd w:val="clear" w:color="000000" w:fill="FFFFFF"/>
            <w:vAlign w:val="center"/>
          </w:tcPr>
          <w:p w14:paraId="2A48BBB0">
            <w:pPr>
              <w:pStyle w:val="41"/>
              <w:rPr>
                <w:rFonts w:hint="eastAsia"/>
              </w:rPr>
            </w:pPr>
            <w:r>
              <w:rPr>
                <w:rFonts w:hint="eastAsia"/>
              </w:rPr>
              <w:t>分期启动该片区123亩安置房建设、河道片区九年一贯制学校建设、社区文化设施（居委会、文化活动站）、室外体育场、社区卫生服务站、社区日间照料中心等公建及周边道路建设、高压线及务廊管线切改。</w:t>
            </w:r>
          </w:p>
        </w:tc>
        <w:tc>
          <w:tcPr>
            <w:tcW w:w="1499" w:type="dxa"/>
            <w:shd w:val="clear" w:color="000000" w:fill="FFFFFF"/>
            <w:vAlign w:val="center"/>
          </w:tcPr>
          <w:p w14:paraId="43550FAD">
            <w:pPr>
              <w:pStyle w:val="41"/>
              <w:rPr>
                <w:rFonts w:hint="eastAsia"/>
              </w:rPr>
            </w:pPr>
            <w:r>
              <w:rPr>
                <w:rFonts w:hint="eastAsia"/>
              </w:rPr>
              <w:t>廊坊市永兴房地产开发有限责任公司</w:t>
            </w:r>
          </w:p>
        </w:tc>
      </w:tr>
      <w:tr w14:paraId="23813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420EAC0">
            <w:pPr>
              <w:pStyle w:val="41"/>
              <w:rPr>
                <w:rFonts w:hint="eastAsia"/>
              </w:rPr>
            </w:pPr>
            <w:r>
              <w:rPr>
                <w:rFonts w:hint="eastAsia"/>
              </w:rPr>
              <w:t>120</w:t>
            </w:r>
          </w:p>
        </w:tc>
        <w:tc>
          <w:tcPr>
            <w:tcW w:w="2023" w:type="dxa"/>
            <w:shd w:val="clear" w:color="000000" w:fill="FFFFFF"/>
            <w:vAlign w:val="center"/>
          </w:tcPr>
          <w:p w14:paraId="4DDA8B8F">
            <w:pPr>
              <w:pStyle w:val="41"/>
              <w:rPr>
                <w:rFonts w:hint="eastAsia"/>
              </w:rPr>
            </w:pPr>
            <w:r>
              <w:rPr>
                <w:rFonts w:hint="eastAsia"/>
              </w:rPr>
              <w:t>后南昌村棚户区改造项目</w:t>
            </w:r>
          </w:p>
        </w:tc>
        <w:tc>
          <w:tcPr>
            <w:tcW w:w="8880" w:type="dxa"/>
            <w:shd w:val="clear" w:color="000000" w:fill="FFFFFF"/>
            <w:vAlign w:val="center"/>
          </w:tcPr>
          <w:p w14:paraId="5428D58C">
            <w:pPr>
              <w:pStyle w:val="41"/>
              <w:rPr>
                <w:rFonts w:hint="eastAsia"/>
              </w:rPr>
            </w:pPr>
            <w:r>
              <w:rPr>
                <w:rFonts w:hint="eastAsia"/>
              </w:rPr>
              <w:t>主要建设住宅、配套公建、地下车库、地下城室等。共建成30栋住宅楼，5栋配套公建楼，共建成住宅2249套。</w:t>
            </w:r>
          </w:p>
        </w:tc>
        <w:tc>
          <w:tcPr>
            <w:tcW w:w="1499" w:type="dxa"/>
            <w:shd w:val="clear" w:color="000000" w:fill="FFFFFF"/>
            <w:vAlign w:val="center"/>
          </w:tcPr>
          <w:p w14:paraId="3D954B94">
            <w:pPr>
              <w:pStyle w:val="41"/>
              <w:rPr>
                <w:rFonts w:hint="eastAsia"/>
              </w:rPr>
            </w:pPr>
            <w:r>
              <w:rPr>
                <w:rFonts w:hint="eastAsia"/>
              </w:rPr>
              <w:t>廊坊市永兴房地产开发有限责任公司</w:t>
            </w:r>
          </w:p>
        </w:tc>
      </w:tr>
      <w:tr w14:paraId="58B0E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07EA57E">
            <w:pPr>
              <w:pStyle w:val="41"/>
              <w:rPr>
                <w:rFonts w:hint="eastAsia"/>
              </w:rPr>
            </w:pPr>
            <w:r>
              <w:rPr>
                <w:rFonts w:hint="eastAsia"/>
              </w:rPr>
              <w:t>121</w:t>
            </w:r>
          </w:p>
        </w:tc>
        <w:tc>
          <w:tcPr>
            <w:tcW w:w="2023" w:type="dxa"/>
            <w:shd w:val="clear" w:color="000000" w:fill="FFFFFF"/>
            <w:vAlign w:val="center"/>
          </w:tcPr>
          <w:p w14:paraId="059F9B4F">
            <w:pPr>
              <w:pStyle w:val="41"/>
              <w:rPr>
                <w:rFonts w:hint="eastAsia"/>
              </w:rPr>
            </w:pPr>
            <w:r>
              <w:rPr>
                <w:rFonts w:hint="eastAsia"/>
              </w:rPr>
              <w:t>前进片区棚户区改造项目</w:t>
            </w:r>
          </w:p>
        </w:tc>
        <w:tc>
          <w:tcPr>
            <w:tcW w:w="8880" w:type="dxa"/>
            <w:shd w:val="clear" w:color="000000" w:fill="FFFFFF"/>
            <w:vAlign w:val="center"/>
          </w:tcPr>
          <w:p w14:paraId="5715D295">
            <w:pPr>
              <w:pStyle w:val="41"/>
              <w:rPr>
                <w:rFonts w:hint="eastAsia"/>
              </w:rPr>
            </w:pPr>
            <w:r>
              <w:rPr>
                <w:rFonts w:hint="eastAsia"/>
              </w:rPr>
              <w:t>主要建设20栋住宅、3栋配套、3栋幼儿园、地下车库、地下室及室外工程等，共建成住宅1768套。</w:t>
            </w:r>
          </w:p>
        </w:tc>
        <w:tc>
          <w:tcPr>
            <w:tcW w:w="1499" w:type="dxa"/>
            <w:shd w:val="clear" w:color="000000" w:fill="FFFFFF"/>
            <w:vAlign w:val="center"/>
          </w:tcPr>
          <w:p w14:paraId="7B3C7066">
            <w:pPr>
              <w:pStyle w:val="41"/>
              <w:rPr>
                <w:rFonts w:hint="eastAsia"/>
              </w:rPr>
            </w:pPr>
            <w:r>
              <w:rPr>
                <w:rFonts w:hint="eastAsia"/>
              </w:rPr>
              <w:t>廊坊市永兴房地产开发有限责任公司</w:t>
            </w:r>
          </w:p>
        </w:tc>
      </w:tr>
      <w:tr w14:paraId="417D4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5210FB7">
            <w:pPr>
              <w:pStyle w:val="41"/>
              <w:rPr>
                <w:rFonts w:hint="eastAsia"/>
              </w:rPr>
            </w:pPr>
            <w:r>
              <w:rPr>
                <w:rFonts w:hint="eastAsia"/>
              </w:rPr>
              <w:t>122</w:t>
            </w:r>
          </w:p>
        </w:tc>
        <w:tc>
          <w:tcPr>
            <w:tcW w:w="2023" w:type="dxa"/>
            <w:shd w:val="clear" w:color="000000" w:fill="FFFFFF"/>
            <w:vAlign w:val="center"/>
          </w:tcPr>
          <w:p w14:paraId="30648ED6">
            <w:pPr>
              <w:pStyle w:val="41"/>
              <w:rPr>
                <w:rFonts w:hint="eastAsia"/>
              </w:rPr>
            </w:pPr>
            <w:r>
              <w:rPr>
                <w:rFonts w:hint="eastAsia"/>
              </w:rPr>
              <w:t>廊坊市云风网络科技有限公司廊坊市云风数据中心三期项目</w:t>
            </w:r>
          </w:p>
        </w:tc>
        <w:tc>
          <w:tcPr>
            <w:tcW w:w="8880" w:type="dxa"/>
            <w:shd w:val="clear" w:color="000000" w:fill="FFFFFF"/>
            <w:vAlign w:val="center"/>
          </w:tcPr>
          <w:p w14:paraId="1CC879CB">
            <w:pPr>
              <w:pStyle w:val="41"/>
              <w:rPr>
                <w:rFonts w:hint="eastAsia"/>
              </w:rPr>
            </w:pPr>
            <w:r>
              <w:rPr>
                <w:rFonts w:hint="eastAsia"/>
              </w:rPr>
              <w:t>拟建建筑面积98808㎡，主要建设3栋厂房及1栋设备用房。项目建设内容包括大数据运营中心、大数据产业中心和大数据创投基地。规划安装机柜10000个，建成后主要用于第三方数据存储服务。</w:t>
            </w:r>
          </w:p>
        </w:tc>
        <w:tc>
          <w:tcPr>
            <w:tcW w:w="1499" w:type="dxa"/>
            <w:shd w:val="clear" w:color="000000" w:fill="FFFFFF"/>
            <w:vAlign w:val="center"/>
          </w:tcPr>
          <w:p w14:paraId="51F51040">
            <w:pPr>
              <w:pStyle w:val="41"/>
              <w:rPr>
                <w:rFonts w:hint="eastAsia"/>
              </w:rPr>
            </w:pPr>
            <w:r>
              <w:rPr>
                <w:rFonts w:hint="eastAsia"/>
              </w:rPr>
              <w:t>廊坊市优拓光电技术有限公司</w:t>
            </w:r>
          </w:p>
        </w:tc>
      </w:tr>
      <w:tr w14:paraId="2DC7F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E22966B">
            <w:pPr>
              <w:pStyle w:val="41"/>
              <w:rPr>
                <w:rFonts w:hint="eastAsia"/>
              </w:rPr>
            </w:pPr>
            <w:r>
              <w:rPr>
                <w:rFonts w:hint="eastAsia"/>
              </w:rPr>
              <w:t>123</w:t>
            </w:r>
          </w:p>
        </w:tc>
        <w:tc>
          <w:tcPr>
            <w:tcW w:w="2023" w:type="dxa"/>
            <w:shd w:val="clear" w:color="000000" w:fill="FFFFFF"/>
            <w:vAlign w:val="center"/>
          </w:tcPr>
          <w:p w14:paraId="0FF18DF8">
            <w:pPr>
              <w:pStyle w:val="41"/>
              <w:rPr>
                <w:rFonts w:hint="eastAsia"/>
              </w:rPr>
            </w:pPr>
            <w:r>
              <w:rPr>
                <w:rFonts w:hint="eastAsia"/>
              </w:rPr>
              <w:t>钢兴里及庆云里棚户区改造项目</w:t>
            </w:r>
          </w:p>
        </w:tc>
        <w:tc>
          <w:tcPr>
            <w:tcW w:w="8880" w:type="dxa"/>
            <w:shd w:val="clear" w:color="000000" w:fill="FFFFFF"/>
            <w:vAlign w:val="center"/>
          </w:tcPr>
          <w:p w14:paraId="40E029C0">
            <w:pPr>
              <w:pStyle w:val="41"/>
              <w:rPr>
                <w:rFonts w:hint="eastAsia"/>
              </w:rPr>
            </w:pPr>
            <w:r>
              <w:rPr>
                <w:rFonts w:hint="eastAsia"/>
              </w:rPr>
              <w:t>主要建设6栋住宅、2栋配套、1栋幼儿园、地下车库、地下室级室外工程等，共建成住宅484套。</w:t>
            </w:r>
          </w:p>
        </w:tc>
        <w:tc>
          <w:tcPr>
            <w:tcW w:w="1499" w:type="dxa"/>
            <w:shd w:val="clear" w:color="000000" w:fill="FFFFFF"/>
            <w:vAlign w:val="center"/>
          </w:tcPr>
          <w:p w14:paraId="72AE8F9A">
            <w:pPr>
              <w:pStyle w:val="41"/>
              <w:rPr>
                <w:rFonts w:hint="eastAsia"/>
              </w:rPr>
            </w:pPr>
            <w:r>
              <w:rPr>
                <w:rFonts w:hint="eastAsia"/>
              </w:rPr>
              <w:t>廊坊市永兴房地产开发有限责任公司</w:t>
            </w:r>
          </w:p>
        </w:tc>
      </w:tr>
      <w:tr w14:paraId="1496D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AD5F06F">
            <w:pPr>
              <w:pStyle w:val="41"/>
              <w:rPr>
                <w:rFonts w:hint="eastAsia"/>
              </w:rPr>
            </w:pPr>
            <w:r>
              <w:rPr>
                <w:rFonts w:hint="eastAsia"/>
              </w:rPr>
              <w:t>124</w:t>
            </w:r>
          </w:p>
        </w:tc>
        <w:tc>
          <w:tcPr>
            <w:tcW w:w="2023" w:type="dxa"/>
            <w:shd w:val="clear" w:color="000000" w:fill="FFFFFF"/>
            <w:vAlign w:val="center"/>
          </w:tcPr>
          <w:p w14:paraId="2C75B83A">
            <w:pPr>
              <w:pStyle w:val="41"/>
              <w:rPr>
                <w:rFonts w:hint="eastAsia"/>
              </w:rPr>
            </w:pPr>
            <w:r>
              <w:rPr>
                <w:rFonts w:hint="eastAsia"/>
              </w:rPr>
              <w:t>廊坊市第三十三小学改造项目</w:t>
            </w:r>
          </w:p>
        </w:tc>
        <w:tc>
          <w:tcPr>
            <w:tcW w:w="8880" w:type="dxa"/>
            <w:shd w:val="clear" w:color="000000" w:fill="FFFFFF"/>
            <w:vAlign w:val="center"/>
          </w:tcPr>
          <w:p w14:paraId="3B29641C">
            <w:pPr>
              <w:pStyle w:val="41"/>
              <w:rPr>
                <w:rFonts w:hint="eastAsia"/>
              </w:rPr>
            </w:pPr>
            <w:r>
              <w:rPr>
                <w:rFonts w:hint="eastAsia"/>
              </w:rPr>
              <w:t>廊坊市第三十三小学为德荣帝景西区配建学校，占地45亩，总建筑面积约1.53万平方米，可容纳6轨36个教学班1620名学生。学校于2023年12月通过竣工验收，现已移交我局。因移交校舍为毛坯房，需进行二次改造。经区政府批准，启动实施廊坊市第三十三小学改造项目，计划投资2000万元，主要对教学综合楼、风雨操场进行改造，以及室外附属工程改造等。</w:t>
            </w:r>
          </w:p>
        </w:tc>
        <w:tc>
          <w:tcPr>
            <w:tcW w:w="1499" w:type="dxa"/>
            <w:shd w:val="clear" w:color="000000" w:fill="FFFFFF"/>
            <w:vAlign w:val="center"/>
          </w:tcPr>
          <w:p w14:paraId="3DF2543F">
            <w:pPr>
              <w:pStyle w:val="41"/>
              <w:rPr>
                <w:rFonts w:hint="eastAsia"/>
              </w:rPr>
            </w:pPr>
            <w:r>
              <w:rPr>
                <w:rFonts w:hint="eastAsia"/>
              </w:rPr>
              <w:t>廊坊市安次区教育和体育局</w:t>
            </w:r>
          </w:p>
        </w:tc>
      </w:tr>
      <w:tr w14:paraId="5E9C6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7A123564">
            <w:pPr>
              <w:pStyle w:val="41"/>
              <w:rPr>
                <w:rFonts w:hint="eastAsia"/>
              </w:rPr>
            </w:pPr>
            <w:r>
              <w:rPr>
                <w:rFonts w:hint="eastAsia"/>
              </w:rPr>
              <w:t>125</w:t>
            </w:r>
          </w:p>
        </w:tc>
        <w:tc>
          <w:tcPr>
            <w:tcW w:w="2023" w:type="dxa"/>
            <w:shd w:val="clear" w:color="000000" w:fill="FFFFFF"/>
            <w:vAlign w:val="center"/>
          </w:tcPr>
          <w:p w14:paraId="279743D4">
            <w:pPr>
              <w:pStyle w:val="41"/>
              <w:rPr>
                <w:rFonts w:hint="eastAsia"/>
              </w:rPr>
            </w:pPr>
            <w:r>
              <w:rPr>
                <w:rFonts w:hint="eastAsia"/>
              </w:rPr>
              <w:t>北小营棚户区改造项目</w:t>
            </w:r>
          </w:p>
        </w:tc>
        <w:tc>
          <w:tcPr>
            <w:tcW w:w="8880" w:type="dxa"/>
            <w:shd w:val="clear" w:color="000000" w:fill="FFFFFF"/>
            <w:vAlign w:val="center"/>
          </w:tcPr>
          <w:p w14:paraId="7111D149">
            <w:pPr>
              <w:pStyle w:val="41"/>
              <w:rPr>
                <w:rFonts w:hint="eastAsia"/>
              </w:rPr>
            </w:pPr>
            <w:r>
              <w:rPr>
                <w:rFonts w:hint="eastAsia"/>
              </w:rPr>
              <w:t>主要包括12栋住宅楼，4栋配套公建设施含幼儿园、托儿所，地下室及车库，项目同步实施室外工程。共建成住宅2344套。</w:t>
            </w:r>
          </w:p>
        </w:tc>
        <w:tc>
          <w:tcPr>
            <w:tcW w:w="1499" w:type="dxa"/>
            <w:shd w:val="clear" w:color="000000" w:fill="FFFFFF"/>
            <w:vAlign w:val="center"/>
          </w:tcPr>
          <w:p w14:paraId="5396E357">
            <w:pPr>
              <w:pStyle w:val="41"/>
              <w:rPr>
                <w:rFonts w:hint="eastAsia"/>
              </w:rPr>
            </w:pPr>
            <w:r>
              <w:rPr>
                <w:rFonts w:hint="eastAsia"/>
              </w:rPr>
              <w:t>廊坊市永兴房地产开发有限责任公司</w:t>
            </w:r>
          </w:p>
        </w:tc>
      </w:tr>
      <w:tr w14:paraId="26B2D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1A7FDAC">
            <w:pPr>
              <w:pStyle w:val="41"/>
              <w:rPr>
                <w:rFonts w:hint="eastAsia"/>
              </w:rPr>
            </w:pPr>
            <w:r>
              <w:rPr>
                <w:rFonts w:hint="eastAsia"/>
              </w:rPr>
              <w:t>126</w:t>
            </w:r>
          </w:p>
        </w:tc>
        <w:tc>
          <w:tcPr>
            <w:tcW w:w="2023" w:type="dxa"/>
            <w:shd w:val="clear" w:color="000000" w:fill="FFFFFF"/>
            <w:vAlign w:val="center"/>
          </w:tcPr>
          <w:p w14:paraId="14BB6B35">
            <w:pPr>
              <w:pStyle w:val="41"/>
              <w:rPr>
                <w:rFonts w:hint="eastAsia"/>
              </w:rPr>
            </w:pPr>
            <w:r>
              <w:rPr>
                <w:rFonts w:hint="eastAsia"/>
              </w:rPr>
              <w:t>智慧物联云计算数据中心项目</w:t>
            </w:r>
          </w:p>
        </w:tc>
        <w:tc>
          <w:tcPr>
            <w:tcW w:w="8880" w:type="dxa"/>
            <w:shd w:val="clear" w:color="000000" w:fill="FFFFFF"/>
            <w:vAlign w:val="center"/>
          </w:tcPr>
          <w:p w14:paraId="750C7ACF">
            <w:pPr>
              <w:pStyle w:val="41"/>
              <w:rPr>
                <w:rFonts w:hint="eastAsia"/>
              </w:rPr>
            </w:pPr>
            <w:r>
              <w:rPr>
                <w:rFonts w:hint="eastAsia"/>
              </w:rPr>
              <w:t>总建筑面积75500平方米。主要建设内容为模块化厂房、基础设施配套及辅助配套电力设施用房、生活配套及综合楼等建筑。规划投资建设6000个机柜。运用智能化手段,搭建智能分析保障平台,采用SDN技术、Mix-cloud产品,为信息集采、数控智能分析与应用平台等客户群体提供混合云服务、SDN网络服务以及核心节点AI计算服务。</w:t>
            </w:r>
          </w:p>
        </w:tc>
        <w:tc>
          <w:tcPr>
            <w:tcW w:w="1499" w:type="dxa"/>
            <w:shd w:val="clear" w:color="000000" w:fill="FFFFFF"/>
            <w:vAlign w:val="center"/>
          </w:tcPr>
          <w:p w14:paraId="7AD05DFE">
            <w:pPr>
              <w:pStyle w:val="41"/>
              <w:rPr>
                <w:rFonts w:hint="eastAsia"/>
              </w:rPr>
            </w:pPr>
            <w:r>
              <w:rPr>
                <w:rFonts w:hint="eastAsia"/>
              </w:rPr>
              <w:t>廊坊珈勋数据科技有限公司 廊坊禹熙数据科技有限公司</w:t>
            </w:r>
          </w:p>
        </w:tc>
      </w:tr>
      <w:tr w14:paraId="0BDE4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5007E12">
            <w:pPr>
              <w:pStyle w:val="41"/>
              <w:rPr>
                <w:rFonts w:hint="eastAsia"/>
              </w:rPr>
            </w:pPr>
            <w:r>
              <w:rPr>
                <w:rFonts w:hint="eastAsia"/>
              </w:rPr>
              <w:t>127</w:t>
            </w:r>
          </w:p>
        </w:tc>
        <w:tc>
          <w:tcPr>
            <w:tcW w:w="2023" w:type="dxa"/>
            <w:shd w:val="clear" w:color="000000" w:fill="FFFFFF"/>
            <w:vAlign w:val="center"/>
          </w:tcPr>
          <w:p w14:paraId="6EF14437">
            <w:pPr>
              <w:pStyle w:val="41"/>
              <w:rPr>
                <w:rFonts w:hint="eastAsia"/>
              </w:rPr>
            </w:pPr>
            <w:r>
              <w:rPr>
                <w:rFonts w:hint="eastAsia"/>
              </w:rPr>
              <w:t>廊坊市广阳区八九干渠排水综合治理工程</w:t>
            </w:r>
          </w:p>
        </w:tc>
        <w:tc>
          <w:tcPr>
            <w:tcW w:w="8880" w:type="dxa"/>
            <w:shd w:val="clear" w:color="000000" w:fill="FFFFFF"/>
            <w:vAlign w:val="center"/>
          </w:tcPr>
          <w:p w14:paraId="38D2DD5A">
            <w:pPr>
              <w:pStyle w:val="41"/>
              <w:rPr>
                <w:rFonts w:hint="eastAsia"/>
              </w:rPr>
            </w:pPr>
            <w:r>
              <w:rPr>
                <w:rFonts w:hint="eastAsia"/>
              </w:rPr>
              <w:t>主要对八干渠下段进行清淤疏浚，对九干渠排水进行综合整治。其中，八干渠清淤7.34千米、八干渠岸坡整治3千米及维修彭庄闸、新建九干渠扬水泵站3座。</w:t>
            </w:r>
          </w:p>
        </w:tc>
        <w:tc>
          <w:tcPr>
            <w:tcW w:w="1499" w:type="dxa"/>
            <w:shd w:val="clear" w:color="000000" w:fill="FFFFFF"/>
            <w:vAlign w:val="center"/>
          </w:tcPr>
          <w:p w14:paraId="0C82AAC7">
            <w:pPr>
              <w:pStyle w:val="41"/>
              <w:rPr>
                <w:rFonts w:hint="eastAsia"/>
              </w:rPr>
            </w:pPr>
            <w:r>
              <w:rPr>
                <w:rFonts w:hint="eastAsia"/>
              </w:rPr>
              <w:t>广阳区水利局</w:t>
            </w:r>
          </w:p>
        </w:tc>
      </w:tr>
      <w:tr w14:paraId="328C6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9A5000A">
            <w:pPr>
              <w:pStyle w:val="41"/>
              <w:rPr>
                <w:rFonts w:hint="eastAsia"/>
              </w:rPr>
            </w:pPr>
            <w:r>
              <w:rPr>
                <w:rFonts w:hint="eastAsia"/>
              </w:rPr>
              <w:t>128</w:t>
            </w:r>
          </w:p>
        </w:tc>
        <w:tc>
          <w:tcPr>
            <w:tcW w:w="2023" w:type="dxa"/>
            <w:shd w:val="clear" w:color="000000" w:fill="FFFFFF"/>
            <w:vAlign w:val="center"/>
          </w:tcPr>
          <w:p w14:paraId="79FF5FB0">
            <w:pPr>
              <w:pStyle w:val="41"/>
              <w:rPr>
                <w:rFonts w:hint="eastAsia"/>
              </w:rPr>
            </w:pPr>
            <w:r>
              <w:rPr>
                <w:rFonts w:hint="eastAsia"/>
              </w:rPr>
              <w:t>河北廊坊广阳经济开发区东区管网及配套基础设施建设项目</w:t>
            </w:r>
          </w:p>
        </w:tc>
        <w:tc>
          <w:tcPr>
            <w:tcW w:w="8880" w:type="dxa"/>
            <w:shd w:val="clear" w:color="000000" w:fill="FFFFFF"/>
            <w:vAlign w:val="center"/>
          </w:tcPr>
          <w:p w14:paraId="5506DDE5">
            <w:pPr>
              <w:pStyle w:val="41"/>
              <w:rPr>
                <w:rFonts w:hint="eastAsia"/>
              </w:rPr>
            </w:pPr>
            <w:r>
              <w:rPr>
                <w:rFonts w:hint="eastAsia"/>
              </w:rPr>
              <w:t>项目涉及3个路段，分别为兴运道（敬业路-双业路）、兴业道（新业路-双业路）、敬业路（光明东道-兴业道）。占地面积约9.7742公顷，其中管网及配套道路占地面积约9.2742公顷，雨水泵站占地面积约0.5公顷。项目建设内容主要包括给水管网约3121米，雨水管网约4478米、雨水支管约1620米、雨水泵站1座，污水管网约3967米，再生水管网约1915米，热力管网约2829米，电力管网约3021米，通信管网约2841米，照明灯杆约141基、照明电缆及引线约14579米、箱变1座，并同时配套道路约2425米等相关基础设施。</w:t>
            </w:r>
          </w:p>
        </w:tc>
        <w:tc>
          <w:tcPr>
            <w:tcW w:w="1499" w:type="dxa"/>
            <w:shd w:val="clear" w:color="000000" w:fill="FFFFFF"/>
            <w:vAlign w:val="center"/>
          </w:tcPr>
          <w:p w14:paraId="037B76E2">
            <w:pPr>
              <w:pStyle w:val="41"/>
              <w:rPr>
                <w:rFonts w:hint="eastAsia"/>
              </w:rPr>
            </w:pPr>
            <w:r>
              <w:rPr>
                <w:rFonts w:hint="eastAsia"/>
              </w:rPr>
              <w:t>广阳经开区</w:t>
            </w:r>
          </w:p>
        </w:tc>
      </w:tr>
      <w:tr w14:paraId="3E646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ED84700">
            <w:pPr>
              <w:pStyle w:val="41"/>
              <w:rPr>
                <w:rFonts w:hint="eastAsia"/>
              </w:rPr>
            </w:pPr>
            <w:r>
              <w:rPr>
                <w:rFonts w:hint="eastAsia"/>
              </w:rPr>
              <w:t>129</w:t>
            </w:r>
          </w:p>
        </w:tc>
        <w:tc>
          <w:tcPr>
            <w:tcW w:w="2023" w:type="dxa"/>
            <w:shd w:val="clear" w:color="000000" w:fill="FFFFFF"/>
            <w:vAlign w:val="center"/>
          </w:tcPr>
          <w:p w14:paraId="5A28A776">
            <w:pPr>
              <w:pStyle w:val="41"/>
              <w:rPr>
                <w:rFonts w:hint="eastAsia"/>
              </w:rPr>
            </w:pPr>
            <w:r>
              <w:rPr>
                <w:rFonts w:hint="eastAsia"/>
              </w:rPr>
              <w:t>广阳区永定河北小埝水毁修复工程</w:t>
            </w:r>
          </w:p>
        </w:tc>
        <w:tc>
          <w:tcPr>
            <w:tcW w:w="8880" w:type="dxa"/>
            <w:shd w:val="clear" w:color="000000" w:fill="FFFFFF"/>
            <w:vAlign w:val="center"/>
          </w:tcPr>
          <w:p w14:paraId="64AD3940">
            <w:pPr>
              <w:pStyle w:val="41"/>
              <w:rPr>
                <w:rFonts w:hint="eastAsia"/>
              </w:rPr>
            </w:pPr>
            <w:r>
              <w:rPr>
                <w:rFonts w:hint="eastAsia"/>
              </w:rPr>
              <w:t>对全段（除险工段）约6公里堤身迎水坡进行防护，确保堤防临水安全（1.对北小埝迎水侧堤坡局部采取浆砌石加固，加固总长度约2.47km;2.对堤顶土路按照设计高程修复，路面平整约5.36km)。</w:t>
            </w:r>
          </w:p>
        </w:tc>
        <w:tc>
          <w:tcPr>
            <w:tcW w:w="1499" w:type="dxa"/>
            <w:shd w:val="clear" w:color="000000" w:fill="FFFFFF"/>
            <w:vAlign w:val="center"/>
          </w:tcPr>
          <w:p w14:paraId="647A2EDB">
            <w:pPr>
              <w:pStyle w:val="41"/>
              <w:rPr>
                <w:rFonts w:hint="eastAsia"/>
              </w:rPr>
            </w:pPr>
            <w:r>
              <w:rPr>
                <w:rFonts w:hint="eastAsia"/>
              </w:rPr>
              <w:t>广阳区水利局</w:t>
            </w:r>
          </w:p>
        </w:tc>
      </w:tr>
      <w:tr w14:paraId="19224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C32D524">
            <w:pPr>
              <w:pStyle w:val="41"/>
              <w:rPr>
                <w:rFonts w:hint="eastAsia"/>
              </w:rPr>
            </w:pPr>
            <w:r>
              <w:rPr>
                <w:rFonts w:hint="eastAsia"/>
              </w:rPr>
              <w:t>130</w:t>
            </w:r>
          </w:p>
        </w:tc>
        <w:tc>
          <w:tcPr>
            <w:tcW w:w="2023" w:type="dxa"/>
            <w:shd w:val="clear" w:color="000000" w:fill="FFFFFF"/>
            <w:vAlign w:val="center"/>
          </w:tcPr>
          <w:p w14:paraId="352799C6">
            <w:pPr>
              <w:pStyle w:val="41"/>
              <w:rPr>
                <w:rFonts w:hint="eastAsia"/>
              </w:rPr>
            </w:pPr>
            <w:r>
              <w:rPr>
                <w:rFonts w:hint="eastAsia"/>
              </w:rPr>
              <w:t>广阳区水毁公路恢复重建工程</w:t>
            </w:r>
          </w:p>
        </w:tc>
        <w:tc>
          <w:tcPr>
            <w:tcW w:w="8880" w:type="dxa"/>
            <w:shd w:val="clear" w:color="000000" w:fill="FFFFFF"/>
            <w:vAlign w:val="center"/>
          </w:tcPr>
          <w:p w14:paraId="4B4316A6">
            <w:pPr>
              <w:pStyle w:val="41"/>
              <w:rPr>
                <w:rFonts w:hint="eastAsia"/>
              </w:rPr>
            </w:pPr>
            <w:r>
              <w:rPr>
                <w:rFonts w:hint="eastAsia"/>
              </w:rPr>
              <w:t>广阳区农村公路水毁恢复道路4条，总长度8.2公里。</w:t>
            </w:r>
          </w:p>
        </w:tc>
        <w:tc>
          <w:tcPr>
            <w:tcW w:w="1499" w:type="dxa"/>
            <w:shd w:val="clear" w:color="000000" w:fill="FFFFFF"/>
            <w:vAlign w:val="center"/>
          </w:tcPr>
          <w:p w14:paraId="67C8B059">
            <w:pPr>
              <w:pStyle w:val="41"/>
              <w:rPr>
                <w:rFonts w:hint="eastAsia"/>
              </w:rPr>
            </w:pPr>
            <w:r>
              <w:rPr>
                <w:rFonts w:hint="eastAsia"/>
              </w:rPr>
              <w:t>广阳区交通局下属地方道路事业发展中心</w:t>
            </w:r>
          </w:p>
        </w:tc>
      </w:tr>
      <w:tr w14:paraId="0AD60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2606E4B">
            <w:pPr>
              <w:pStyle w:val="41"/>
              <w:rPr>
                <w:rFonts w:hint="eastAsia"/>
              </w:rPr>
            </w:pPr>
            <w:r>
              <w:rPr>
                <w:rFonts w:hint="eastAsia"/>
              </w:rPr>
              <w:t>131</w:t>
            </w:r>
          </w:p>
        </w:tc>
        <w:tc>
          <w:tcPr>
            <w:tcW w:w="2023" w:type="dxa"/>
            <w:shd w:val="clear" w:color="000000" w:fill="FFFFFF"/>
            <w:vAlign w:val="center"/>
          </w:tcPr>
          <w:p w14:paraId="5874273C">
            <w:pPr>
              <w:pStyle w:val="41"/>
              <w:rPr>
                <w:rFonts w:hint="eastAsia"/>
              </w:rPr>
            </w:pPr>
            <w:r>
              <w:rPr>
                <w:rFonts w:hint="eastAsia"/>
              </w:rPr>
              <w:t>广阳区旧天堂河水毁修复工程</w:t>
            </w:r>
          </w:p>
        </w:tc>
        <w:tc>
          <w:tcPr>
            <w:tcW w:w="8880" w:type="dxa"/>
            <w:shd w:val="clear" w:color="000000" w:fill="FFFFFF"/>
            <w:vAlign w:val="center"/>
          </w:tcPr>
          <w:p w14:paraId="7B120987">
            <w:pPr>
              <w:pStyle w:val="41"/>
              <w:rPr>
                <w:rFonts w:hint="eastAsia"/>
              </w:rPr>
            </w:pPr>
            <w:r>
              <w:rPr>
                <w:rFonts w:hint="eastAsia"/>
              </w:rPr>
              <w:t>对旧天堂河引水口水毁进行岸坡防护，连接至旧天堂河主河槽</w:t>
            </w:r>
          </w:p>
        </w:tc>
        <w:tc>
          <w:tcPr>
            <w:tcW w:w="1499" w:type="dxa"/>
            <w:shd w:val="clear" w:color="000000" w:fill="FFFFFF"/>
            <w:vAlign w:val="center"/>
          </w:tcPr>
          <w:p w14:paraId="7E046CFC">
            <w:pPr>
              <w:pStyle w:val="41"/>
              <w:rPr>
                <w:rFonts w:hint="eastAsia"/>
              </w:rPr>
            </w:pPr>
            <w:r>
              <w:rPr>
                <w:rFonts w:hint="eastAsia"/>
              </w:rPr>
              <w:t>广阳区水利局</w:t>
            </w:r>
          </w:p>
        </w:tc>
      </w:tr>
      <w:tr w14:paraId="7ECA3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F623341">
            <w:pPr>
              <w:pStyle w:val="41"/>
              <w:rPr>
                <w:rFonts w:hint="eastAsia"/>
              </w:rPr>
            </w:pPr>
            <w:r>
              <w:rPr>
                <w:rFonts w:hint="eastAsia"/>
              </w:rPr>
              <w:t>132</w:t>
            </w:r>
          </w:p>
        </w:tc>
        <w:tc>
          <w:tcPr>
            <w:tcW w:w="2023" w:type="dxa"/>
            <w:shd w:val="clear" w:color="000000" w:fill="FFFFFF"/>
            <w:vAlign w:val="center"/>
          </w:tcPr>
          <w:p w14:paraId="05552460">
            <w:pPr>
              <w:pStyle w:val="41"/>
              <w:rPr>
                <w:rFonts w:hint="eastAsia"/>
              </w:rPr>
            </w:pPr>
            <w:r>
              <w:rPr>
                <w:rFonts w:hint="eastAsia"/>
              </w:rPr>
              <w:t>广阳区第一污水处理厂项目</w:t>
            </w:r>
          </w:p>
        </w:tc>
        <w:tc>
          <w:tcPr>
            <w:tcW w:w="8880" w:type="dxa"/>
            <w:shd w:val="clear" w:color="000000" w:fill="FFFFFF"/>
            <w:vAlign w:val="center"/>
          </w:tcPr>
          <w:p w14:paraId="2E612F99">
            <w:pPr>
              <w:pStyle w:val="41"/>
              <w:rPr>
                <w:rFonts w:hint="eastAsia"/>
              </w:rPr>
            </w:pPr>
            <w:r>
              <w:rPr>
                <w:rFonts w:hint="eastAsia"/>
              </w:rPr>
              <w:t>本项目总地面积为17972.78㎡（约26.96亩），总建筑面积为5171.88㎡。污水处理厂采用地上集约布置的形式进行建设，建设规模为1.0万吨/日</w:t>
            </w:r>
          </w:p>
        </w:tc>
        <w:tc>
          <w:tcPr>
            <w:tcW w:w="1499" w:type="dxa"/>
            <w:shd w:val="clear" w:color="000000" w:fill="FFFFFF"/>
            <w:vAlign w:val="center"/>
          </w:tcPr>
          <w:p w14:paraId="616BC750">
            <w:pPr>
              <w:pStyle w:val="41"/>
              <w:rPr>
                <w:rFonts w:hint="eastAsia"/>
              </w:rPr>
            </w:pPr>
            <w:r>
              <w:rPr>
                <w:rFonts w:hint="eastAsia"/>
              </w:rPr>
              <w:t>廊坊广阳经开区建设发展有限公司</w:t>
            </w:r>
          </w:p>
        </w:tc>
      </w:tr>
      <w:tr w14:paraId="47DC5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E354D8E">
            <w:pPr>
              <w:pStyle w:val="41"/>
              <w:rPr>
                <w:rFonts w:hint="eastAsia"/>
              </w:rPr>
            </w:pPr>
            <w:r>
              <w:rPr>
                <w:rFonts w:hint="eastAsia"/>
              </w:rPr>
              <w:t>133</w:t>
            </w:r>
          </w:p>
        </w:tc>
        <w:tc>
          <w:tcPr>
            <w:tcW w:w="2023" w:type="dxa"/>
            <w:shd w:val="clear" w:color="000000" w:fill="FFFFFF"/>
            <w:vAlign w:val="center"/>
          </w:tcPr>
          <w:p w14:paraId="4DECFC27">
            <w:pPr>
              <w:pStyle w:val="41"/>
              <w:rPr>
                <w:rFonts w:hint="eastAsia"/>
              </w:rPr>
            </w:pPr>
            <w:r>
              <w:rPr>
                <w:rFonts w:hint="eastAsia"/>
              </w:rPr>
              <w:t>东尖塔棚户区改造项目</w:t>
            </w:r>
          </w:p>
        </w:tc>
        <w:tc>
          <w:tcPr>
            <w:tcW w:w="8880" w:type="dxa"/>
            <w:shd w:val="clear" w:color="000000" w:fill="FFFFFF"/>
            <w:vAlign w:val="center"/>
          </w:tcPr>
          <w:p w14:paraId="17924D85">
            <w:pPr>
              <w:pStyle w:val="41"/>
              <w:rPr>
                <w:rFonts w:hint="eastAsia"/>
              </w:rPr>
            </w:pPr>
            <w:r>
              <w:rPr>
                <w:rFonts w:hint="eastAsia"/>
              </w:rPr>
              <w:t>东尖塔棚户区改造项目，东至建设路，南至纬三路，西至经十三路，北至艺术大道。项目投资8.93亿元，项目用地67.09亩，建筑面积14.61万平米（其中地上面积10.43万平米，地下面积4.18万平米），可建设回迁安置房508套。</w:t>
            </w:r>
          </w:p>
        </w:tc>
        <w:tc>
          <w:tcPr>
            <w:tcW w:w="1499" w:type="dxa"/>
            <w:shd w:val="clear" w:color="000000" w:fill="FFFFFF"/>
            <w:vAlign w:val="center"/>
          </w:tcPr>
          <w:p w14:paraId="62B4A9A0">
            <w:pPr>
              <w:pStyle w:val="41"/>
              <w:rPr>
                <w:rFonts w:hint="eastAsia"/>
              </w:rPr>
            </w:pPr>
            <w:r>
              <w:rPr>
                <w:rFonts w:hint="eastAsia"/>
              </w:rPr>
              <w:t>廊坊市住建局</w:t>
            </w:r>
          </w:p>
        </w:tc>
      </w:tr>
      <w:tr w14:paraId="4B4B9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AD4DB9C">
            <w:pPr>
              <w:pStyle w:val="41"/>
              <w:rPr>
                <w:rFonts w:hint="eastAsia"/>
              </w:rPr>
            </w:pPr>
            <w:r>
              <w:rPr>
                <w:rFonts w:hint="eastAsia"/>
              </w:rPr>
              <w:t>134</w:t>
            </w:r>
          </w:p>
        </w:tc>
        <w:tc>
          <w:tcPr>
            <w:tcW w:w="2023" w:type="dxa"/>
            <w:shd w:val="clear" w:color="000000" w:fill="FFFFFF"/>
            <w:vAlign w:val="center"/>
          </w:tcPr>
          <w:p w14:paraId="02F9E1B8">
            <w:pPr>
              <w:pStyle w:val="41"/>
              <w:rPr>
                <w:rFonts w:hint="eastAsia"/>
              </w:rPr>
            </w:pPr>
            <w:r>
              <w:rPr>
                <w:rFonts w:hint="eastAsia"/>
              </w:rPr>
              <w:t>南甸棚户区改造项目</w:t>
            </w:r>
          </w:p>
        </w:tc>
        <w:tc>
          <w:tcPr>
            <w:tcW w:w="8880" w:type="dxa"/>
            <w:shd w:val="clear" w:color="000000" w:fill="FFFFFF"/>
            <w:vAlign w:val="center"/>
          </w:tcPr>
          <w:p w14:paraId="4754EEA4">
            <w:pPr>
              <w:pStyle w:val="41"/>
              <w:rPr>
                <w:rFonts w:hint="eastAsia"/>
              </w:rPr>
            </w:pPr>
            <w:r>
              <w:rPr>
                <w:rFonts w:hint="eastAsia"/>
              </w:rPr>
              <w:t>南甸棚户区改造项目，东至经六路，南至艺术大道，西至经三路，北至祥云北道。项目用地49.95亩，总投资6.42亿元，建筑面积10.25万平米（其中地上7.61万平米，地下2.64万平米），可建设回迁安置房496套。</w:t>
            </w:r>
          </w:p>
        </w:tc>
        <w:tc>
          <w:tcPr>
            <w:tcW w:w="1499" w:type="dxa"/>
            <w:shd w:val="clear" w:color="000000" w:fill="FFFFFF"/>
            <w:vAlign w:val="center"/>
          </w:tcPr>
          <w:p w14:paraId="2053D629">
            <w:pPr>
              <w:pStyle w:val="41"/>
              <w:rPr>
                <w:rFonts w:hint="eastAsia"/>
              </w:rPr>
            </w:pPr>
            <w:r>
              <w:rPr>
                <w:rFonts w:hint="eastAsia"/>
              </w:rPr>
              <w:t>廊坊市住建局</w:t>
            </w:r>
          </w:p>
        </w:tc>
      </w:tr>
      <w:tr w14:paraId="20AE6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F305C89">
            <w:pPr>
              <w:pStyle w:val="41"/>
              <w:rPr>
                <w:rFonts w:hint="eastAsia"/>
              </w:rPr>
            </w:pPr>
            <w:r>
              <w:rPr>
                <w:rFonts w:hint="eastAsia"/>
              </w:rPr>
              <w:t>135</w:t>
            </w:r>
          </w:p>
        </w:tc>
        <w:tc>
          <w:tcPr>
            <w:tcW w:w="2023" w:type="dxa"/>
            <w:shd w:val="clear" w:color="000000" w:fill="FFFFFF"/>
            <w:vAlign w:val="center"/>
          </w:tcPr>
          <w:p w14:paraId="6D5ACD3B">
            <w:pPr>
              <w:pStyle w:val="41"/>
              <w:rPr>
                <w:rFonts w:hint="eastAsia"/>
              </w:rPr>
            </w:pPr>
            <w:r>
              <w:rPr>
                <w:rFonts w:hint="eastAsia"/>
              </w:rPr>
              <w:t>SK燃爆运动中心项目</w:t>
            </w:r>
          </w:p>
        </w:tc>
        <w:tc>
          <w:tcPr>
            <w:tcW w:w="8880" w:type="dxa"/>
            <w:shd w:val="clear" w:color="000000" w:fill="FFFFFF"/>
            <w:vAlign w:val="center"/>
          </w:tcPr>
          <w:p w14:paraId="4F804BFD">
            <w:pPr>
              <w:pStyle w:val="41"/>
              <w:rPr>
                <w:rFonts w:hint="eastAsia"/>
              </w:rPr>
            </w:pPr>
            <w:r>
              <w:rPr>
                <w:rFonts w:hint="eastAsia"/>
              </w:rPr>
              <w:t>位于新华路和银河路之间的广阳道路段，原新兴重工厂区，由廊坊汇萃健康科技有限公司筹建,总体占地面积80亩,建筑面积约为25000米。旨在建立活力市民文化运动中心,完善城市配套,打造城市运动管理平台,实现满足不同人群运动需求的全民运动中心价值目标。该项目包含室内青训中心、儿童游乐、室内篮羽场馆、室内网球馆、户外7人制足球场、户外露营区、live house酒吧餐饮等八个业态。</w:t>
            </w:r>
          </w:p>
        </w:tc>
        <w:tc>
          <w:tcPr>
            <w:tcW w:w="1499" w:type="dxa"/>
            <w:shd w:val="clear" w:color="000000" w:fill="FFFFFF"/>
            <w:vAlign w:val="center"/>
          </w:tcPr>
          <w:p w14:paraId="07F016FC">
            <w:pPr>
              <w:pStyle w:val="41"/>
              <w:rPr>
                <w:rFonts w:hint="eastAsia"/>
              </w:rPr>
            </w:pPr>
            <w:r>
              <w:rPr>
                <w:rFonts w:hint="eastAsia"/>
              </w:rPr>
              <w:t>廊坊汇萃健康科技有限公司</w:t>
            </w:r>
          </w:p>
        </w:tc>
      </w:tr>
      <w:tr w14:paraId="3221F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ED2241A">
            <w:pPr>
              <w:pStyle w:val="41"/>
              <w:rPr>
                <w:rFonts w:hint="eastAsia"/>
              </w:rPr>
            </w:pPr>
            <w:r>
              <w:rPr>
                <w:rFonts w:hint="eastAsia"/>
              </w:rPr>
              <w:t>136</w:t>
            </w:r>
          </w:p>
        </w:tc>
        <w:tc>
          <w:tcPr>
            <w:tcW w:w="2023" w:type="dxa"/>
            <w:shd w:val="clear" w:color="000000" w:fill="FFFFFF"/>
            <w:vAlign w:val="center"/>
          </w:tcPr>
          <w:p w14:paraId="3EBFE019">
            <w:pPr>
              <w:pStyle w:val="41"/>
              <w:rPr>
                <w:rFonts w:hint="eastAsia"/>
              </w:rPr>
            </w:pPr>
            <w:r>
              <w:rPr>
                <w:rFonts w:hint="eastAsia"/>
              </w:rPr>
              <w:t>南尖塔棚户区改造项目</w:t>
            </w:r>
          </w:p>
        </w:tc>
        <w:tc>
          <w:tcPr>
            <w:tcW w:w="8880" w:type="dxa"/>
            <w:shd w:val="clear" w:color="000000" w:fill="FFFFFF"/>
            <w:vAlign w:val="center"/>
          </w:tcPr>
          <w:p w14:paraId="6204F313">
            <w:pPr>
              <w:pStyle w:val="41"/>
              <w:rPr>
                <w:rFonts w:hint="eastAsia"/>
              </w:rPr>
            </w:pPr>
            <w:r>
              <w:rPr>
                <w:rFonts w:hint="eastAsia"/>
              </w:rPr>
              <w:t>南尖塔棚户区改造项目，东至经十二路，南至纬三路，西至望京大道，北至祥云南道。项目投资5.61亿元，项目用地42.12亩，建筑面积8.10万平米（其中地上5.61万平米，地下2.49万平米），可建设回迁安置房572套。</w:t>
            </w:r>
          </w:p>
        </w:tc>
        <w:tc>
          <w:tcPr>
            <w:tcW w:w="1499" w:type="dxa"/>
            <w:shd w:val="clear" w:color="000000" w:fill="FFFFFF"/>
            <w:vAlign w:val="center"/>
          </w:tcPr>
          <w:p w14:paraId="72EE117E">
            <w:pPr>
              <w:pStyle w:val="41"/>
              <w:rPr>
                <w:rFonts w:hint="eastAsia"/>
              </w:rPr>
            </w:pPr>
            <w:r>
              <w:rPr>
                <w:rFonts w:hint="eastAsia"/>
              </w:rPr>
              <w:t>廊坊市住建局</w:t>
            </w:r>
          </w:p>
        </w:tc>
      </w:tr>
      <w:tr w14:paraId="5703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C020878">
            <w:pPr>
              <w:pStyle w:val="41"/>
              <w:rPr>
                <w:rFonts w:hint="eastAsia"/>
              </w:rPr>
            </w:pPr>
            <w:r>
              <w:rPr>
                <w:rFonts w:hint="eastAsia"/>
              </w:rPr>
              <w:t>137</w:t>
            </w:r>
          </w:p>
        </w:tc>
        <w:tc>
          <w:tcPr>
            <w:tcW w:w="2023" w:type="dxa"/>
            <w:shd w:val="clear" w:color="000000" w:fill="FFFFFF"/>
            <w:vAlign w:val="center"/>
          </w:tcPr>
          <w:p w14:paraId="550BBC75">
            <w:pPr>
              <w:pStyle w:val="41"/>
              <w:rPr>
                <w:rFonts w:hint="eastAsia"/>
              </w:rPr>
            </w:pPr>
            <w:r>
              <w:rPr>
                <w:rFonts w:hint="eastAsia"/>
              </w:rPr>
              <w:t>廊坊北站片区城市更新项目</w:t>
            </w:r>
          </w:p>
        </w:tc>
        <w:tc>
          <w:tcPr>
            <w:tcW w:w="8880" w:type="dxa"/>
            <w:shd w:val="clear" w:color="000000" w:fill="FFFFFF"/>
            <w:vAlign w:val="center"/>
          </w:tcPr>
          <w:p w14:paraId="3E49BEAD">
            <w:pPr>
              <w:pStyle w:val="41"/>
              <w:rPr>
                <w:rFonts w:hint="eastAsia"/>
              </w:rPr>
            </w:pPr>
            <w:r>
              <w:rPr>
                <w:rFonts w:hint="eastAsia"/>
              </w:rPr>
              <w:t>以廊坊东站（后续将更名为廊坊北站）为核心，向北侧进行辐射扩散，具体包括：小哲垡村、后王各庄村以及麻营村三个村街的村址，以及周边区域，总占地面积约为1.5平方公里。按照项目成熟度进行逐个实施，将小哲垡村改造作为一期，后王庄村改造作为二期，麻营村改造作为三期，其他市政配套工程根据推进情况在进行确定。</w:t>
            </w:r>
          </w:p>
        </w:tc>
        <w:tc>
          <w:tcPr>
            <w:tcW w:w="1499" w:type="dxa"/>
            <w:shd w:val="clear" w:color="000000" w:fill="FFFFFF"/>
            <w:vAlign w:val="center"/>
          </w:tcPr>
          <w:p w14:paraId="2E24DB73">
            <w:pPr>
              <w:pStyle w:val="41"/>
              <w:rPr>
                <w:rFonts w:hint="eastAsia"/>
              </w:rPr>
            </w:pPr>
            <w:r>
              <w:rPr>
                <w:rFonts w:hint="eastAsia"/>
              </w:rPr>
              <w:t>中化和平（廊坊）城市开发有限责任公司</w:t>
            </w:r>
          </w:p>
        </w:tc>
      </w:tr>
      <w:tr w14:paraId="6221E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F56AF86">
            <w:pPr>
              <w:pStyle w:val="41"/>
              <w:rPr>
                <w:rFonts w:hint="eastAsia"/>
              </w:rPr>
            </w:pPr>
            <w:r>
              <w:rPr>
                <w:rFonts w:hint="eastAsia"/>
              </w:rPr>
              <w:t>138</w:t>
            </w:r>
          </w:p>
        </w:tc>
        <w:tc>
          <w:tcPr>
            <w:tcW w:w="2023" w:type="dxa"/>
            <w:shd w:val="clear" w:color="000000" w:fill="FFFFFF"/>
            <w:vAlign w:val="center"/>
          </w:tcPr>
          <w:p w14:paraId="7B9872FB">
            <w:pPr>
              <w:pStyle w:val="41"/>
              <w:rPr>
                <w:rFonts w:hint="eastAsia"/>
              </w:rPr>
            </w:pPr>
            <w:r>
              <w:rPr>
                <w:rFonts w:hint="eastAsia"/>
              </w:rPr>
              <w:t>经七路（纬二道—纬六道）工程</w:t>
            </w:r>
          </w:p>
        </w:tc>
        <w:tc>
          <w:tcPr>
            <w:tcW w:w="8880" w:type="dxa"/>
            <w:shd w:val="clear" w:color="000000" w:fill="FFFFFF"/>
            <w:vAlign w:val="center"/>
          </w:tcPr>
          <w:p w14:paraId="227FF614">
            <w:pPr>
              <w:pStyle w:val="41"/>
              <w:rPr>
                <w:rFonts w:hint="eastAsia"/>
              </w:rPr>
            </w:pPr>
            <w:r>
              <w:rPr>
                <w:rFonts w:hint="eastAsia"/>
              </w:rPr>
              <w:t>道路长度约1802米，红线宽度40米，新建市政道路及供水管道、排水管道、供热管道、电力排管、照明工程及交通工程等城市基础设施。</w:t>
            </w:r>
          </w:p>
        </w:tc>
        <w:tc>
          <w:tcPr>
            <w:tcW w:w="1499" w:type="dxa"/>
            <w:shd w:val="clear" w:color="000000" w:fill="FFFFFF"/>
            <w:vAlign w:val="center"/>
          </w:tcPr>
          <w:p w14:paraId="22103083">
            <w:pPr>
              <w:pStyle w:val="41"/>
              <w:rPr>
                <w:rFonts w:hint="eastAsia"/>
              </w:rPr>
            </w:pPr>
            <w:r>
              <w:rPr>
                <w:rFonts w:hint="eastAsia"/>
              </w:rPr>
              <w:t>廊坊经济技术开发区管理委员会</w:t>
            </w:r>
          </w:p>
        </w:tc>
      </w:tr>
      <w:tr w14:paraId="0213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92F59B2">
            <w:pPr>
              <w:pStyle w:val="41"/>
              <w:rPr>
                <w:rFonts w:hint="eastAsia"/>
              </w:rPr>
            </w:pPr>
            <w:r>
              <w:rPr>
                <w:rFonts w:hint="eastAsia"/>
              </w:rPr>
              <w:t>139</w:t>
            </w:r>
          </w:p>
        </w:tc>
        <w:tc>
          <w:tcPr>
            <w:tcW w:w="2023" w:type="dxa"/>
            <w:shd w:val="clear" w:color="000000" w:fill="FFFFFF"/>
            <w:vAlign w:val="center"/>
          </w:tcPr>
          <w:p w14:paraId="3890D549">
            <w:pPr>
              <w:pStyle w:val="41"/>
              <w:rPr>
                <w:rFonts w:hint="eastAsia"/>
              </w:rPr>
            </w:pPr>
            <w:r>
              <w:rPr>
                <w:rFonts w:hint="eastAsia"/>
              </w:rPr>
              <w:t>南水北调配套科技谷无负压加压泵站工程项目综合用房和送水泵房及配电室工程</w:t>
            </w:r>
          </w:p>
        </w:tc>
        <w:tc>
          <w:tcPr>
            <w:tcW w:w="8880" w:type="dxa"/>
            <w:shd w:val="clear" w:color="000000" w:fill="FFFFFF"/>
            <w:vAlign w:val="center"/>
          </w:tcPr>
          <w:p w14:paraId="27532045">
            <w:pPr>
              <w:pStyle w:val="41"/>
              <w:rPr>
                <w:rFonts w:hint="eastAsia"/>
              </w:rPr>
            </w:pPr>
            <w:r>
              <w:rPr>
                <w:rFonts w:hint="eastAsia"/>
              </w:rPr>
              <w:t>30000m/d加压泵站一座，建筑面积940.07m。①新建送水泵房及配电室611.97m、综合用房328.1m';②新建构筑物清水池2座，总容积4000m(2000m/座)。</w:t>
            </w:r>
          </w:p>
        </w:tc>
        <w:tc>
          <w:tcPr>
            <w:tcW w:w="1499" w:type="dxa"/>
            <w:shd w:val="clear" w:color="000000" w:fill="FFFFFF"/>
            <w:vAlign w:val="center"/>
          </w:tcPr>
          <w:p w14:paraId="3B09CD3C">
            <w:pPr>
              <w:pStyle w:val="41"/>
              <w:rPr>
                <w:rFonts w:hint="eastAsia"/>
              </w:rPr>
            </w:pPr>
            <w:r>
              <w:rPr>
                <w:rFonts w:hint="eastAsia"/>
              </w:rPr>
              <w:t>廊坊经济技术开发区供水中心</w:t>
            </w:r>
          </w:p>
        </w:tc>
      </w:tr>
      <w:tr w14:paraId="01852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9629663">
            <w:pPr>
              <w:pStyle w:val="41"/>
              <w:rPr>
                <w:rFonts w:hint="eastAsia"/>
              </w:rPr>
            </w:pPr>
            <w:r>
              <w:rPr>
                <w:rFonts w:hint="eastAsia"/>
              </w:rPr>
              <w:t>140</w:t>
            </w:r>
          </w:p>
        </w:tc>
        <w:tc>
          <w:tcPr>
            <w:tcW w:w="2023" w:type="dxa"/>
            <w:shd w:val="clear" w:color="000000" w:fill="FFFFFF"/>
            <w:vAlign w:val="center"/>
          </w:tcPr>
          <w:p w14:paraId="16303633">
            <w:pPr>
              <w:pStyle w:val="41"/>
              <w:rPr>
                <w:rFonts w:hint="eastAsia"/>
              </w:rPr>
            </w:pPr>
            <w:r>
              <w:rPr>
                <w:rFonts w:hint="eastAsia"/>
              </w:rPr>
              <w:t>廊坊开发区韩胜营村、梨园村棚户区改造项目</w:t>
            </w:r>
          </w:p>
        </w:tc>
        <w:tc>
          <w:tcPr>
            <w:tcW w:w="8880" w:type="dxa"/>
            <w:shd w:val="clear" w:color="000000" w:fill="FFFFFF"/>
            <w:vAlign w:val="center"/>
          </w:tcPr>
          <w:p w14:paraId="529C1207">
            <w:pPr>
              <w:pStyle w:val="41"/>
              <w:rPr>
                <w:rFonts w:hint="eastAsia"/>
              </w:rPr>
            </w:pPr>
            <w:r>
              <w:rPr>
                <w:rFonts w:hint="eastAsia"/>
              </w:rPr>
              <w:t>项目位于东安路以东、艺术大道以南、梨园路以西、北凤道以北，涉及回迁户1437户。</w:t>
            </w:r>
          </w:p>
        </w:tc>
        <w:tc>
          <w:tcPr>
            <w:tcW w:w="1499" w:type="dxa"/>
            <w:shd w:val="clear" w:color="000000" w:fill="FFFFFF"/>
            <w:vAlign w:val="center"/>
          </w:tcPr>
          <w:p w14:paraId="486C65AB">
            <w:pPr>
              <w:pStyle w:val="41"/>
              <w:rPr>
                <w:rFonts w:hint="eastAsia"/>
              </w:rPr>
            </w:pPr>
            <w:r>
              <w:rPr>
                <w:rFonts w:hint="eastAsia"/>
              </w:rPr>
              <w:t>廊坊经济技术开发区管理委员会</w:t>
            </w:r>
          </w:p>
        </w:tc>
      </w:tr>
      <w:tr w14:paraId="58AE6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BB9FD74">
            <w:pPr>
              <w:pStyle w:val="41"/>
              <w:rPr>
                <w:rFonts w:hint="eastAsia"/>
              </w:rPr>
            </w:pPr>
            <w:r>
              <w:rPr>
                <w:rFonts w:hint="eastAsia"/>
              </w:rPr>
              <w:t>141</w:t>
            </w:r>
          </w:p>
        </w:tc>
        <w:tc>
          <w:tcPr>
            <w:tcW w:w="2023" w:type="dxa"/>
            <w:shd w:val="clear" w:color="000000" w:fill="FFFFFF"/>
            <w:vAlign w:val="center"/>
          </w:tcPr>
          <w:p w14:paraId="593D3085">
            <w:pPr>
              <w:pStyle w:val="41"/>
              <w:rPr>
                <w:rFonts w:hint="eastAsia"/>
              </w:rPr>
            </w:pPr>
            <w:r>
              <w:rPr>
                <w:rFonts w:hint="eastAsia"/>
              </w:rPr>
              <w:t>三号路（桐西路-渠东路）工程</w:t>
            </w:r>
          </w:p>
        </w:tc>
        <w:tc>
          <w:tcPr>
            <w:tcW w:w="8880" w:type="dxa"/>
            <w:shd w:val="clear" w:color="000000" w:fill="FFFFFF"/>
            <w:vAlign w:val="center"/>
          </w:tcPr>
          <w:p w14:paraId="1B7B3A8E">
            <w:pPr>
              <w:pStyle w:val="41"/>
              <w:rPr>
                <w:rFonts w:hint="eastAsia"/>
              </w:rPr>
            </w:pPr>
            <w:r>
              <w:rPr>
                <w:rFonts w:hint="eastAsia"/>
              </w:rPr>
              <w:t>道路长度约610米，红线宽度30米，新建市政道路及供水管道、排水管道、供热管道、电力排管，照明工程及交通工程等城市基础设施。</w:t>
            </w:r>
          </w:p>
        </w:tc>
        <w:tc>
          <w:tcPr>
            <w:tcW w:w="1499" w:type="dxa"/>
            <w:shd w:val="clear" w:color="000000" w:fill="FFFFFF"/>
            <w:vAlign w:val="center"/>
          </w:tcPr>
          <w:p w14:paraId="61822410">
            <w:pPr>
              <w:pStyle w:val="41"/>
              <w:rPr>
                <w:rFonts w:hint="eastAsia"/>
              </w:rPr>
            </w:pPr>
            <w:r>
              <w:rPr>
                <w:rFonts w:hint="eastAsia"/>
              </w:rPr>
              <w:t>廊坊经济技术开发区管理委员会</w:t>
            </w:r>
          </w:p>
        </w:tc>
      </w:tr>
      <w:tr w14:paraId="7F55B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5F69ADF">
            <w:pPr>
              <w:pStyle w:val="41"/>
              <w:rPr>
                <w:rFonts w:hint="eastAsia"/>
              </w:rPr>
            </w:pPr>
            <w:r>
              <w:rPr>
                <w:rFonts w:hint="eastAsia"/>
              </w:rPr>
              <w:t>142</w:t>
            </w:r>
          </w:p>
        </w:tc>
        <w:tc>
          <w:tcPr>
            <w:tcW w:w="2023" w:type="dxa"/>
            <w:shd w:val="clear" w:color="000000" w:fill="FFFFFF"/>
            <w:vAlign w:val="center"/>
          </w:tcPr>
          <w:p w14:paraId="50A02B29">
            <w:pPr>
              <w:pStyle w:val="41"/>
              <w:rPr>
                <w:rFonts w:hint="eastAsia"/>
              </w:rPr>
            </w:pPr>
            <w:r>
              <w:rPr>
                <w:rFonts w:hint="eastAsia"/>
              </w:rPr>
              <w:t>南营村排水管道八米渠改造</w:t>
            </w:r>
          </w:p>
        </w:tc>
        <w:tc>
          <w:tcPr>
            <w:tcW w:w="8880" w:type="dxa"/>
            <w:shd w:val="clear" w:color="000000" w:fill="FFFFFF"/>
            <w:vAlign w:val="center"/>
          </w:tcPr>
          <w:p w14:paraId="2BA4AF0B">
            <w:pPr>
              <w:pStyle w:val="41"/>
              <w:rPr>
                <w:rFonts w:hint="eastAsia"/>
              </w:rPr>
            </w:pPr>
            <w:r>
              <w:rPr>
                <w:rFonts w:hint="eastAsia"/>
              </w:rPr>
              <w:t>主要用于由于水体污染解决八米渠异味问题，经过两轮会议共同讨论，提出南营村排水管道及八米渠改造工程。实现改善水生态环境的目标。</w:t>
            </w:r>
            <w:r>
              <w:rPr>
                <w:rFonts w:hint="eastAsia"/>
              </w:rPr>
              <w:br w:type="textWrapping"/>
            </w:r>
            <w:r>
              <w:rPr>
                <w:rFonts w:hint="eastAsia"/>
              </w:rPr>
              <w:t>本工程为廊坊开发区南营村排水管道及八米渠渠道清淤工程，管道工程北起村庄东侧现状管涵，南至村庄污水处理站南侧现状路，清淤工程北起村庄污水处理站南侧现状路南至天津界。</w:t>
            </w:r>
          </w:p>
        </w:tc>
        <w:tc>
          <w:tcPr>
            <w:tcW w:w="1499" w:type="dxa"/>
            <w:shd w:val="clear" w:color="000000" w:fill="FFFFFF"/>
            <w:vAlign w:val="center"/>
          </w:tcPr>
          <w:p w14:paraId="67DC0918">
            <w:pPr>
              <w:pStyle w:val="41"/>
              <w:rPr>
                <w:rFonts w:hint="eastAsia"/>
              </w:rPr>
            </w:pPr>
            <w:r>
              <w:rPr>
                <w:rFonts w:hint="eastAsia"/>
              </w:rPr>
              <w:t>廊坊经济技术开发区管理委员会</w:t>
            </w:r>
          </w:p>
        </w:tc>
      </w:tr>
      <w:tr w14:paraId="738F7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76F8F1D">
            <w:pPr>
              <w:pStyle w:val="41"/>
              <w:rPr>
                <w:rFonts w:hint="eastAsia"/>
              </w:rPr>
            </w:pPr>
            <w:r>
              <w:rPr>
                <w:rFonts w:hint="eastAsia"/>
              </w:rPr>
              <w:t>143</w:t>
            </w:r>
          </w:p>
        </w:tc>
        <w:tc>
          <w:tcPr>
            <w:tcW w:w="2023" w:type="dxa"/>
            <w:shd w:val="clear" w:color="000000" w:fill="FFFFFF"/>
            <w:vAlign w:val="center"/>
          </w:tcPr>
          <w:p w14:paraId="2DD20F7F">
            <w:pPr>
              <w:pStyle w:val="41"/>
              <w:rPr>
                <w:rFonts w:hint="eastAsia"/>
              </w:rPr>
            </w:pPr>
            <w:r>
              <w:rPr>
                <w:rFonts w:hint="eastAsia"/>
              </w:rPr>
              <w:t>楼庄路（金源道-花园道）工程</w:t>
            </w:r>
          </w:p>
        </w:tc>
        <w:tc>
          <w:tcPr>
            <w:tcW w:w="8880" w:type="dxa"/>
            <w:shd w:val="clear" w:color="000000" w:fill="FFFFFF"/>
            <w:vAlign w:val="center"/>
          </w:tcPr>
          <w:p w14:paraId="6EA94B4F">
            <w:pPr>
              <w:pStyle w:val="41"/>
              <w:rPr>
                <w:rFonts w:hint="eastAsia"/>
              </w:rPr>
            </w:pPr>
            <w:r>
              <w:rPr>
                <w:rFonts w:hint="eastAsia"/>
              </w:rPr>
              <w:t>道路长度约695米，道路宽度40米。新建市政道路及供水管道、排水管道、供热管道、电力排管，照明工程及交通工程等城市基础设施。</w:t>
            </w:r>
          </w:p>
        </w:tc>
        <w:tc>
          <w:tcPr>
            <w:tcW w:w="1499" w:type="dxa"/>
            <w:shd w:val="clear" w:color="000000" w:fill="FFFFFF"/>
            <w:vAlign w:val="center"/>
          </w:tcPr>
          <w:p w14:paraId="6FBAFD2C">
            <w:pPr>
              <w:pStyle w:val="41"/>
              <w:rPr>
                <w:rFonts w:hint="eastAsia"/>
              </w:rPr>
            </w:pPr>
            <w:r>
              <w:rPr>
                <w:rFonts w:hint="eastAsia"/>
              </w:rPr>
              <w:t>廊坊经济技术开发区管理委员会</w:t>
            </w:r>
          </w:p>
        </w:tc>
      </w:tr>
      <w:tr w14:paraId="357A9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627BAA45">
            <w:pPr>
              <w:pStyle w:val="41"/>
              <w:rPr>
                <w:rFonts w:hint="eastAsia"/>
              </w:rPr>
            </w:pPr>
            <w:r>
              <w:rPr>
                <w:rFonts w:hint="eastAsia"/>
              </w:rPr>
              <w:t>144</w:t>
            </w:r>
          </w:p>
        </w:tc>
        <w:tc>
          <w:tcPr>
            <w:tcW w:w="2023" w:type="dxa"/>
            <w:shd w:val="clear" w:color="000000" w:fill="FFFFFF"/>
            <w:vAlign w:val="center"/>
          </w:tcPr>
          <w:p w14:paraId="3D400809">
            <w:pPr>
              <w:pStyle w:val="41"/>
              <w:rPr>
                <w:rFonts w:hint="eastAsia"/>
              </w:rPr>
            </w:pPr>
            <w:r>
              <w:rPr>
                <w:rFonts w:hint="eastAsia"/>
              </w:rPr>
              <w:t>华祥路（北凤道-翠青北道）、金源道（华祥路-创业路）排水改造工程</w:t>
            </w:r>
          </w:p>
        </w:tc>
        <w:tc>
          <w:tcPr>
            <w:tcW w:w="8880" w:type="dxa"/>
            <w:shd w:val="clear" w:color="000000" w:fill="FFFFFF"/>
            <w:vAlign w:val="center"/>
          </w:tcPr>
          <w:p w14:paraId="5C811B7B">
            <w:pPr>
              <w:pStyle w:val="41"/>
              <w:rPr>
                <w:rFonts w:hint="eastAsia"/>
              </w:rPr>
            </w:pPr>
            <w:r>
              <w:rPr>
                <w:rFonts w:hint="eastAsia"/>
              </w:rPr>
              <w:t>华祥路（北凤道-翠青北道）、金源道（华祥路-创业路）排水改造，道路长度3517米，主要内容包括新建DN1000污水主管网及入户连接管、恢复道路等。</w:t>
            </w:r>
          </w:p>
        </w:tc>
        <w:tc>
          <w:tcPr>
            <w:tcW w:w="1499" w:type="dxa"/>
            <w:shd w:val="clear" w:color="000000" w:fill="FFFFFF"/>
            <w:vAlign w:val="center"/>
          </w:tcPr>
          <w:p w14:paraId="60083232">
            <w:pPr>
              <w:pStyle w:val="41"/>
              <w:rPr>
                <w:rFonts w:hint="eastAsia"/>
              </w:rPr>
            </w:pPr>
            <w:r>
              <w:rPr>
                <w:rFonts w:hint="eastAsia"/>
              </w:rPr>
              <w:t>廊坊经济技术开发区管理委员会</w:t>
            </w:r>
          </w:p>
        </w:tc>
      </w:tr>
      <w:tr w14:paraId="49336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3A723429">
            <w:pPr>
              <w:pStyle w:val="41"/>
              <w:rPr>
                <w:rFonts w:hint="eastAsia"/>
              </w:rPr>
            </w:pPr>
            <w:r>
              <w:rPr>
                <w:rFonts w:hint="eastAsia"/>
              </w:rPr>
              <w:t>145</w:t>
            </w:r>
          </w:p>
        </w:tc>
        <w:tc>
          <w:tcPr>
            <w:tcW w:w="2023" w:type="dxa"/>
            <w:shd w:val="clear" w:color="000000" w:fill="FFFFFF"/>
            <w:vAlign w:val="center"/>
          </w:tcPr>
          <w:p w14:paraId="4A47E967">
            <w:pPr>
              <w:pStyle w:val="41"/>
              <w:rPr>
                <w:rFonts w:hint="eastAsia"/>
              </w:rPr>
            </w:pPr>
            <w:r>
              <w:rPr>
                <w:rFonts w:hint="eastAsia"/>
              </w:rPr>
              <w:t>桐西路（三号路-桐北路）工程</w:t>
            </w:r>
          </w:p>
        </w:tc>
        <w:tc>
          <w:tcPr>
            <w:tcW w:w="8880" w:type="dxa"/>
            <w:shd w:val="clear" w:color="000000" w:fill="FFFFFF"/>
            <w:vAlign w:val="center"/>
          </w:tcPr>
          <w:p w14:paraId="43D1EC75">
            <w:pPr>
              <w:pStyle w:val="41"/>
              <w:rPr>
                <w:rFonts w:hint="eastAsia"/>
              </w:rPr>
            </w:pPr>
            <w:r>
              <w:rPr>
                <w:rFonts w:hint="eastAsia"/>
              </w:rPr>
              <w:t>道路长度约780米，红线宽度40米。新建市政道路及供水管道、排水管道、供热管道、电力排管，照明工程及交通工程等城市基础设施。</w:t>
            </w:r>
          </w:p>
        </w:tc>
        <w:tc>
          <w:tcPr>
            <w:tcW w:w="1499" w:type="dxa"/>
            <w:shd w:val="clear" w:color="000000" w:fill="FFFFFF"/>
            <w:vAlign w:val="center"/>
          </w:tcPr>
          <w:p w14:paraId="67692EC0">
            <w:pPr>
              <w:pStyle w:val="41"/>
              <w:rPr>
                <w:rFonts w:hint="eastAsia"/>
              </w:rPr>
            </w:pPr>
            <w:r>
              <w:rPr>
                <w:rFonts w:hint="eastAsia"/>
              </w:rPr>
              <w:t>廊坊经济技术开发区管理委员会</w:t>
            </w:r>
          </w:p>
        </w:tc>
      </w:tr>
      <w:tr w14:paraId="5C3CA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54A8EE06">
            <w:pPr>
              <w:pStyle w:val="41"/>
              <w:rPr>
                <w:rFonts w:hint="eastAsia"/>
              </w:rPr>
            </w:pPr>
            <w:r>
              <w:rPr>
                <w:rFonts w:hint="eastAsia"/>
              </w:rPr>
              <w:t>146</w:t>
            </w:r>
          </w:p>
        </w:tc>
        <w:tc>
          <w:tcPr>
            <w:tcW w:w="2023" w:type="dxa"/>
            <w:shd w:val="clear" w:color="000000" w:fill="FFFFFF"/>
            <w:vAlign w:val="center"/>
          </w:tcPr>
          <w:p w14:paraId="6FC02FB9">
            <w:pPr>
              <w:pStyle w:val="41"/>
              <w:rPr>
                <w:rFonts w:hint="eastAsia"/>
              </w:rPr>
            </w:pPr>
            <w:r>
              <w:rPr>
                <w:rFonts w:hint="eastAsia"/>
              </w:rPr>
              <w:t>桐北路（楼庄路-桐西路）工程</w:t>
            </w:r>
          </w:p>
        </w:tc>
        <w:tc>
          <w:tcPr>
            <w:tcW w:w="8880" w:type="dxa"/>
            <w:shd w:val="clear" w:color="000000" w:fill="FFFFFF"/>
            <w:vAlign w:val="center"/>
          </w:tcPr>
          <w:p w14:paraId="3AF3BA5A">
            <w:pPr>
              <w:pStyle w:val="41"/>
              <w:rPr>
                <w:rFonts w:hint="eastAsia"/>
              </w:rPr>
            </w:pPr>
            <w:r>
              <w:rPr>
                <w:rFonts w:hint="eastAsia"/>
              </w:rPr>
              <w:t>道路长度约1180米，红线宽度40米。新建市政道路及供水管道、排水管道、供热管道、电力排管，照明工程及交通工程等城市基础设施。</w:t>
            </w:r>
          </w:p>
        </w:tc>
        <w:tc>
          <w:tcPr>
            <w:tcW w:w="1499" w:type="dxa"/>
            <w:shd w:val="clear" w:color="000000" w:fill="FFFFFF"/>
            <w:vAlign w:val="center"/>
          </w:tcPr>
          <w:p w14:paraId="3340E923">
            <w:pPr>
              <w:pStyle w:val="41"/>
              <w:rPr>
                <w:rFonts w:hint="eastAsia"/>
              </w:rPr>
            </w:pPr>
            <w:r>
              <w:rPr>
                <w:rFonts w:hint="eastAsia"/>
              </w:rPr>
              <w:t>廊坊经济技术开发区管理委员会</w:t>
            </w:r>
          </w:p>
        </w:tc>
      </w:tr>
      <w:tr w14:paraId="3DEC0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1CE29491">
            <w:pPr>
              <w:pStyle w:val="41"/>
              <w:rPr>
                <w:rFonts w:hint="eastAsia"/>
              </w:rPr>
            </w:pPr>
            <w:r>
              <w:rPr>
                <w:rFonts w:hint="eastAsia"/>
              </w:rPr>
              <w:t>147</w:t>
            </w:r>
          </w:p>
        </w:tc>
        <w:tc>
          <w:tcPr>
            <w:tcW w:w="2023" w:type="dxa"/>
            <w:shd w:val="clear" w:color="000000" w:fill="FFFFFF"/>
            <w:vAlign w:val="center"/>
          </w:tcPr>
          <w:p w14:paraId="3B6A4FE6">
            <w:pPr>
              <w:pStyle w:val="41"/>
              <w:rPr>
                <w:rFonts w:hint="eastAsia"/>
              </w:rPr>
            </w:pPr>
            <w:r>
              <w:rPr>
                <w:rFonts w:hint="eastAsia"/>
              </w:rPr>
              <w:t>廊坊经开区智慧供应链结算中心建设项目</w:t>
            </w:r>
          </w:p>
        </w:tc>
        <w:tc>
          <w:tcPr>
            <w:tcW w:w="8880" w:type="dxa"/>
            <w:shd w:val="clear" w:color="000000" w:fill="FFFFFF"/>
            <w:vAlign w:val="center"/>
          </w:tcPr>
          <w:p w14:paraId="7888007F">
            <w:pPr>
              <w:pStyle w:val="41"/>
              <w:rPr>
                <w:rFonts w:hint="eastAsia"/>
              </w:rPr>
            </w:pPr>
            <w:r>
              <w:rPr>
                <w:rFonts w:hint="eastAsia"/>
              </w:rPr>
              <w:t>工程包括3栋两层坡道物流仓库,1栋两层电梯物流仓库，1座高架平台，1座集卡坡道，1栋单层设备用房，1栋单层门卫以及2座自行车棚，总建筑面积120704平方米。</w:t>
            </w:r>
          </w:p>
        </w:tc>
        <w:tc>
          <w:tcPr>
            <w:tcW w:w="1499" w:type="dxa"/>
            <w:shd w:val="clear" w:color="000000" w:fill="FFFFFF"/>
            <w:vAlign w:val="center"/>
          </w:tcPr>
          <w:p w14:paraId="1487EF17">
            <w:pPr>
              <w:pStyle w:val="41"/>
              <w:rPr>
                <w:rFonts w:hint="eastAsia"/>
              </w:rPr>
            </w:pPr>
            <w:r>
              <w:rPr>
                <w:rFonts w:hint="eastAsia"/>
              </w:rPr>
              <w:t>廊坊中棉仓储有限公司</w:t>
            </w:r>
          </w:p>
        </w:tc>
      </w:tr>
      <w:tr w14:paraId="67911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2408AEC6">
            <w:pPr>
              <w:pStyle w:val="41"/>
              <w:rPr>
                <w:rFonts w:hint="eastAsia"/>
              </w:rPr>
            </w:pPr>
            <w:r>
              <w:rPr>
                <w:rFonts w:hint="eastAsia"/>
              </w:rPr>
              <w:t>148</w:t>
            </w:r>
          </w:p>
        </w:tc>
        <w:tc>
          <w:tcPr>
            <w:tcW w:w="2023" w:type="dxa"/>
            <w:shd w:val="clear" w:color="000000" w:fill="FFFFFF"/>
            <w:vAlign w:val="center"/>
          </w:tcPr>
          <w:p w14:paraId="7C259CBF">
            <w:pPr>
              <w:pStyle w:val="41"/>
              <w:rPr>
                <w:rFonts w:hint="eastAsia"/>
              </w:rPr>
            </w:pPr>
            <w:r>
              <w:rPr>
                <w:rFonts w:hint="eastAsia"/>
              </w:rPr>
              <w:t>凤河雨水泵站二期工程</w:t>
            </w:r>
          </w:p>
        </w:tc>
        <w:tc>
          <w:tcPr>
            <w:tcW w:w="8880" w:type="dxa"/>
            <w:shd w:val="clear" w:color="000000" w:fill="FFFFFF"/>
            <w:vAlign w:val="center"/>
          </w:tcPr>
          <w:p w14:paraId="49FB3BC7">
            <w:pPr>
              <w:pStyle w:val="41"/>
              <w:rPr>
                <w:rFonts w:hint="eastAsia"/>
              </w:rPr>
            </w:pPr>
            <w:r>
              <w:rPr>
                <w:rFonts w:hint="eastAsia"/>
              </w:rPr>
              <w:t>建设内容包括进水方涵、进水闸门井、进水前池、格栅渠、集水池、出水方涵、排水泵及配电设施等。设计规模为15立方米每秒。</w:t>
            </w:r>
          </w:p>
        </w:tc>
        <w:tc>
          <w:tcPr>
            <w:tcW w:w="1499" w:type="dxa"/>
            <w:shd w:val="clear" w:color="000000" w:fill="FFFFFF"/>
            <w:vAlign w:val="center"/>
          </w:tcPr>
          <w:p w14:paraId="46312CD1">
            <w:pPr>
              <w:pStyle w:val="41"/>
              <w:rPr>
                <w:rFonts w:hint="eastAsia"/>
              </w:rPr>
            </w:pPr>
            <w:r>
              <w:rPr>
                <w:rFonts w:hint="eastAsia"/>
              </w:rPr>
              <w:t>廊坊经济技术开发区管理委员会</w:t>
            </w:r>
          </w:p>
        </w:tc>
      </w:tr>
      <w:tr w14:paraId="14757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81" w:type="dxa"/>
            <w:shd w:val="clear" w:color="000000" w:fill="FFFFFF"/>
            <w:vAlign w:val="center"/>
          </w:tcPr>
          <w:p w14:paraId="44B292C4">
            <w:pPr>
              <w:pStyle w:val="41"/>
              <w:rPr>
                <w:rFonts w:hint="eastAsia"/>
              </w:rPr>
            </w:pPr>
            <w:r>
              <w:rPr>
                <w:rFonts w:hint="eastAsia"/>
              </w:rPr>
              <w:t>149</w:t>
            </w:r>
          </w:p>
        </w:tc>
        <w:tc>
          <w:tcPr>
            <w:tcW w:w="2023" w:type="dxa"/>
            <w:shd w:val="clear" w:color="000000" w:fill="FFFFFF"/>
            <w:vAlign w:val="center"/>
          </w:tcPr>
          <w:p w14:paraId="11B5431F">
            <w:pPr>
              <w:pStyle w:val="41"/>
              <w:rPr>
                <w:rFonts w:hint="eastAsia"/>
              </w:rPr>
            </w:pPr>
            <w:r>
              <w:rPr>
                <w:rFonts w:hint="eastAsia"/>
              </w:rPr>
              <w:t>廊坊市开发区祥云道公共智能停车场1#附属配套楼工程</w:t>
            </w:r>
          </w:p>
        </w:tc>
        <w:tc>
          <w:tcPr>
            <w:tcW w:w="8880" w:type="dxa"/>
            <w:shd w:val="clear" w:color="000000" w:fill="FFFFFF"/>
            <w:vAlign w:val="center"/>
          </w:tcPr>
          <w:p w14:paraId="71DCAE89">
            <w:pPr>
              <w:pStyle w:val="41"/>
              <w:rPr>
                <w:rFonts w:hint="eastAsia"/>
              </w:rPr>
            </w:pPr>
            <w:r>
              <w:rPr>
                <w:rFonts w:hint="eastAsia"/>
              </w:rPr>
              <w:t>地下一层、地上四层、局部五层，总建筑面积为18360㎡，占地面积为14043㎡。停车位467个。</w:t>
            </w:r>
          </w:p>
        </w:tc>
        <w:tc>
          <w:tcPr>
            <w:tcW w:w="1499" w:type="dxa"/>
            <w:shd w:val="clear" w:color="000000" w:fill="FFFFFF"/>
            <w:vAlign w:val="center"/>
          </w:tcPr>
          <w:p w14:paraId="3A20B967">
            <w:pPr>
              <w:pStyle w:val="41"/>
              <w:rPr>
                <w:rFonts w:hint="eastAsia"/>
              </w:rPr>
            </w:pPr>
            <w:r>
              <w:rPr>
                <w:rFonts w:hint="eastAsia"/>
              </w:rPr>
              <w:t>廊坊保航智能停车管理有限公司</w:t>
            </w:r>
          </w:p>
        </w:tc>
      </w:tr>
    </w:tbl>
    <w:p w14:paraId="78D00EC9">
      <w:pPr>
        <w:ind w:firstLine="0" w:firstLineChars="0"/>
        <w:rPr>
          <w:rFonts w:hint="eastAsia"/>
        </w:rPr>
      </w:pPr>
    </w:p>
    <w:sectPr>
      <w:pgSz w:w="16838" w:h="11906" w:orient="landscape"/>
      <w:pgMar w:top="1803" w:right="1440" w:bottom="1803" w:left="14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802457A-2497-4BF3-9580-F8447BEC894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8FF640A6-DF11-4BD6-ABBE-AE3F42A14F99}"/>
  </w:font>
  <w:font w:name="方正楷体_GBK">
    <w:panose1 w:val="03000509000000000000"/>
    <w:charset w:val="86"/>
    <w:family w:val="script"/>
    <w:pitch w:val="default"/>
    <w:sig w:usb0="00000001" w:usb1="080E0000" w:usb2="00000000" w:usb3="00000000" w:csb0="00040000" w:csb1="00000000"/>
    <w:embedRegular r:id="rId3" w:fontKey="{F590B7AB-C9E0-4753-9111-9EA55991DD3E}"/>
  </w:font>
  <w:font w:name="方正仿宋_GBK">
    <w:panose1 w:val="03000509000000000000"/>
    <w:charset w:val="86"/>
    <w:family w:val="script"/>
    <w:pitch w:val="default"/>
    <w:sig w:usb0="00000001" w:usb1="080E0000" w:usb2="00000000" w:usb3="00000000" w:csb0="00040000" w:csb1="00000000"/>
    <w:embedRegular r:id="rId4" w:fontKey="{E3C974BF-623E-4A7D-9AB8-6AAFD8A54B57}"/>
  </w:font>
  <w:font w:name="方正小标宋_GBK">
    <w:panose1 w:val="03000509000000000000"/>
    <w:charset w:val="86"/>
    <w:family w:val="script"/>
    <w:pitch w:val="default"/>
    <w:sig w:usb0="00000001" w:usb1="080E0000" w:usb2="00000000" w:usb3="00000000" w:csb0="00040000" w:csb1="00000000"/>
    <w:embedRegular r:id="rId5" w:fontKey="{323F530E-790A-44DD-986C-9C90EF88CA2D}"/>
  </w:font>
  <w:font w:name="方正黑体_GBK">
    <w:panose1 w:val="03000509000000000000"/>
    <w:charset w:val="86"/>
    <w:family w:val="script"/>
    <w:pitch w:val="default"/>
    <w:sig w:usb0="00000001" w:usb1="080E0000" w:usb2="00000000" w:usb3="00000000" w:csb0="00040000" w:csb1="00000000"/>
    <w:embedRegular r:id="rId6" w:fontKey="{819EA514-76FE-4AC3-BA5E-D78000C63756}"/>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7" w:fontKey="{3C762B67-C4AC-48E5-BD5B-00E6A716714C}"/>
  </w:font>
  <w:font w:name="仿宋">
    <w:panose1 w:val="02010609060101010101"/>
    <w:charset w:val="86"/>
    <w:family w:val="modern"/>
    <w:pitch w:val="default"/>
    <w:sig w:usb0="800002BF" w:usb1="38CF7CFA" w:usb2="00000016" w:usb3="00000000" w:csb0="00040001" w:csb1="00000000"/>
    <w:embedRegular r:id="rId8" w:fontKey="{96A8E390-3220-431B-B71F-BD69C5E6BEEA}"/>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embedRegular r:id="rId9" w:fontKey="{B363814D-C097-466D-B740-2DF0D6286E31}"/>
  </w:font>
  <w:font w:name="方正粗黑宋简体">
    <w:panose1 w:val="02000000000000000000"/>
    <w:charset w:val="86"/>
    <w:family w:val="auto"/>
    <w:pitch w:val="default"/>
    <w:sig w:usb0="A00002BF" w:usb1="184F6CFA" w:usb2="00000012" w:usb3="00000000" w:csb0="00040001" w:csb1="00000000"/>
    <w:embedRegular r:id="rId10" w:fontKey="{A322ED0A-71DF-42BF-A25F-3FC045E37057}"/>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FE833">
    <w:pPr>
      <w:tabs>
        <w:tab w:val="center" w:pos="4153"/>
        <w:tab w:val="right" w:pos="8306"/>
      </w:tabs>
      <w:snapToGrid w:val="0"/>
      <w:ind w:firstLine="360"/>
      <w:jc w:val="left"/>
      <w:rPr>
        <w:rFonts w:ascii="Calibri" w:hAnsi="Calibri" w:eastAsia="宋体" w:cs="Times New Roman"/>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01AE6">
    <w:pPr>
      <w:pStyle w:val="18"/>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F8FB3">
    <w:pPr>
      <w:tabs>
        <w:tab w:val="center" w:pos="4153"/>
        <w:tab w:val="right" w:pos="8306"/>
      </w:tabs>
      <w:snapToGrid w:val="0"/>
      <w:ind w:firstLine="360"/>
      <w:jc w:val="left"/>
      <w:rPr>
        <w:rFonts w:ascii="Calibri" w:hAnsi="Calibri" w:eastAsia="宋体" w:cs="Times New Roman"/>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8C579">
    <w:pPr>
      <w:tabs>
        <w:tab w:val="center" w:pos="4153"/>
        <w:tab w:val="right" w:pos="8306"/>
      </w:tabs>
      <w:snapToGrid w:val="0"/>
      <w:ind w:firstLine="360"/>
      <w:jc w:val="left"/>
      <w:rPr>
        <w:rFonts w:ascii="Calibri" w:hAnsi="Calibri" w:eastAsia="宋体" w:cs="Times New Roman"/>
        <w:sz w:val="18"/>
      </w:rPr>
    </w:pPr>
    <w:r>
      <w:rPr>
        <w:rFonts w:ascii="Calibri" w:hAnsi="Calibri" w:eastAsia="宋体" w:cs="Times New Roman"/>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0340" cy="14605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0340" cy="146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CEC8EE">
                          <w:pPr>
                            <w:ind w:firstLine="640"/>
                            <w:rPr>
                              <w:rFonts w:hint="eastAsia"/>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5pt;width:14.2pt;mso-position-horizontal:center;mso-position-horizontal-relative:margin;mso-wrap-style:none;z-index:251662336;mso-width-relative:page;mso-height-relative:page;" filled="f" stroked="f" coordsize="21600,21600" o:gfxdata="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AEzOtEAAAADAQAADwAAAAAAAAABACAAAAAiAAAAZHJzL2Rvd25yZXYueG1sUEsB&#10;AhQAFAAAAAgAh07iQEUWuYM1AgAAYwQAAA4AAAAAAAAAAQAgAAAAIAEAAGRycy9lMm9Eb2MueG1s&#10;UEsFBgAAAAAGAAYAWQEAAMcFAAAAAA==&#10;">
              <v:fill on="f" focussize="0,0"/>
              <v:stroke on="f" weight="0.5pt"/>
              <v:imagedata o:title=""/>
              <o:lock v:ext="edit" aspectratio="f"/>
              <v:textbox inset="0mm,0mm,0mm,0mm" style="mso-fit-shape-to-text:t;">
                <w:txbxContent>
                  <w:p w14:paraId="7DCEC8EE">
                    <w:pPr>
                      <w:ind w:firstLine="640"/>
                      <w:rPr>
                        <w:rFonts w:hint="eastAsia"/>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E43C9E">
    <w:pPr>
      <w:tabs>
        <w:tab w:val="center" w:pos="4153"/>
        <w:tab w:val="right" w:pos="8306"/>
      </w:tabs>
      <w:snapToGrid w:val="0"/>
      <w:ind w:firstLine="360"/>
      <w:jc w:val="left"/>
      <w:rPr>
        <w:rFonts w:ascii="Calibri" w:hAnsi="Calibri" w:eastAsia="宋体" w:cs="Times New Roman"/>
        <w:sz w:val="18"/>
      </w:rPr>
    </w:pPr>
    <w:r>
      <w:rPr>
        <w:rFonts w:ascii="Calibri" w:hAnsi="Calibri" w:eastAsia="宋体" w:cs="Times New Roman"/>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F128F4">
                          <w:pPr>
                            <w:tabs>
                              <w:tab w:val="center" w:pos="4153"/>
                              <w:tab w:val="right" w:pos="8306"/>
                            </w:tabs>
                            <w:snapToGrid w:val="0"/>
                            <w:ind w:firstLine="360"/>
                            <w:jc w:val="left"/>
                            <w:rPr>
                              <w:rFonts w:ascii="Calibri" w:hAnsi="Calibri" w:eastAsia="宋体" w:cs="Times New Roman"/>
                              <w:sz w:val="18"/>
                            </w:rPr>
                          </w:pPr>
                          <w:r>
                            <w:rPr>
                              <w:rFonts w:ascii="Calibri" w:hAnsi="Calibri" w:eastAsia="宋体" w:cs="Times New Roman"/>
                              <w:sz w:val="18"/>
                            </w:rPr>
                            <w:fldChar w:fldCharType="begin"/>
                          </w:r>
                          <w:r>
                            <w:rPr>
                              <w:rFonts w:ascii="Calibri" w:hAnsi="Calibri" w:eastAsia="宋体" w:cs="Times New Roman"/>
                              <w:sz w:val="18"/>
                            </w:rPr>
                            <w:instrText xml:space="preserve"> PAGE  \* MERGEFORMAT </w:instrText>
                          </w:r>
                          <w:r>
                            <w:rPr>
                              <w:rFonts w:ascii="Calibri" w:hAnsi="Calibri" w:eastAsia="宋体" w:cs="Times New Roman"/>
                              <w:sz w:val="18"/>
                            </w:rPr>
                            <w:fldChar w:fldCharType="separate"/>
                          </w:r>
                          <w:r>
                            <w:rPr>
                              <w:rFonts w:ascii="Calibri" w:hAnsi="Calibri" w:eastAsia="宋体" w:cs="Times New Roman"/>
                              <w:sz w:val="18"/>
                            </w:rPr>
                            <w:t>1</w:t>
                          </w:r>
                          <w:r>
                            <w:rPr>
                              <w:rFonts w:ascii="Calibri" w:hAnsi="Calibri" w:eastAsia="宋体" w:cs="Times New Roman"/>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TSWQzAgAAZQ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oTSWQzAgAAZQQAAA4AAAAAAAAAAQAgAAAAHwEAAGRycy9lMm9Eb2MueG1sUEsF&#10;BgAAAAAGAAYAWQEAAMQFAAAAAA==&#10;">
              <v:fill on="f" focussize="0,0"/>
              <v:stroke on="f" weight="0.5pt"/>
              <v:imagedata o:title=""/>
              <o:lock v:ext="edit" aspectratio="f"/>
              <v:textbox inset="0mm,0mm,0mm,0mm" style="mso-fit-shape-to-text:t;">
                <w:txbxContent>
                  <w:p w14:paraId="2CF128F4">
                    <w:pPr>
                      <w:tabs>
                        <w:tab w:val="center" w:pos="4153"/>
                        <w:tab w:val="right" w:pos="8306"/>
                      </w:tabs>
                      <w:snapToGrid w:val="0"/>
                      <w:ind w:firstLine="360"/>
                      <w:jc w:val="left"/>
                      <w:rPr>
                        <w:rFonts w:ascii="Calibri" w:hAnsi="Calibri" w:eastAsia="宋体" w:cs="Times New Roman"/>
                        <w:sz w:val="18"/>
                      </w:rPr>
                    </w:pPr>
                    <w:r>
                      <w:rPr>
                        <w:rFonts w:ascii="Calibri" w:hAnsi="Calibri" w:eastAsia="宋体" w:cs="Times New Roman"/>
                        <w:sz w:val="18"/>
                      </w:rPr>
                      <w:fldChar w:fldCharType="begin"/>
                    </w:r>
                    <w:r>
                      <w:rPr>
                        <w:rFonts w:ascii="Calibri" w:hAnsi="Calibri" w:eastAsia="宋体" w:cs="Times New Roman"/>
                        <w:sz w:val="18"/>
                      </w:rPr>
                      <w:instrText xml:space="preserve"> PAGE  \* MERGEFORMAT </w:instrText>
                    </w:r>
                    <w:r>
                      <w:rPr>
                        <w:rFonts w:ascii="Calibri" w:hAnsi="Calibri" w:eastAsia="宋体" w:cs="Times New Roman"/>
                        <w:sz w:val="18"/>
                      </w:rPr>
                      <w:fldChar w:fldCharType="separate"/>
                    </w:r>
                    <w:r>
                      <w:rPr>
                        <w:rFonts w:ascii="Calibri" w:hAnsi="Calibri" w:eastAsia="宋体" w:cs="Times New Roman"/>
                        <w:sz w:val="18"/>
                      </w:rPr>
                      <w:t>1</w:t>
                    </w:r>
                    <w:r>
                      <w:rPr>
                        <w:rFonts w:ascii="Calibri" w:hAnsi="Calibri" w:eastAsia="宋体" w:cs="Times New Roman"/>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07D33">
    <w:pPr>
      <w:ind w:firstLine="640"/>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F6823B">
                          <w:pPr>
                            <w:pStyle w:val="18"/>
                            <w:ind w:firstLine="360"/>
                            <w:rPr>
                              <w:rFonts w:hint="eastAsia"/>
                            </w:rPr>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5CF6823B">
                    <w:pPr>
                      <w:pStyle w:val="18"/>
                      <w:ind w:firstLine="360"/>
                      <w:rPr>
                        <w:rFonts w:hint="eastAsia"/>
                      </w:rPr>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1DC4C5">
    <w:pPr>
      <w:pStyle w:val="18"/>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59B050">
                          <w:pPr>
                            <w:pStyle w:val="18"/>
                            <w:ind w:firstLine="360"/>
                            <w:rPr>
                              <w:rFonts w:hint="eastAsia"/>
                            </w:rPr>
                          </w:pPr>
                          <w:r>
                            <w:fldChar w:fldCharType="begin"/>
                          </w:r>
                          <w:r>
                            <w:instrText xml:space="preserve"> PAGE  \* MERGEFORMAT </w:instrText>
                          </w:r>
                          <w:r>
                            <w:fldChar w:fldCharType="separate"/>
                          </w:r>
                          <w:r>
                            <w:t>467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l4K5A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q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l4K5AtAgAAVwQAAA4AAAAAAAAAAQAgAAAAHwEAAGRycy9lMm9Eb2MueG1sUEsFBgAAAAAG&#10;AAYAWQEAAL4FAAAAAA==&#10;">
              <v:fill on="f" focussize="0,0"/>
              <v:stroke on="f" weight="0.5pt"/>
              <v:imagedata o:title=""/>
              <o:lock v:ext="edit" aspectratio="f"/>
              <v:textbox inset="0mm,0mm,0mm,0mm" style="mso-fit-shape-to-text:t;">
                <w:txbxContent>
                  <w:p w14:paraId="2759B050">
                    <w:pPr>
                      <w:pStyle w:val="18"/>
                      <w:ind w:firstLine="360"/>
                      <w:rPr>
                        <w:rFonts w:hint="eastAsia"/>
                      </w:rPr>
                    </w:pPr>
                    <w:r>
                      <w:fldChar w:fldCharType="begin"/>
                    </w:r>
                    <w:r>
                      <w:instrText xml:space="preserve"> PAGE  \* MERGEFORMAT </w:instrText>
                    </w:r>
                    <w:r>
                      <w:fldChar w:fldCharType="separate"/>
                    </w:r>
                    <w:r>
                      <w:t>467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6CD34">
    <w:pPr>
      <w:ind w:firstLine="640"/>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8B7DAB">
                          <w:pPr>
                            <w:pStyle w:val="18"/>
                            <w:ind w:firstLine="360"/>
                            <w:rPr>
                              <w:rFonts w:hint="eastAsia"/>
                            </w:rPr>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WYmoEtAgAAVw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t/epO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KWYmoEtAgAAVwQAAA4AAAAAAAAAAQAgAAAAHwEAAGRycy9lMm9Eb2MueG1sUEsFBgAAAAAG&#10;AAYAWQEAAL4FAAAAAA==&#10;">
              <v:fill on="f" focussize="0,0"/>
              <v:stroke on="f" weight="0.5pt"/>
              <v:imagedata o:title=""/>
              <o:lock v:ext="edit" aspectratio="f"/>
              <v:textbox inset="0mm,0mm,0mm,0mm" style="mso-fit-shape-to-text:t;">
                <w:txbxContent>
                  <w:p w14:paraId="0C8B7DAB">
                    <w:pPr>
                      <w:pStyle w:val="18"/>
                      <w:ind w:firstLine="360"/>
                      <w:rPr>
                        <w:rFonts w:hint="eastAsia"/>
                      </w:rPr>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77E55">
    <w:pPr>
      <w:ind w:firstLine="360"/>
      <w:jc w:val="center"/>
      <w:outlineLvl w:val="0"/>
      <w:rPr>
        <w:rFonts w:hint="eastAsia" w:ascii="黑体" w:hAnsi="黑体" w:eastAsia="黑体" w:cs="黑体"/>
        <w:sz w:val="18"/>
        <w:szCs w:val="18"/>
      </w:rPr>
    </w:pPr>
  </w:p>
  <w:p w14:paraId="3083CBDB">
    <w:pPr>
      <w:pBdr>
        <w:bottom w:val="single" w:color="auto" w:sz="4" w:space="0"/>
      </w:pBdr>
      <w:ind w:firstLine="360"/>
      <w:jc w:val="center"/>
      <w:outlineLvl w:val="0"/>
      <w:rPr>
        <w:rFonts w:hint="eastAsia" w:ascii="黑体" w:hAnsi="黑体" w:eastAsia="黑体" w:cs="黑体"/>
        <w:b/>
        <w:bCs/>
        <w:sz w:val="18"/>
        <w:szCs w:val="18"/>
      </w:rPr>
    </w:pPr>
    <w:r>
      <w:rPr>
        <w:rFonts w:hint="eastAsia" w:ascii="黑体" w:hAnsi="黑体" w:eastAsia="黑体" w:cs="黑体"/>
        <w:sz w:val="18"/>
        <w:szCs w:val="18"/>
      </w:rPr>
      <w:t>廊坊市城市自体检报告</w:t>
    </w:r>
    <w:r>
      <w:rPr>
        <w:rFonts w:hint="eastAsia" w:ascii="黑体" w:hAnsi="黑体" w:eastAsia="黑体" w:cs="黑体"/>
        <w:b/>
        <w:bCs/>
        <w:sz w:val="18"/>
        <w:szCs w:val="18"/>
      </w:rPr>
      <w:t>（2024年）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00852">
    <w:pPr>
      <w:pStyle w:val="20"/>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CD8FA">
    <w:pPr>
      <w:ind w:firstLine="0" w:firstLineChars="0"/>
      <w:jc w:val="center"/>
      <w:outlineLvl w:val="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550028">
    <w:pPr>
      <w:ind w:firstLine="0" w:firstLineChars="0"/>
      <w:jc w:val="center"/>
      <w:outlineLvl w:val="0"/>
      <w:rPr>
        <w:rFonts w:hint="eastAsia" w:ascii="黑体" w:hAnsi="黑体" w:eastAsia="黑体" w:cs="黑体"/>
        <w:sz w:val="18"/>
        <w:szCs w:val="18"/>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2FA77">
    <w:pPr>
      <w:ind w:firstLine="64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4873D">
    <w:pPr>
      <w:pStyle w:val="20"/>
      <w:pBdr>
        <w:bottom w:val="none" w:color="auto" w:sz="0" w:space="1"/>
      </w:pBdr>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04281">
    <w:pPr>
      <w:ind w:firstLine="6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78C0A8E"/>
    <w:multiLevelType w:val="singleLevel"/>
    <w:tmpl w:val="D78C0A8E"/>
    <w:lvl w:ilvl="0" w:tentative="0">
      <w:start w:val="1"/>
      <w:numFmt w:val="chineseCounting"/>
      <w:pStyle w:val="40"/>
      <w:suff w:val="nothing"/>
      <w:lvlText w:val="%1、"/>
      <w:lvlJc w:val="left"/>
      <w:pPr>
        <w:ind w:left="-13"/>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M1NzI1OGE2NjYxNjc5NTVhYzNhYzhmYTIzNTE4YmUifQ=="/>
  </w:docVars>
  <w:rsids>
    <w:rsidRoot w:val="47D26A74"/>
    <w:rsid w:val="0002705E"/>
    <w:rsid w:val="00032447"/>
    <w:rsid w:val="00090BC2"/>
    <w:rsid w:val="000B35F4"/>
    <w:rsid w:val="000E5296"/>
    <w:rsid w:val="000E783C"/>
    <w:rsid w:val="000E7EBF"/>
    <w:rsid w:val="001156D9"/>
    <w:rsid w:val="001A7AF7"/>
    <w:rsid w:val="001C5733"/>
    <w:rsid w:val="00235B2E"/>
    <w:rsid w:val="00255B2A"/>
    <w:rsid w:val="0031480F"/>
    <w:rsid w:val="00364865"/>
    <w:rsid w:val="003963E0"/>
    <w:rsid w:val="003B61B0"/>
    <w:rsid w:val="003C69A7"/>
    <w:rsid w:val="003F34FF"/>
    <w:rsid w:val="0042792B"/>
    <w:rsid w:val="00470144"/>
    <w:rsid w:val="004B27F2"/>
    <w:rsid w:val="004E6A9E"/>
    <w:rsid w:val="005275FA"/>
    <w:rsid w:val="0053386E"/>
    <w:rsid w:val="005354E5"/>
    <w:rsid w:val="00592098"/>
    <w:rsid w:val="0059248C"/>
    <w:rsid w:val="00604858"/>
    <w:rsid w:val="0065776A"/>
    <w:rsid w:val="006E5F48"/>
    <w:rsid w:val="007233C3"/>
    <w:rsid w:val="00742142"/>
    <w:rsid w:val="00773085"/>
    <w:rsid w:val="007A245E"/>
    <w:rsid w:val="007B14EC"/>
    <w:rsid w:val="00837A1B"/>
    <w:rsid w:val="008B461E"/>
    <w:rsid w:val="0092138E"/>
    <w:rsid w:val="0094215C"/>
    <w:rsid w:val="009B30A3"/>
    <w:rsid w:val="009E3F6B"/>
    <w:rsid w:val="009F22E4"/>
    <w:rsid w:val="00A079A4"/>
    <w:rsid w:val="00A15944"/>
    <w:rsid w:val="00A63EA5"/>
    <w:rsid w:val="00AB6ED0"/>
    <w:rsid w:val="00B2109E"/>
    <w:rsid w:val="00B36A62"/>
    <w:rsid w:val="00B563F6"/>
    <w:rsid w:val="00B670C6"/>
    <w:rsid w:val="00B979FE"/>
    <w:rsid w:val="00BD0C23"/>
    <w:rsid w:val="00C05E9D"/>
    <w:rsid w:val="00C10F1C"/>
    <w:rsid w:val="00C20CB0"/>
    <w:rsid w:val="00C6506D"/>
    <w:rsid w:val="00D6143D"/>
    <w:rsid w:val="00D73302"/>
    <w:rsid w:val="00DD72A1"/>
    <w:rsid w:val="00DE4C0F"/>
    <w:rsid w:val="00E05045"/>
    <w:rsid w:val="00E05ED7"/>
    <w:rsid w:val="00E47C7B"/>
    <w:rsid w:val="00E527BB"/>
    <w:rsid w:val="00E551C2"/>
    <w:rsid w:val="00E87AE2"/>
    <w:rsid w:val="00E9691F"/>
    <w:rsid w:val="00EE5674"/>
    <w:rsid w:val="00F2375F"/>
    <w:rsid w:val="00F4693C"/>
    <w:rsid w:val="014F2ACE"/>
    <w:rsid w:val="01637887"/>
    <w:rsid w:val="016851E1"/>
    <w:rsid w:val="01933707"/>
    <w:rsid w:val="019A5A01"/>
    <w:rsid w:val="020937E9"/>
    <w:rsid w:val="02185740"/>
    <w:rsid w:val="02B64B57"/>
    <w:rsid w:val="030E7E36"/>
    <w:rsid w:val="0372528B"/>
    <w:rsid w:val="03D04E6B"/>
    <w:rsid w:val="03FB35DF"/>
    <w:rsid w:val="041739C9"/>
    <w:rsid w:val="049E4736"/>
    <w:rsid w:val="04FD71D7"/>
    <w:rsid w:val="054144F3"/>
    <w:rsid w:val="0594746B"/>
    <w:rsid w:val="05A607FA"/>
    <w:rsid w:val="05F177D0"/>
    <w:rsid w:val="064842AF"/>
    <w:rsid w:val="0683401E"/>
    <w:rsid w:val="06881F1F"/>
    <w:rsid w:val="068E3B76"/>
    <w:rsid w:val="06A7189C"/>
    <w:rsid w:val="073A5092"/>
    <w:rsid w:val="07594C07"/>
    <w:rsid w:val="07AB0169"/>
    <w:rsid w:val="07C05DB3"/>
    <w:rsid w:val="07E86EA8"/>
    <w:rsid w:val="07EE6DD6"/>
    <w:rsid w:val="08017F69"/>
    <w:rsid w:val="08143F94"/>
    <w:rsid w:val="086230FE"/>
    <w:rsid w:val="091B0580"/>
    <w:rsid w:val="097F2302"/>
    <w:rsid w:val="09D122E9"/>
    <w:rsid w:val="09FC3114"/>
    <w:rsid w:val="0A0D3495"/>
    <w:rsid w:val="0A7343B7"/>
    <w:rsid w:val="0ADA51CD"/>
    <w:rsid w:val="0ADB5A7E"/>
    <w:rsid w:val="0B0264D2"/>
    <w:rsid w:val="0B7A1538"/>
    <w:rsid w:val="0B8B01CC"/>
    <w:rsid w:val="0B902A1C"/>
    <w:rsid w:val="0BC4399D"/>
    <w:rsid w:val="0C1E6303"/>
    <w:rsid w:val="0C4072B2"/>
    <w:rsid w:val="0C9C64B3"/>
    <w:rsid w:val="0CBB6CD3"/>
    <w:rsid w:val="0CF46D50"/>
    <w:rsid w:val="0D66244E"/>
    <w:rsid w:val="0D9D1FC6"/>
    <w:rsid w:val="0DB06B9B"/>
    <w:rsid w:val="0DEA042B"/>
    <w:rsid w:val="0E3B308C"/>
    <w:rsid w:val="0E3B5CC7"/>
    <w:rsid w:val="0E780BE4"/>
    <w:rsid w:val="0E867819"/>
    <w:rsid w:val="0E9F5A87"/>
    <w:rsid w:val="0F4B23D2"/>
    <w:rsid w:val="0F682C04"/>
    <w:rsid w:val="0F9046A6"/>
    <w:rsid w:val="0FA933C0"/>
    <w:rsid w:val="0FF373BB"/>
    <w:rsid w:val="10117276"/>
    <w:rsid w:val="102869DB"/>
    <w:rsid w:val="104E3B96"/>
    <w:rsid w:val="10AE6DC1"/>
    <w:rsid w:val="10C63C1F"/>
    <w:rsid w:val="10CD4FBD"/>
    <w:rsid w:val="10CD576F"/>
    <w:rsid w:val="10DD42B5"/>
    <w:rsid w:val="10E9749B"/>
    <w:rsid w:val="10FA2DD1"/>
    <w:rsid w:val="11171090"/>
    <w:rsid w:val="11371515"/>
    <w:rsid w:val="11485416"/>
    <w:rsid w:val="11FF19BD"/>
    <w:rsid w:val="124D097B"/>
    <w:rsid w:val="126F5EAA"/>
    <w:rsid w:val="12AA2C4A"/>
    <w:rsid w:val="12BA3C99"/>
    <w:rsid w:val="12CD6813"/>
    <w:rsid w:val="12D746E8"/>
    <w:rsid w:val="131C5EEA"/>
    <w:rsid w:val="131F01C0"/>
    <w:rsid w:val="13210FDF"/>
    <w:rsid w:val="1347549A"/>
    <w:rsid w:val="137D49D6"/>
    <w:rsid w:val="13AC347F"/>
    <w:rsid w:val="13FE60CE"/>
    <w:rsid w:val="140D354D"/>
    <w:rsid w:val="14581832"/>
    <w:rsid w:val="14657510"/>
    <w:rsid w:val="14C1613B"/>
    <w:rsid w:val="14C64A14"/>
    <w:rsid w:val="14DA0BB6"/>
    <w:rsid w:val="1534525F"/>
    <w:rsid w:val="15784F14"/>
    <w:rsid w:val="158039E1"/>
    <w:rsid w:val="15C81F74"/>
    <w:rsid w:val="15D52469"/>
    <w:rsid w:val="15DA7D4D"/>
    <w:rsid w:val="162E3A50"/>
    <w:rsid w:val="16435379"/>
    <w:rsid w:val="16453BB7"/>
    <w:rsid w:val="16A834AF"/>
    <w:rsid w:val="16C37C64"/>
    <w:rsid w:val="17080E5E"/>
    <w:rsid w:val="17440260"/>
    <w:rsid w:val="174D288F"/>
    <w:rsid w:val="179667CD"/>
    <w:rsid w:val="17976034"/>
    <w:rsid w:val="17E12E65"/>
    <w:rsid w:val="180E4B3A"/>
    <w:rsid w:val="18BF5E48"/>
    <w:rsid w:val="19157D43"/>
    <w:rsid w:val="19272848"/>
    <w:rsid w:val="19391257"/>
    <w:rsid w:val="19492842"/>
    <w:rsid w:val="19A3679A"/>
    <w:rsid w:val="19FB0731"/>
    <w:rsid w:val="1A50225A"/>
    <w:rsid w:val="1A660F6A"/>
    <w:rsid w:val="1A940719"/>
    <w:rsid w:val="1AF23E0A"/>
    <w:rsid w:val="1B11248B"/>
    <w:rsid w:val="1B2129A5"/>
    <w:rsid w:val="1B28152E"/>
    <w:rsid w:val="1B365ABF"/>
    <w:rsid w:val="1B571741"/>
    <w:rsid w:val="1BAF2B62"/>
    <w:rsid w:val="1C2450DB"/>
    <w:rsid w:val="1C844849"/>
    <w:rsid w:val="1C9E643D"/>
    <w:rsid w:val="1CC231D0"/>
    <w:rsid w:val="1CCE0A85"/>
    <w:rsid w:val="1CFD2A80"/>
    <w:rsid w:val="1D643A51"/>
    <w:rsid w:val="1D7E12B1"/>
    <w:rsid w:val="1D910788"/>
    <w:rsid w:val="1E233964"/>
    <w:rsid w:val="1E2D4410"/>
    <w:rsid w:val="1E9D0594"/>
    <w:rsid w:val="1EA41352"/>
    <w:rsid w:val="1EBB3356"/>
    <w:rsid w:val="1ECB26BD"/>
    <w:rsid w:val="1ECD3981"/>
    <w:rsid w:val="1F15637C"/>
    <w:rsid w:val="1F565C09"/>
    <w:rsid w:val="1F6E19D6"/>
    <w:rsid w:val="1FC07308"/>
    <w:rsid w:val="1FE3681C"/>
    <w:rsid w:val="200225E6"/>
    <w:rsid w:val="204C14F0"/>
    <w:rsid w:val="20BA2A49"/>
    <w:rsid w:val="20DB31C3"/>
    <w:rsid w:val="20DF17CD"/>
    <w:rsid w:val="20E16AA8"/>
    <w:rsid w:val="20FD73D3"/>
    <w:rsid w:val="215238B8"/>
    <w:rsid w:val="217F628E"/>
    <w:rsid w:val="21847D6F"/>
    <w:rsid w:val="219F6FC8"/>
    <w:rsid w:val="21A823DA"/>
    <w:rsid w:val="21AB3677"/>
    <w:rsid w:val="21CC74EA"/>
    <w:rsid w:val="225A348F"/>
    <w:rsid w:val="22965D77"/>
    <w:rsid w:val="22C964BB"/>
    <w:rsid w:val="22E20C6B"/>
    <w:rsid w:val="233F3655"/>
    <w:rsid w:val="237613B4"/>
    <w:rsid w:val="2387668C"/>
    <w:rsid w:val="238938CC"/>
    <w:rsid w:val="23A52EB2"/>
    <w:rsid w:val="23C357BF"/>
    <w:rsid w:val="23ED6BF0"/>
    <w:rsid w:val="23F61C6C"/>
    <w:rsid w:val="242B03F0"/>
    <w:rsid w:val="24B87C46"/>
    <w:rsid w:val="24C26727"/>
    <w:rsid w:val="24E07C89"/>
    <w:rsid w:val="25012235"/>
    <w:rsid w:val="255D3975"/>
    <w:rsid w:val="25966F03"/>
    <w:rsid w:val="25FE5075"/>
    <w:rsid w:val="26117A71"/>
    <w:rsid w:val="26686A3C"/>
    <w:rsid w:val="269A09F7"/>
    <w:rsid w:val="26A9214B"/>
    <w:rsid w:val="26D233BC"/>
    <w:rsid w:val="26E52DD6"/>
    <w:rsid w:val="272545E7"/>
    <w:rsid w:val="27452B08"/>
    <w:rsid w:val="27632DBB"/>
    <w:rsid w:val="27675EA2"/>
    <w:rsid w:val="27912C60"/>
    <w:rsid w:val="27D33279"/>
    <w:rsid w:val="28081647"/>
    <w:rsid w:val="283734FD"/>
    <w:rsid w:val="283E520D"/>
    <w:rsid w:val="285C501C"/>
    <w:rsid w:val="28CB3F50"/>
    <w:rsid w:val="28CE42AC"/>
    <w:rsid w:val="28D5419D"/>
    <w:rsid w:val="28DF0F43"/>
    <w:rsid w:val="28DF6CF5"/>
    <w:rsid w:val="28E11534"/>
    <w:rsid w:val="2923520E"/>
    <w:rsid w:val="295F6F66"/>
    <w:rsid w:val="29712250"/>
    <w:rsid w:val="29CE34BC"/>
    <w:rsid w:val="29E67964"/>
    <w:rsid w:val="29F7392B"/>
    <w:rsid w:val="2A1C61F4"/>
    <w:rsid w:val="2A375D41"/>
    <w:rsid w:val="2AA75E58"/>
    <w:rsid w:val="2AB23E84"/>
    <w:rsid w:val="2AEB29E4"/>
    <w:rsid w:val="2AFA6A0E"/>
    <w:rsid w:val="2B8840A7"/>
    <w:rsid w:val="2BC94646"/>
    <w:rsid w:val="2BE315B0"/>
    <w:rsid w:val="2C1F492E"/>
    <w:rsid w:val="2C522142"/>
    <w:rsid w:val="2CD63492"/>
    <w:rsid w:val="2D7651BC"/>
    <w:rsid w:val="2DCF14D7"/>
    <w:rsid w:val="2E015F53"/>
    <w:rsid w:val="2E03156A"/>
    <w:rsid w:val="2E033B70"/>
    <w:rsid w:val="2E13293C"/>
    <w:rsid w:val="2E7713DD"/>
    <w:rsid w:val="2E8F473D"/>
    <w:rsid w:val="2E9F50BB"/>
    <w:rsid w:val="2ECE6548"/>
    <w:rsid w:val="2EE35F25"/>
    <w:rsid w:val="2EF55327"/>
    <w:rsid w:val="30E07924"/>
    <w:rsid w:val="30F535ED"/>
    <w:rsid w:val="31474C18"/>
    <w:rsid w:val="31653193"/>
    <w:rsid w:val="316F36A1"/>
    <w:rsid w:val="31C8007D"/>
    <w:rsid w:val="31D147FD"/>
    <w:rsid w:val="31DB7836"/>
    <w:rsid w:val="31ED3DDF"/>
    <w:rsid w:val="324A05DB"/>
    <w:rsid w:val="32A23F73"/>
    <w:rsid w:val="32F3039E"/>
    <w:rsid w:val="330B6122"/>
    <w:rsid w:val="337223AA"/>
    <w:rsid w:val="341E6FEF"/>
    <w:rsid w:val="34356E11"/>
    <w:rsid w:val="345A32C0"/>
    <w:rsid w:val="347D07F4"/>
    <w:rsid w:val="34AB5ABE"/>
    <w:rsid w:val="34B8182C"/>
    <w:rsid w:val="35236B45"/>
    <w:rsid w:val="35636ED5"/>
    <w:rsid w:val="35757AA4"/>
    <w:rsid w:val="3586192A"/>
    <w:rsid w:val="36041A78"/>
    <w:rsid w:val="36255D36"/>
    <w:rsid w:val="3634045C"/>
    <w:rsid w:val="3657763C"/>
    <w:rsid w:val="36886A5D"/>
    <w:rsid w:val="36A75FFC"/>
    <w:rsid w:val="36C426A1"/>
    <w:rsid w:val="37083929"/>
    <w:rsid w:val="37276FDD"/>
    <w:rsid w:val="377036D0"/>
    <w:rsid w:val="37AC64C7"/>
    <w:rsid w:val="37DF5C11"/>
    <w:rsid w:val="37F80D30"/>
    <w:rsid w:val="383513E6"/>
    <w:rsid w:val="38726B14"/>
    <w:rsid w:val="387848CA"/>
    <w:rsid w:val="38B56BF3"/>
    <w:rsid w:val="38DB1F8D"/>
    <w:rsid w:val="39096AF9"/>
    <w:rsid w:val="395576E0"/>
    <w:rsid w:val="395955DC"/>
    <w:rsid w:val="39632A69"/>
    <w:rsid w:val="399370CD"/>
    <w:rsid w:val="399E7116"/>
    <w:rsid w:val="39A21B4E"/>
    <w:rsid w:val="39FB592A"/>
    <w:rsid w:val="3A221D1C"/>
    <w:rsid w:val="3AA05300"/>
    <w:rsid w:val="3AF95DE3"/>
    <w:rsid w:val="3B0B6CC4"/>
    <w:rsid w:val="3B131EB2"/>
    <w:rsid w:val="3B2B184D"/>
    <w:rsid w:val="3B605CFC"/>
    <w:rsid w:val="3B6A5CB8"/>
    <w:rsid w:val="3BC44F10"/>
    <w:rsid w:val="3BFF3230"/>
    <w:rsid w:val="3C4D6CFE"/>
    <w:rsid w:val="3C7C081B"/>
    <w:rsid w:val="3CA56B3A"/>
    <w:rsid w:val="3CEB77B9"/>
    <w:rsid w:val="3D4374AA"/>
    <w:rsid w:val="3D5A6DDC"/>
    <w:rsid w:val="3D5B5D19"/>
    <w:rsid w:val="3DA912E1"/>
    <w:rsid w:val="3DCEF5C8"/>
    <w:rsid w:val="3DE12E74"/>
    <w:rsid w:val="3E3C480E"/>
    <w:rsid w:val="3E455089"/>
    <w:rsid w:val="3E6C4DB6"/>
    <w:rsid w:val="3EAD7E0D"/>
    <w:rsid w:val="3EBF4B69"/>
    <w:rsid w:val="3EE13BFA"/>
    <w:rsid w:val="3EF66B94"/>
    <w:rsid w:val="3F1C0E9F"/>
    <w:rsid w:val="3F27591C"/>
    <w:rsid w:val="3F6F1681"/>
    <w:rsid w:val="3FAC706D"/>
    <w:rsid w:val="3FBA01BF"/>
    <w:rsid w:val="3FD443E6"/>
    <w:rsid w:val="40055426"/>
    <w:rsid w:val="400C6ED0"/>
    <w:rsid w:val="40161AFD"/>
    <w:rsid w:val="40573164"/>
    <w:rsid w:val="40851229"/>
    <w:rsid w:val="40954D7A"/>
    <w:rsid w:val="40E448BA"/>
    <w:rsid w:val="40F82504"/>
    <w:rsid w:val="414144C3"/>
    <w:rsid w:val="41587776"/>
    <w:rsid w:val="4167503B"/>
    <w:rsid w:val="417C272F"/>
    <w:rsid w:val="41A21F2C"/>
    <w:rsid w:val="41F80CEB"/>
    <w:rsid w:val="4224239E"/>
    <w:rsid w:val="42380450"/>
    <w:rsid w:val="42D2280E"/>
    <w:rsid w:val="43D016EC"/>
    <w:rsid w:val="43D353AE"/>
    <w:rsid w:val="44064330"/>
    <w:rsid w:val="445E36E4"/>
    <w:rsid w:val="44F50BF3"/>
    <w:rsid w:val="45012389"/>
    <w:rsid w:val="45850E1F"/>
    <w:rsid w:val="45965BB9"/>
    <w:rsid w:val="45C024F0"/>
    <w:rsid w:val="45E57CEA"/>
    <w:rsid w:val="462D5BC5"/>
    <w:rsid w:val="46340434"/>
    <w:rsid w:val="463B5903"/>
    <w:rsid w:val="465869CB"/>
    <w:rsid w:val="46F15723"/>
    <w:rsid w:val="479F7B39"/>
    <w:rsid w:val="47C0150D"/>
    <w:rsid w:val="47D26A74"/>
    <w:rsid w:val="480C3F11"/>
    <w:rsid w:val="48420009"/>
    <w:rsid w:val="48461AFE"/>
    <w:rsid w:val="487E298A"/>
    <w:rsid w:val="49194B8B"/>
    <w:rsid w:val="491C1B26"/>
    <w:rsid w:val="491C522B"/>
    <w:rsid w:val="493354CD"/>
    <w:rsid w:val="49B15F0C"/>
    <w:rsid w:val="49EB68E2"/>
    <w:rsid w:val="4A2B6F10"/>
    <w:rsid w:val="4A5D78FB"/>
    <w:rsid w:val="4AA3700C"/>
    <w:rsid w:val="4ABD5AA8"/>
    <w:rsid w:val="4B47625D"/>
    <w:rsid w:val="4BB252E8"/>
    <w:rsid w:val="4BC418CB"/>
    <w:rsid w:val="4CFC4ECC"/>
    <w:rsid w:val="4D370E90"/>
    <w:rsid w:val="4D600A09"/>
    <w:rsid w:val="4E0F02B7"/>
    <w:rsid w:val="4E4923FB"/>
    <w:rsid w:val="4E5D709A"/>
    <w:rsid w:val="4E606F42"/>
    <w:rsid w:val="4EA053B3"/>
    <w:rsid w:val="4EA96688"/>
    <w:rsid w:val="4EC60CF4"/>
    <w:rsid w:val="4EF0012E"/>
    <w:rsid w:val="4F22401A"/>
    <w:rsid w:val="4F4F714C"/>
    <w:rsid w:val="4F522B51"/>
    <w:rsid w:val="4F585C8E"/>
    <w:rsid w:val="4FB629B4"/>
    <w:rsid w:val="50202394"/>
    <w:rsid w:val="50542A0B"/>
    <w:rsid w:val="50AB7425"/>
    <w:rsid w:val="50B35A27"/>
    <w:rsid w:val="50DB1F79"/>
    <w:rsid w:val="50F759BC"/>
    <w:rsid w:val="50FE2865"/>
    <w:rsid w:val="510376B7"/>
    <w:rsid w:val="51347CF1"/>
    <w:rsid w:val="516052CE"/>
    <w:rsid w:val="524F1749"/>
    <w:rsid w:val="52543C84"/>
    <w:rsid w:val="526A6404"/>
    <w:rsid w:val="527628AA"/>
    <w:rsid w:val="527B0223"/>
    <w:rsid w:val="52F36FAB"/>
    <w:rsid w:val="53126250"/>
    <w:rsid w:val="531E3C37"/>
    <w:rsid w:val="534E5ADA"/>
    <w:rsid w:val="534F2D57"/>
    <w:rsid w:val="53511CD0"/>
    <w:rsid w:val="536C12B6"/>
    <w:rsid w:val="538104B3"/>
    <w:rsid w:val="538E3926"/>
    <w:rsid w:val="53A2397B"/>
    <w:rsid w:val="53F368E2"/>
    <w:rsid w:val="53F64FC2"/>
    <w:rsid w:val="54007963"/>
    <w:rsid w:val="54187F1C"/>
    <w:rsid w:val="543E53EF"/>
    <w:rsid w:val="54574CA9"/>
    <w:rsid w:val="54651C51"/>
    <w:rsid w:val="54931E94"/>
    <w:rsid w:val="54B31FBD"/>
    <w:rsid w:val="54BE28E3"/>
    <w:rsid w:val="54E30B72"/>
    <w:rsid w:val="55204CB5"/>
    <w:rsid w:val="55A26502"/>
    <w:rsid w:val="55B53BC3"/>
    <w:rsid w:val="562B70F8"/>
    <w:rsid w:val="563805C7"/>
    <w:rsid w:val="563B36EB"/>
    <w:rsid w:val="56496330"/>
    <w:rsid w:val="5654066D"/>
    <w:rsid w:val="56F91294"/>
    <w:rsid w:val="57D91382"/>
    <w:rsid w:val="581534C1"/>
    <w:rsid w:val="583307AB"/>
    <w:rsid w:val="585D435F"/>
    <w:rsid w:val="58B42031"/>
    <w:rsid w:val="58E578B7"/>
    <w:rsid w:val="59271254"/>
    <w:rsid w:val="5967369D"/>
    <w:rsid w:val="598975B9"/>
    <w:rsid w:val="59B54286"/>
    <w:rsid w:val="59BE19FD"/>
    <w:rsid w:val="59F6B408"/>
    <w:rsid w:val="59FB2037"/>
    <w:rsid w:val="59FE2AD8"/>
    <w:rsid w:val="5A3B2434"/>
    <w:rsid w:val="5A573B18"/>
    <w:rsid w:val="5A6E2809"/>
    <w:rsid w:val="5A7A11BE"/>
    <w:rsid w:val="5A8F02EA"/>
    <w:rsid w:val="5B2031B0"/>
    <w:rsid w:val="5B2A2BD4"/>
    <w:rsid w:val="5B5209BE"/>
    <w:rsid w:val="5B541ED7"/>
    <w:rsid w:val="5B57329D"/>
    <w:rsid w:val="5C0F2114"/>
    <w:rsid w:val="5C567645"/>
    <w:rsid w:val="5C6F4617"/>
    <w:rsid w:val="5C7D31D8"/>
    <w:rsid w:val="5C8B105E"/>
    <w:rsid w:val="5CC16241"/>
    <w:rsid w:val="5CCD5BD9"/>
    <w:rsid w:val="5CF21813"/>
    <w:rsid w:val="5CF7049E"/>
    <w:rsid w:val="5D3E5A69"/>
    <w:rsid w:val="5D426562"/>
    <w:rsid w:val="5D800812"/>
    <w:rsid w:val="5DAB167E"/>
    <w:rsid w:val="5E5E59F9"/>
    <w:rsid w:val="5EA07923"/>
    <w:rsid w:val="5F2D75FE"/>
    <w:rsid w:val="5F4E4995"/>
    <w:rsid w:val="5FD80AD7"/>
    <w:rsid w:val="5FF93B4D"/>
    <w:rsid w:val="602054F5"/>
    <w:rsid w:val="60B47F30"/>
    <w:rsid w:val="61C4621C"/>
    <w:rsid w:val="61C52ACC"/>
    <w:rsid w:val="61D93153"/>
    <w:rsid w:val="62096837"/>
    <w:rsid w:val="62B57177"/>
    <w:rsid w:val="62D92194"/>
    <w:rsid w:val="63065CD5"/>
    <w:rsid w:val="632B3862"/>
    <w:rsid w:val="632C57A1"/>
    <w:rsid w:val="63313C17"/>
    <w:rsid w:val="63352116"/>
    <w:rsid w:val="634A676F"/>
    <w:rsid w:val="635A16CB"/>
    <w:rsid w:val="63A014CF"/>
    <w:rsid w:val="63AB21E9"/>
    <w:rsid w:val="6428565B"/>
    <w:rsid w:val="64500B8C"/>
    <w:rsid w:val="64542A70"/>
    <w:rsid w:val="64855383"/>
    <w:rsid w:val="64865EA4"/>
    <w:rsid w:val="64963088"/>
    <w:rsid w:val="64E3685F"/>
    <w:rsid w:val="64F53DA1"/>
    <w:rsid w:val="653528A1"/>
    <w:rsid w:val="654839FF"/>
    <w:rsid w:val="657A0339"/>
    <w:rsid w:val="65BC6EB0"/>
    <w:rsid w:val="65D062E2"/>
    <w:rsid w:val="65DC6FA7"/>
    <w:rsid w:val="65E11358"/>
    <w:rsid w:val="65EF204B"/>
    <w:rsid w:val="65FC7392"/>
    <w:rsid w:val="66133207"/>
    <w:rsid w:val="66C83349"/>
    <w:rsid w:val="66C94644"/>
    <w:rsid w:val="66CA7B50"/>
    <w:rsid w:val="67226609"/>
    <w:rsid w:val="67551A16"/>
    <w:rsid w:val="67566E0D"/>
    <w:rsid w:val="6764746E"/>
    <w:rsid w:val="677A73E9"/>
    <w:rsid w:val="67A41618"/>
    <w:rsid w:val="68C71D77"/>
    <w:rsid w:val="68CF4DBB"/>
    <w:rsid w:val="68EC0930"/>
    <w:rsid w:val="69111FF7"/>
    <w:rsid w:val="69446544"/>
    <w:rsid w:val="69641ECE"/>
    <w:rsid w:val="69B2515E"/>
    <w:rsid w:val="69C7196C"/>
    <w:rsid w:val="69E07ECF"/>
    <w:rsid w:val="69E14DA6"/>
    <w:rsid w:val="69EA1B2D"/>
    <w:rsid w:val="6A1508A6"/>
    <w:rsid w:val="6A263CB5"/>
    <w:rsid w:val="6AC65EB5"/>
    <w:rsid w:val="6AD3601A"/>
    <w:rsid w:val="6B025FE8"/>
    <w:rsid w:val="6B160A7F"/>
    <w:rsid w:val="6B5477F9"/>
    <w:rsid w:val="6B566541"/>
    <w:rsid w:val="6B5F73CB"/>
    <w:rsid w:val="6B6270FD"/>
    <w:rsid w:val="6BCA7D47"/>
    <w:rsid w:val="6BD12D3A"/>
    <w:rsid w:val="6BD509B1"/>
    <w:rsid w:val="6BD85D34"/>
    <w:rsid w:val="6C552762"/>
    <w:rsid w:val="6D361615"/>
    <w:rsid w:val="6D5368E0"/>
    <w:rsid w:val="6D5B0E11"/>
    <w:rsid w:val="6D5B4E6F"/>
    <w:rsid w:val="6E0D3C3F"/>
    <w:rsid w:val="6E1332C6"/>
    <w:rsid w:val="6E423180"/>
    <w:rsid w:val="6E472BBA"/>
    <w:rsid w:val="6E961230"/>
    <w:rsid w:val="6ED2118F"/>
    <w:rsid w:val="6EE708A4"/>
    <w:rsid w:val="6F2A11D9"/>
    <w:rsid w:val="6F5860B5"/>
    <w:rsid w:val="6FCD37A9"/>
    <w:rsid w:val="6FCD7BEC"/>
    <w:rsid w:val="6FEB7F2F"/>
    <w:rsid w:val="6FFD220E"/>
    <w:rsid w:val="7062485A"/>
    <w:rsid w:val="70BB0F08"/>
    <w:rsid w:val="70CF0B93"/>
    <w:rsid w:val="713E74F0"/>
    <w:rsid w:val="7155207D"/>
    <w:rsid w:val="71A05546"/>
    <w:rsid w:val="71CB6B32"/>
    <w:rsid w:val="71CF1988"/>
    <w:rsid w:val="720A6A97"/>
    <w:rsid w:val="721D26F3"/>
    <w:rsid w:val="73672924"/>
    <w:rsid w:val="73AD7AA7"/>
    <w:rsid w:val="740B5AC0"/>
    <w:rsid w:val="74290223"/>
    <w:rsid w:val="744C3FCD"/>
    <w:rsid w:val="747476AB"/>
    <w:rsid w:val="74940229"/>
    <w:rsid w:val="7526388E"/>
    <w:rsid w:val="75297601"/>
    <w:rsid w:val="75620101"/>
    <w:rsid w:val="759F1709"/>
    <w:rsid w:val="75B325B9"/>
    <w:rsid w:val="75D41D4C"/>
    <w:rsid w:val="75D94865"/>
    <w:rsid w:val="75F1274B"/>
    <w:rsid w:val="760B4F58"/>
    <w:rsid w:val="761F4D0D"/>
    <w:rsid w:val="766F3854"/>
    <w:rsid w:val="767113E0"/>
    <w:rsid w:val="768640AD"/>
    <w:rsid w:val="768F4C98"/>
    <w:rsid w:val="76B47538"/>
    <w:rsid w:val="772557BC"/>
    <w:rsid w:val="77B94BCF"/>
    <w:rsid w:val="77F16F85"/>
    <w:rsid w:val="78947487"/>
    <w:rsid w:val="78BA2F32"/>
    <w:rsid w:val="78C3122A"/>
    <w:rsid w:val="78E21FA1"/>
    <w:rsid w:val="79101597"/>
    <w:rsid w:val="79C478F8"/>
    <w:rsid w:val="79D32265"/>
    <w:rsid w:val="7A0A7C01"/>
    <w:rsid w:val="7AB37466"/>
    <w:rsid w:val="7AFB43BB"/>
    <w:rsid w:val="7B0501C8"/>
    <w:rsid w:val="7BCD3308"/>
    <w:rsid w:val="7BDA4497"/>
    <w:rsid w:val="7C091F3A"/>
    <w:rsid w:val="7C1548FE"/>
    <w:rsid w:val="7C3866D8"/>
    <w:rsid w:val="7C611D76"/>
    <w:rsid w:val="7CB073BA"/>
    <w:rsid w:val="7CB818D0"/>
    <w:rsid w:val="7CD40AD5"/>
    <w:rsid w:val="7D9C5C29"/>
    <w:rsid w:val="7DAA24C7"/>
    <w:rsid w:val="7DEC38C1"/>
    <w:rsid w:val="7E2A59DB"/>
    <w:rsid w:val="7E355268"/>
    <w:rsid w:val="7E476CC8"/>
    <w:rsid w:val="7E881F8B"/>
    <w:rsid w:val="7EB345E9"/>
    <w:rsid w:val="7EEF3E42"/>
    <w:rsid w:val="7F2869A1"/>
    <w:rsid w:val="7F5D6825"/>
    <w:rsid w:val="7F74591C"/>
    <w:rsid w:val="7FA74A90"/>
    <w:rsid w:val="7FB36445"/>
    <w:rsid w:val="7FE113B6"/>
    <w:rsid w:val="7FFD0651"/>
    <w:rsid w:val="FEFFDC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9" w:semiHidden="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qFormat="1" w:uiPriority="99"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643" w:firstLineChars="200"/>
      <w:jc w:val="both"/>
    </w:pPr>
    <w:rPr>
      <w:rFonts w:ascii="方正仿宋_GBK" w:hAnsi="方正仿宋_GBK" w:eastAsia="方正仿宋_GBK" w:cs="方正仿宋_GBK"/>
      <w:kern w:val="2"/>
      <w:sz w:val="32"/>
      <w:szCs w:val="32"/>
      <w:lang w:val="en-US" w:eastAsia="zh-CN" w:bidi="ar-SA"/>
    </w:rPr>
  </w:style>
  <w:style w:type="paragraph" w:styleId="2">
    <w:name w:val="heading 1"/>
    <w:basedOn w:val="1"/>
    <w:next w:val="1"/>
    <w:qFormat/>
    <w:uiPriority w:val="0"/>
    <w:pPr>
      <w:keepNext/>
      <w:keepLines/>
      <w:spacing w:before="200" w:after="200" w:line="480" w:lineRule="auto"/>
      <w:ind w:firstLine="0" w:firstLineChars="0"/>
      <w:jc w:val="center"/>
      <w:outlineLvl w:val="0"/>
    </w:pPr>
    <w:rPr>
      <w:rFonts w:ascii="方正小标宋_GBK" w:hAnsi="方正小标宋_GBK" w:eastAsia="方正小标宋_GBK" w:cs="方正小标宋_GBK"/>
      <w:bCs/>
      <w:kern w:val="44"/>
      <w:sz w:val="36"/>
      <w:szCs w:val="36"/>
    </w:rPr>
  </w:style>
  <w:style w:type="paragraph" w:styleId="3">
    <w:name w:val="heading 2"/>
    <w:next w:val="1"/>
    <w:qFormat/>
    <w:uiPriority w:val="0"/>
    <w:pPr>
      <w:adjustRightInd w:val="0"/>
      <w:snapToGrid w:val="0"/>
      <w:spacing w:line="560" w:lineRule="exact"/>
      <w:ind w:firstLine="640" w:firstLineChars="200"/>
      <w:outlineLvl w:val="1"/>
    </w:pPr>
    <w:rPr>
      <w:rFonts w:ascii="方正黑体_GBK" w:hAnsi="方正黑体_GBK" w:eastAsia="方正黑体_GBK" w:cs="方正黑体_GBK"/>
      <w:sz w:val="32"/>
      <w:szCs w:val="32"/>
      <w:lang w:val="en-US" w:eastAsia="zh-CN" w:bidi="ar-SA"/>
    </w:rPr>
  </w:style>
  <w:style w:type="paragraph" w:styleId="4">
    <w:name w:val="heading 3"/>
    <w:basedOn w:val="1"/>
    <w:next w:val="1"/>
    <w:unhideWhenUsed/>
    <w:qFormat/>
    <w:uiPriority w:val="0"/>
    <w:pPr>
      <w:spacing w:line="570" w:lineRule="exact"/>
      <w:ind w:firstLine="640"/>
      <w:outlineLvl w:val="2"/>
    </w:pPr>
    <w:rPr>
      <w:rFonts w:ascii="方正楷体_GBK" w:hAnsi="方正楷体_GBK" w:eastAsia="方正楷体_GBK" w:cs="方正楷体_GBK"/>
    </w:rPr>
  </w:style>
  <w:style w:type="paragraph" w:styleId="5">
    <w:name w:val="heading 4"/>
    <w:basedOn w:val="1"/>
    <w:next w:val="1"/>
    <w:link w:val="45"/>
    <w:unhideWhenUsed/>
    <w:qFormat/>
    <w:uiPriority w:val="0"/>
    <w:pPr>
      <w:outlineLvl w:val="3"/>
    </w:pPr>
    <w:rPr>
      <w:b/>
      <w:bCs/>
    </w:rPr>
  </w:style>
  <w:style w:type="paragraph" w:styleId="6">
    <w:name w:val="heading 5"/>
    <w:basedOn w:val="1"/>
    <w:next w:val="1"/>
    <w:link w:val="46"/>
    <w:unhideWhenUsed/>
    <w:qFormat/>
    <w:uiPriority w:val="9"/>
    <w:pPr>
      <w:outlineLvl w:val="4"/>
    </w:pPr>
  </w:style>
  <w:style w:type="paragraph" w:styleId="7">
    <w:name w:val="heading 6"/>
    <w:basedOn w:val="1"/>
    <w:next w:val="1"/>
    <w:link w:val="47"/>
    <w:unhideWhenUsed/>
    <w:qFormat/>
    <w:uiPriority w:val="0"/>
    <w:pPr>
      <w:autoSpaceDE w:val="0"/>
      <w:adjustRightInd w:val="0"/>
      <w:snapToGrid w:val="0"/>
      <w:ind w:firstLine="640"/>
      <w:jc w:val="left"/>
      <w:outlineLvl w:val="5"/>
    </w:pPr>
    <w:rPr>
      <w:rFonts w:cs="Times New Roman"/>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spacing w:line="360" w:lineRule="auto"/>
      <w:ind w:firstLine="420"/>
    </w:pPr>
    <w:rPr>
      <w:rFonts w:eastAsia="仿宋_GB2312"/>
    </w:rPr>
  </w:style>
  <w:style w:type="paragraph" w:styleId="9">
    <w:name w:val="caption"/>
    <w:basedOn w:val="1"/>
    <w:next w:val="1"/>
    <w:unhideWhenUsed/>
    <w:qFormat/>
    <w:uiPriority w:val="0"/>
    <w:pPr>
      <w:jc w:val="center"/>
    </w:pPr>
    <w:rPr>
      <w:rFonts w:eastAsia="黑体"/>
      <w:sz w:val="24"/>
    </w:rPr>
  </w:style>
  <w:style w:type="paragraph" w:styleId="10">
    <w:name w:val="annotation text"/>
    <w:basedOn w:val="1"/>
    <w:link w:val="37"/>
    <w:qFormat/>
    <w:uiPriority w:val="0"/>
    <w:pPr>
      <w:jc w:val="left"/>
    </w:pPr>
  </w:style>
  <w:style w:type="paragraph" w:styleId="11">
    <w:name w:val="Body Text"/>
    <w:basedOn w:val="1"/>
    <w:next w:val="1"/>
    <w:qFormat/>
    <w:uiPriority w:val="0"/>
    <w:pPr>
      <w:kinsoku w:val="0"/>
      <w:autoSpaceDE w:val="0"/>
      <w:autoSpaceDN w:val="0"/>
      <w:textAlignment w:val="baseline"/>
    </w:pPr>
    <w:rPr>
      <w:rFonts w:ascii="Arial" w:hAnsi="Arial"/>
      <w:color w:val="000000"/>
      <w:kern w:val="0"/>
      <w:sz w:val="21"/>
      <w:szCs w:val="21"/>
    </w:rPr>
  </w:style>
  <w:style w:type="paragraph" w:styleId="12">
    <w:name w:val="Body Text Indent"/>
    <w:basedOn w:val="1"/>
    <w:next w:val="13"/>
    <w:qFormat/>
    <w:uiPriority w:val="0"/>
    <w:pPr>
      <w:spacing w:after="120"/>
      <w:ind w:left="420" w:leftChars="200"/>
    </w:pPr>
  </w:style>
  <w:style w:type="paragraph" w:styleId="13">
    <w:name w:val="toc 4"/>
    <w:basedOn w:val="1"/>
    <w:next w:val="1"/>
    <w:qFormat/>
    <w:uiPriority w:val="0"/>
    <w:pPr>
      <w:ind w:left="1260" w:leftChars="600"/>
    </w:pPr>
    <w:rPr>
      <w:szCs w:val="20"/>
    </w:rPr>
  </w:style>
  <w:style w:type="paragraph" w:styleId="14">
    <w:name w:val="toc 3"/>
    <w:basedOn w:val="1"/>
    <w:next w:val="1"/>
    <w:qFormat/>
    <w:uiPriority w:val="0"/>
    <w:pPr>
      <w:ind w:left="840" w:leftChars="400"/>
    </w:pPr>
  </w:style>
  <w:style w:type="paragraph" w:styleId="15">
    <w:name w:val="Plain Text"/>
    <w:basedOn w:val="1"/>
    <w:qFormat/>
    <w:uiPriority w:val="0"/>
    <w:rPr>
      <w:rFonts w:ascii="宋体" w:hAnsi="Courier New" w:cs="Courier New"/>
      <w:szCs w:val="21"/>
    </w:rPr>
  </w:style>
  <w:style w:type="paragraph" w:styleId="16">
    <w:name w:val="Body Text Indent 2"/>
    <w:basedOn w:val="1"/>
    <w:qFormat/>
    <w:uiPriority w:val="0"/>
    <w:pPr>
      <w:spacing w:after="120" w:line="480" w:lineRule="auto"/>
      <w:ind w:left="420" w:leftChars="200"/>
    </w:pPr>
    <w:rPr>
      <w:rFonts w:ascii="Times New Roman" w:hAnsi="Times New Roman" w:eastAsia="宋体" w:cs="Times New Roman"/>
    </w:rPr>
  </w:style>
  <w:style w:type="paragraph" w:styleId="17">
    <w:name w:val="Balloon Text"/>
    <w:basedOn w:val="1"/>
    <w:link w:val="39"/>
    <w:qFormat/>
    <w:uiPriority w:val="0"/>
    <w:rPr>
      <w:sz w:val="18"/>
      <w:szCs w:val="18"/>
    </w:rPr>
  </w:style>
  <w:style w:type="paragraph" w:styleId="18">
    <w:name w:val="footer"/>
    <w:basedOn w:val="1"/>
    <w:unhideWhenUsed/>
    <w:qFormat/>
    <w:uiPriority w:val="0"/>
    <w:pPr>
      <w:tabs>
        <w:tab w:val="center" w:pos="4153"/>
        <w:tab w:val="right" w:pos="8306"/>
      </w:tabs>
      <w:jc w:val="left"/>
    </w:pPr>
    <w:rPr>
      <w:sz w:val="18"/>
      <w:szCs w:val="18"/>
    </w:rPr>
  </w:style>
  <w:style w:type="paragraph" w:styleId="19">
    <w:name w:val="envelope return"/>
    <w:basedOn w:val="1"/>
    <w:qFormat/>
    <w:uiPriority w:val="0"/>
    <w:pPr>
      <w:snapToGrid w:val="0"/>
    </w:pPr>
    <w:rPr>
      <w:rFonts w:ascii="Arial" w:hAnsi="Arial" w:eastAsia="宋体" w:cs="Times New Roman"/>
    </w:rPr>
  </w:style>
  <w:style w:type="paragraph" w:styleId="20">
    <w:name w:val="header"/>
    <w:basedOn w:val="1"/>
    <w:link w:val="38"/>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style>
  <w:style w:type="paragraph" w:styleId="22">
    <w:name w:val="index 9"/>
    <w:basedOn w:val="1"/>
    <w:next w:val="1"/>
    <w:unhideWhenUsed/>
    <w:qFormat/>
    <w:uiPriority w:val="99"/>
    <w:pPr>
      <w:spacing w:line="600" w:lineRule="exact"/>
      <w:ind w:firstLine="640"/>
    </w:pPr>
    <w:rPr>
      <w:rFonts w:ascii="仿宋_GB2312" w:hAnsi="楷体" w:eastAsia="仿宋_GB2312"/>
      <w:bCs/>
    </w:rPr>
  </w:style>
  <w:style w:type="paragraph" w:styleId="23">
    <w:name w:val="toc 2"/>
    <w:basedOn w:val="1"/>
    <w:next w:val="1"/>
    <w:qFormat/>
    <w:uiPriority w:val="39"/>
    <w:pPr>
      <w:ind w:left="420" w:leftChars="200"/>
    </w:pPr>
  </w:style>
  <w:style w:type="paragraph" w:styleId="24">
    <w:name w:val="Normal (Web)"/>
    <w:basedOn w:val="1"/>
    <w:qFormat/>
    <w:uiPriority w:val="99"/>
    <w:pPr>
      <w:widowControl/>
      <w:spacing w:beforeAutospacing="1" w:afterAutospacing="1"/>
      <w:jc w:val="left"/>
    </w:pPr>
    <w:rPr>
      <w:rFonts w:ascii="宋体" w:hAnsi="宋体" w:eastAsia="宋体" w:cs="Times New Roman"/>
      <w:kern w:val="0"/>
      <w:sz w:val="24"/>
      <w:szCs w:val="24"/>
    </w:rPr>
  </w:style>
  <w:style w:type="paragraph" w:styleId="25">
    <w:name w:val="Title"/>
    <w:basedOn w:val="1"/>
    <w:next w:val="1"/>
    <w:qFormat/>
    <w:uiPriority w:val="0"/>
    <w:pPr>
      <w:spacing w:before="240" w:after="60"/>
      <w:jc w:val="center"/>
      <w:outlineLvl w:val="0"/>
    </w:pPr>
    <w:rPr>
      <w:rFonts w:ascii="Arial" w:hAnsi="Arial"/>
      <w:b/>
    </w:rPr>
  </w:style>
  <w:style w:type="paragraph" w:styleId="26">
    <w:name w:val="annotation subject"/>
    <w:basedOn w:val="10"/>
    <w:next w:val="10"/>
    <w:link w:val="43"/>
    <w:qFormat/>
    <w:uiPriority w:val="0"/>
    <w:rPr>
      <w:b/>
      <w:bCs/>
    </w:rPr>
  </w:style>
  <w:style w:type="paragraph" w:styleId="27">
    <w:name w:val="Body Text First Indent"/>
    <w:basedOn w:val="11"/>
    <w:next w:val="11"/>
    <w:link w:val="67"/>
    <w:qFormat/>
    <w:uiPriority w:val="0"/>
    <w:pPr>
      <w:ind w:firstLine="420"/>
    </w:pPr>
    <w:rPr>
      <w:rFonts w:ascii="Calibri" w:hAnsi="Calibri" w:eastAsia="仿宋"/>
      <w:kern w:val="2"/>
      <w:sz w:val="28"/>
      <w:szCs w:val="20"/>
    </w:rPr>
  </w:style>
  <w:style w:type="paragraph" w:styleId="28">
    <w:name w:val="Body Text First Indent 2"/>
    <w:basedOn w:val="12"/>
    <w:next w:val="1"/>
    <w:qFormat/>
    <w:uiPriority w:val="0"/>
    <w:pPr>
      <w:ind w:firstLine="420"/>
    </w:pPr>
    <w:rPr>
      <w:rFonts w:ascii="Calibri" w:hAnsi="Calibri" w:eastAsia="宋体" w:cs="Times New Roman"/>
      <w:szCs w:val="22"/>
    </w:rPr>
  </w:style>
  <w:style w:type="table" w:styleId="30">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2">
    <w:name w:val="Strong"/>
    <w:basedOn w:val="31"/>
    <w:qFormat/>
    <w:uiPriority w:val="0"/>
    <w:rPr>
      <w:b/>
    </w:rPr>
  </w:style>
  <w:style w:type="character" w:styleId="33">
    <w:name w:val="Hyperlink"/>
    <w:basedOn w:val="31"/>
    <w:unhideWhenUsed/>
    <w:qFormat/>
    <w:uiPriority w:val="99"/>
    <w:rPr>
      <w:color w:val="0026E5" w:themeColor="hyperlink"/>
      <w:u w:val="single"/>
      <w14:textFill>
        <w14:solidFill>
          <w14:schemeClr w14:val="hlink"/>
        </w14:solidFill>
      </w14:textFill>
    </w:rPr>
  </w:style>
  <w:style w:type="character" w:styleId="34">
    <w:name w:val="annotation reference"/>
    <w:basedOn w:val="31"/>
    <w:qFormat/>
    <w:uiPriority w:val="0"/>
    <w:rPr>
      <w:sz w:val="21"/>
      <w:szCs w:val="21"/>
    </w:rPr>
  </w:style>
  <w:style w:type="paragraph" w:customStyle="1" w:styleId="35">
    <w:name w:val="样式1"/>
    <w:basedOn w:val="1"/>
    <w:qFormat/>
    <w:uiPriority w:val="0"/>
    <w:pPr>
      <w:keepNext/>
      <w:keepLines/>
      <w:spacing w:before="200" w:after="200" w:line="480" w:lineRule="auto"/>
      <w:jc w:val="center"/>
      <w:outlineLvl w:val="0"/>
    </w:pPr>
    <w:rPr>
      <w:rFonts w:hint="eastAsia" w:ascii="方正小标宋_GBK" w:hAnsi="方正小标宋_GBK" w:eastAsia="方正小标宋_GBK" w:cs="方正小标宋_GBK"/>
      <w:bCs/>
      <w:kern w:val="44"/>
      <w:sz w:val="36"/>
      <w:szCs w:val="36"/>
    </w:rPr>
  </w:style>
  <w:style w:type="table" w:customStyle="1" w:styleId="36">
    <w:name w:val="Table Normal"/>
    <w:semiHidden/>
    <w:unhideWhenUsed/>
    <w:qFormat/>
    <w:uiPriority w:val="0"/>
    <w:tblPr>
      <w:tblCellMar>
        <w:top w:w="0" w:type="dxa"/>
        <w:left w:w="0" w:type="dxa"/>
        <w:bottom w:w="0" w:type="dxa"/>
        <w:right w:w="0" w:type="dxa"/>
      </w:tblCellMar>
    </w:tblPr>
  </w:style>
  <w:style w:type="character" w:customStyle="1" w:styleId="37">
    <w:name w:val="批注文字 字符"/>
    <w:basedOn w:val="31"/>
    <w:link w:val="10"/>
    <w:qFormat/>
    <w:uiPriority w:val="0"/>
    <w:rPr>
      <w:kern w:val="2"/>
      <w:sz w:val="21"/>
      <w:szCs w:val="24"/>
    </w:rPr>
  </w:style>
  <w:style w:type="character" w:customStyle="1" w:styleId="38">
    <w:name w:val="页眉 字符"/>
    <w:basedOn w:val="31"/>
    <w:link w:val="20"/>
    <w:qFormat/>
    <w:uiPriority w:val="0"/>
    <w:rPr>
      <w:kern w:val="2"/>
      <w:sz w:val="18"/>
      <w:szCs w:val="18"/>
    </w:rPr>
  </w:style>
  <w:style w:type="character" w:customStyle="1" w:styleId="39">
    <w:name w:val="批注框文本 字符"/>
    <w:basedOn w:val="31"/>
    <w:link w:val="17"/>
    <w:qFormat/>
    <w:uiPriority w:val="0"/>
    <w:rPr>
      <w:kern w:val="2"/>
      <w:sz w:val="18"/>
      <w:szCs w:val="18"/>
    </w:rPr>
  </w:style>
  <w:style w:type="paragraph" w:customStyle="1" w:styleId="40">
    <w:name w:val="样式2"/>
    <w:basedOn w:val="1"/>
    <w:qFormat/>
    <w:uiPriority w:val="0"/>
    <w:pPr>
      <w:keepNext/>
      <w:keepLines/>
      <w:numPr>
        <w:ilvl w:val="0"/>
        <w:numId w:val="1"/>
      </w:numPr>
      <w:spacing w:before="160" w:after="160" w:line="360" w:lineRule="auto"/>
      <w:jc w:val="left"/>
      <w:outlineLvl w:val="1"/>
    </w:pPr>
    <w:rPr>
      <w:rFonts w:hint="eastAsia" w:ascii="方正黑体_GBK" w:hAnsi="方正黑体_GBK" w:eastAsia="方正黑体_GBK" w:cs="方正黑体_GBK"/>
      <w:bCs/>
    </w:rPr>
  </w:style>
  <w:style w:type="paragraph" w:customStyle="1" w:styleId="41">
    <w:name w:val="表格文字"/>
    <w:basedOn w:val="1"/>
    <w:link w:val="65"/>
    <w:qFormat/>
    <w:uiPriority w:val="0"/>
    <w:pPr>
      <w:widowControl/>
      <w:adjustRightInd w:val="0"/>
      <w:snapToGrid w:val="0"/>
      <w:spacing w:line="320" w:lineRule="exact"/>
      <w:ind w:firstLine="0" w:firstLineChars="0"/>
      <w:jc w:val="center"/>
    </w:pPr>
    <w:rPr>
      <w:rFonts w:cs="Times New Roman"/>
      <w:kern w:val="0"/>
      <w:sz w:val="24"/>
      <w:szCs w:val="24"/>
    </w:rPr>
  </w:style>
  <w:style w:type="paragraph" w:customStyle="1" w:styleId="42">
    <w:name w:val="！正文 Alt+0"/>
    <w:basedOn w:val="1"/>
    <w:qFormat/>
    <w:uiPriority w:val="0"/>
    <w:rPr>
      <w:rFonts w:ascii="仿宋_GB2312" w:hAnsi="仿宋_GB2312" w:eastAsia="仿宋_GB2312" w:cs="Times New Roman"/>
    </w:rPr>
  </w:style>
  <w:style w:type="character" w:customStyle="1" w:styleId="43">
    <w:name w:val="批注主题 字符"/>
    <w:basedOn w:val="37"/>
    <w:link w:val="26"/>
    <w:qFormat/>
    <w:uiPriority w:val="0"/>
    <w:rPr>
      <w:b/>
      <w:bCs/>
      <w:kern w:val="2"/>
      <w:sz w:val="21"/>
      <w:szCs w:val="24"/>
    </w:rPr>
  </w:style>
  <w:style w:type="table" w:customStyle="1" w:styleId="44">
    <w:name w:val="网格型18"/>
    <w:basedOn w:val="2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customStyle="1" w:styleId="45">
    <w:name w:val="标题 4 字符"/>
    <w:link w:val="5"/>
    <w:qFormat/>
    <w:uiPriority w:val="0"/>
    <w:rPr>
      <w:rFonts w:ascii="方正仿宋_GBK" w:hAnsi="方正仿宋_GBK" w:eastAsia="方正仿宋_GBK" w:cs="方正仿宋_GBK"/>
      <w:b/>
      <w:bCs/>
      <w:sz w:val="32"/>
      <w:szCs w:val="32"/>
    </w:rPr>
  </w:style>
  <w:style w:type="character" w:customStyle="1" w:styleId="46">
    <w:name w:val="标题 5 字符"/>
    <w:link w:val="6"/>
    <w:qFormat/>
    <w:uiPriority w:val="0"/>
  </w:style>
  <w:style w:type="character" w:customStyle="1" w:styleId="47">
    <w:name w:val="标题 6 字符"/>
    <w:link w:val="7"/>
    <w:qFormat/>
    <w:uiPriority w:val="0"/>
    <w:rPr>
      <w:lang w:bidi="ar"/>
    </w:rPr>
  </w:style>
  <w:style w:type="paragraph" w:customStyle="1" w:styleId="48">
    <w:name w:val="表名称"/>
    <w:basedOn w:val="1"/>
    <w:qFormat/>
    <w:uiPriority w:val="0"/>
    <w:pPr>
      <w:autoSpaceDE w:val="0"/>
      <w:adjustRightInd w:val="0"/>
      <w:snapToGrid w:val="0"/>
      <w:ind w:firstLine="0" w:firstLineChars="0"/>
      <w:jc w:val="center"/>
      <w:outlineLvl w:val="5"/>
    </w:pPr>
    <w:rPr>
      <w:rFonts w:ascii="方正黑体_GBK" w:hAnsi="方正黑体_GBK" w:eastAsia="方正黑体_GBK" w:cs="Times New Roman"/>
      <w:sz w:val="24"/>
      <w:szCs w:val="24"/>
    </w:rPr>
  </w:style>
  <w:style w:type="paragraph" w:customStyle="1" w:styleId="49">
    <w:name w:val="图名"/>
    <w:basedOn w:val="1"/>
    <w:link w:val="66"/>
    <w:qFormat/>
    <w:uiPriority w:val="0"/>
    <w:pPr>
      <w:spacing w:after="30" w:afterLines="30" w:line="240" w:lineRule="auto"/>
      <w:ind w:firstLine="0" w:firstLineChars="0"/>
      <w:jc w:val="center"/>
    </w:pPr>
    <w:rPr>
      <w:rFonts w:hint="eastAsia" w:ascii="方正黑体_GBK" w:hAnsi="方正黑体_GBK" w:eastAsia="方正黑体_GBK" w:cs="方正黑体_GBK"/>
      <w:sz w:val="24"/>
    </w:rPr>
  </w:style>
  <w:style w:type="paragraph" w:customStyle="1" w:styleId="50">
    <w:name w:val="表格首行"/>
    <w:basedOn w:val="1"/>
    <w:qFormat/>
    <w:uiPriority w:val="0"/>
    <w:pPr>
      <w:widowControl/>
      <w:adjustRightInd w:val="0"/>
      <w:snapToGrid w:val="0"/>
      <w:spacing w:line="320" w:lineRule="exact"/>
      <w:ind w:firstLine="0" w:firstLineChars="0"/>
      <w:jc w:val="center"/>
    </w:pPr>
    <w:rPr>
      <w:rFonts w:hint="eastAsia" w:ascii="黑体" w:hAnsi="黑体" w:eastAsia="黑体" w:cs="Times New Roman"/>
      <w:kern w:val="0"/>
      <w:sz w:val="24"/>
      <w:szCs w:val="24"/>
    </w:rPr>
  </w:style>
  <w:style w:type="character" w:customStyle="1" w:styleId="51">
    <w:name w:val="font81"/>
    <w:basedOn w:val="31"/>
    <w:autoRedefine/>
    <w:qFormat/>
    <w:uiPriority w:val="0"/>
    <w:rPr>
      <w:rFonts w:ascii="等线" w:hAnsi="等线" w:eastAsia="等线" w:cs="等线"/>
      <w:color w:val="FF0000"/>
      <w:sz w:val="44"/>
      <w:szCs w:val="44"/>
      <w:u w:val="single"/>
    </w:rPr>
  </w:style>
  <w:style w:type="character" w:customStyle="1" w:styleId="52">
    <w:name w:val="font21"/>
    <w:basedOn w:val="31"/>
    <w:autoRedefine/>
    <w:qFormat/>
    <w:uiPriority w:val="0"/>
    <w:rPr>
      <w:rFonts w:hint="eastAsia" w:ascii="宋体" w:hAnsi="宋体" w:eastAsia="宋体" w:cs="宋体"/>
      <w:color w:val="FF0000"/>
      <w:sz w:val="22"/>
      <w:szCs w:val="22"/>
      <w:u w:val="single"/>
    </w:rPr>
  </w:style>
  <w:style w:type="paragraph" w:styleId="53">
    <w:name w:val="List Paragraph"/>
    <w:basedOn w:val="1"/>
    <w:autoRedefine/>
    <w:qFormat/>
    <w:uiPriority w:val="34"/>
    <w:pPr>
      <w:ind w:firstLine="420"/>
    </w:pPr>
  </w:style>
  <w:style w:type="paragraph" w:customStyle="1" w:styleId="54">
    <w:name w:val="TT正文"/>
    <w:basedOn w:val="1"/>
    <w:autoRedefine/>
    <w:qFormat/>
    <w:uiPriority w:val="0"/>
    <w:pPr>
      <w:tabs>
        <w:tab w:val="left" w:pos="5461"/>
      </w:tabs>
      <w:ind w:firstLine="482"/>
      <w:jc w:val="left"/>
    </w:pPr>
    <w:rPr>
      <w:b/>
      <w:bCs/>
      <w:sz w:val="24"/>
      <w:szCs w:val="24"/>
      <w:lang w:val="zh-CN"/>
    </w:rPr>
  </w:style>
  <w:style w:type="paragraph" w:customStyle="1" w:styleId="55">
    <w:name w:val="Table caption|1"/>
    <w:basedOn w:val="1"/>
    <w:qFormat/>
    <w:uiPriority w:val="0"/>
    <w:pPr>
      <w:spacing w:line="317" w:lineRule="exact"/>
      <w:ind w:firstLine="220"/>
    </w:pPr>
    <w:rPr>
      <w:rFonts w:ascii="宋体" w:hAnsi="宋体" w:eastAsia="宋体" w:cs="宋体"/>
      <w:sz w:val="22"/>
      <w:szCs w:val="22"/>
      <w:lang w:val="zh-TW" w:eastAsia="zh-TW" w:bidi="zh-TW"/>
    </w:rPr>
  </w:style>
  <w:style w:type="table" w:customStyle="1" w:styleId="56">
    <w:name w:val="网格型20"/>
    <w:basedOn w:val="2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57">
    <w:name w:val="WPSOffice手动目录 1"/>
    <w:qFormat/>
    <w:uiPriority w:val="0"/>
    <w:rPr>
      <w:rFonts w:ascii="Times New Roman" w:hAnsi="Times New Roman" w:eastAsia="宋体" w:cs="Times New Roman"/>
      <w:lang w:val="en-US" w:eastAsia="zh-CN" w:bidi="ar-SA"/>
    </w:rPr>
  </w:style>
  <w:style w:type="paragraph" w:customStyle="1" w:styleId="58">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59">
    <w:name w:val="15"/>
    <w:basedOn w:val="31"/>
    <w:qFormat/>
    <w:uiPriority w:val="0"/>
    <w:rPr>
      <w:rFonts w:hint="eastAsia" w:ascii="方正仿宋_GBK" w:hAnsi="方正仿宋_GBK" w:eastAsia="方正仿宋_GBK" w:cs="方正仿宋_GBK"/>
      <w:b/>
      <w:bCs/>
      <w:sz w:val="32"/>
      <w:szCs w:val="32"/>
    </w:rPr>
  </w:style>
  <w:style w:type="paragraph" w:customStyle="1" w:styleId="60">
    <w:name w:val="acbfdd8b-e11b-4d36-88ff-6049b138f862"/>
    <w:qFormat/>
    <w:uiPriority w:val="0"/>
    <w:pPr>
      <w:autoSpaceDE w:val="0"/>
      <w:adjustRightInd w:val="0"/>
      <w:spacing w:line="288" w:lineRule="auto"/>
      <w:ind w:firstLine="271" w:firstLineChars="271"/>
    </w:pPr>
    <w:rPr>
      <w:rFonts w:hint="eastAsia" w:ascii="微软雅黑" w:hAnsi="微软雅黑" w:eastAsia="微软雅黑" w:cs="Times New Roman"/>
      <w:color w:val="000000"/>
      <w:kern w:val="2"/>
      <w:sz w:val="22"/>
      <w:szCs w:val="22"/>
      <w:lang w:val="en-US" w:eastAsia="zh-CN" w:bidi="ar-SA"/>
    </w:rPr>
  </w:style>
  <w:style w:type="character" w:customStyle="1" w:styleId="61">
    <w:name w:val="10"/>
    <w:basedOn w:val="31"/>
    <w:qFormat/>
    <w:uiPriority w:val="0"/>
    <w:rPr>
      <w:rFonts w:hint="default" w:ascii="Times New Roman" w:hAnsi="Times New Roman" w:cs="Times New Roman"/>
    </w:rPr>
  </w:style>
  <w:style w:type="character" w:customStyle="1" w:styleId="62">
    <w:name w:val="16"/>
    <w:basedOn w:val="31"/>
    <w:qFormat/>
    <w:uiPriority w:val="0"/>
    <w:rPr>
      <w:rFonts w:hint="eastAsia" w:ascii="宋体" w:hAnsi="宋体" w:eastAsia="宋体" w:cs="宋体"/>
      <w:color w:val="FF0000"/>
      <w:sz w:val="22"/>
      <w:szCs w:val="22"/>
      <w:u w:val="single"/>
    </w:rPr>
  </w:style>
  <w:style w:type="character" w:customStyle="1" w:styleId="63">
    <w:name w:val="font01"/>
    <w:basedOn w:val="31"/>
    <w:qFormat/>
    <w:uiPriority w:val="0"/>
    <w:rPr>
      <w:rFonts w:hint="default" w:ascii="Arial" w:hAnsi="Arial" w:cs="Arial"/>
      <w:color w:val="000000"/>
      <w:sz w:val="20"/>
      <w:szCs w:val="20"/>
      <w:u w:val="none"/>
    </w:rPr>
  </w:style>
  <w:style w:type="paragraph" w:customStyle="1" w:styleId="64">
    <w:name w:val="Table Text"/>
    <w:basedOn w:val="1"/>
    <w:autoRedefine/>
    <w:hidden/>
    <w:qFormat/>
    <w:uiPriority w:val="0"/>
    <w:pPr>
      <w:kinsoku w:val="0"/>
      <w:autoSpaceDE w:val="0"/>
      <w:autoSpaceDN w:val="0"/>
      <w:textAlignment w:val="baseline"/>
    </w:pPr>
    <w:rPr>
      <w:rFonts w:hint="eastAsia" w:ascii="宋体" w:hAnsi="宋体" w:eastAsia="宋体"/>
      <w:color w:val="000000"/>
      <w:kern w:val="0"/>
      <w:sz w:val="22"/>
      <w:szCs w:val="22"/>
    </w:rPr>
  </w:style>
  <w:style w:type="character" w:customStyle="1" w:styleId="65">
    <w:name w:val="表格文字 Char"/>
    <w:link w:val="41"/>
    <w:qFormat/>
    <w:uiPriority w:val="0"/>
    <w:rPr>
      <w:rFonts w:cs="Times New Roman"/>
      <w:kern w:val="0"/>
      <w:sz w:val="24"/>
      <w:szCs w:val="24"/>
    </w:rPr>
  </w:style>
  <w:style w:type="character" w:customStyle="1" w:styleId="66">
    <w:name w:val="图名 Char"/>
    <w:link w:val="49"/>
    <w:qFormat/>
    <w:uiPriority w:val="0"/>
    <w:rPr>
      <w:rFonts w:hint="eastAsia" w:ascii="方正黑体_GBK" w:hAnsi="方正黑体_GBK" w:eastAsia="方正黑体_GBK" w:cs="方正黑体_GBK"/>
      <w:sz w:val="24"/>
    </w:rPr>
  </w:style>
  <w:style w:type="character" w:customStyle="1" w:styleId="67">
    <w:name w:val="正文文本首行缩进 字符"/>
    <w:basedOn w:val="31"/>
    <w:link w:val="27"/>
    <w:qFormat/>
    <w:uiPriority w:val="0"/>
    <w:rPr>
      <w:rFonts w:ascii="Calibri" w:hAnsi="Calibri" w:eastAsia="仿宋" w:cs="方正仿宋_GBK"/>
      <w:color w:val="000000"/>
      <w:kern w:val="2"/>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chart" Target="charts/chart1.xml"/><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image" Target="media/image4.png"/><Relationship Id="rId23" Type="http://schemas.openxmlformats.org/officeDocument/2006/relationships/image" Target="media/image3.png"/><Relationship Id="rId22" Type="http://schemas.openxmlformats.org/officeDocument/2006/relationships/image" Target="media/image2.png"/><Relationship Id="rId21" Type="http://schemas.openxmlformats.org/officeDocument/2006/relationships/image" Target="media/image1.jpe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header" Target="header6.xml"/><Relationship Id="rId15" Type="http://schemas.openxmlformats.org/officeDocument/2006/relationships/footer" Target="footer6.xml"/><Relationship Id="rId14" Type="http://schemas.openxmlformats.org/officeDocument/2006/relationships/header" Target="header5.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2" Type="http://schemas.openxmlformats.org/officeDocument/2006/relationships/themeOverride" Target="../theme/themeOverride1.xml"/><Relationship Id="rId1" Type="http://schemas.openxmlformats.org/officeDocument/2006/relationships/oleObject" Target="file:///H:\&#27491;&#24335;&#39033;&#30446;\&#22478;&#24066;&#20307;&#26816;2024\&#25253;&#21578;&#25104;&#26524;\&#20303;&#25151;&#32500;&#24230;\&#34903;&#36947;&#38382;&#39064;&#28165;&#21333;\&#20303;&#25151;&#38382;&#39064;&#27719;&#24635;%20-%20&#26032;&#28304;&#36947;&#2591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400" b="1" i="0" u="none" strike="noStrike" kern="1200" spc="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r>
              <a:rPr lang="zh-CN" altLang="en-US">
                <a:solidFill>
                  <a:sysClr val="windowText" lastClr="000000"/>
                </a:solidFill>
              </a:rPr>
              <a:t>住房维度存在问题楼栋数占比</a:t>
            </a:r>
            <a:endParaRPr lang="zh-CN" altLang="en-US" sz="1400" b="1" i="0" u="none" strike="noStrike"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endParaRPr>
          </a:p>
        </c:rich>
      </c:tx>
      <c:layout>
        <c:manualLayout>
          <c:xMode val="edge"/>
          <c:yMode val="edge"/>
          <c:x val="0.320675324675325"/>
          <c:y val="0.0397035468501853"/>
        </c:manualLayout>
      </c:layout>
      <c:overlay val="0"/>
      <c:spPr>
        <a:noFill/>
        <a:ln>
          <a:noFill/>
        </a:ln>
        <a:effectLst/>
      </c:spPr>
    </c:title>
    <c:autoTitleDeleted val="0"/>
    <c:plotArea>
      <c:layout>
        <c:manualLayout>
          <c:layoutTarget val="inner"/>
          <c:xMode val="edge"/>
          <c:yMode val="edge"/>
          <c:x val="0.106"/>
          <c:y val="0.22271754636234"/>
          <c:w val="0.773530842286108"/>
          <c:h val="0.458523537803138"/>
        </c:manualLayout>
      </c:layout>
      <c:barChart>
        <c:barDir val="col"/>
        <c:grouping val="clustered"/>
        <c:varyColors val="0"/>
        <c:ser>
          <c:idx val="0"/>
          <c:order val="0"/>
          <c:tx>
            <c:strRef>
              <c:f>'[住房问题汇总 - 新源道改.xls]三区合计'!$A$2</c:f>
              <c:strCache>
                <c:ptCount val="1"/>
                <c:pt idx="0">
                  <c:v>广阳区</c:v>
                </c:pt>
              </c:strCache>
            </c:strRef>
          </c:tx>
          <c:spPr>
            <a:solidFill>
              <a:srgbClr val="4874CB">
                <a:alpha val="57000"/>
              </a:srgbClr>
            </a:solidFill>
            <a:ln w="38100" cap="rnd" cmpd="dbl">
              <a:noFill/>
              <a:round/>
              <a:headEnd type="none"/>
              <a:tailEnd type="none"/>
            </a:ln>
            <a:effectLst/>
          </c:spPr>
          <c:invertIfNegative val="0"/>
          <c:dLbls>
            <c:delete val="1"/>
          </c:dLbls>
          <c:cat>
            <c:strRef>
              <c:f>'[住房问题汇总 - 新源道改.xls]三区合计'!$B$1:$K$1</c:f>
              <c:strCache>
                <c:ptCount val="10"/>
                <c:pt idx="0">
                  <c:v>☆存在结构安全隐患的住宅数量占比</c:v>
                </c:pt>
                <c:pt idx="1">
                  <c:v>存在燃气安全隐患的住宅数量占比</c:v>
                </c:pt>
                <c:pt idx="2">
                  <c:v>存在楼道安全隐患的住宅数量占比</c:v>
                </c:pt>
                <c:pt idx="3">
                  <c:v>存在围护安全隐患的住宅数量占比</c:v>
                </c:pt>
                <c:pt idx="4">
                  <c:v>非成套住宅数量占比</c:v>
                </c:pt>
                <c:pt idx="5">
                  <c:v>☆存在管线管道破损的住宅数量占比</c:v>
                </c:pt>
                <c:pt idx="6">
                  <c:v>☆入户水质不达标的住宅数量占比</c:v>
                </c:pt>
                <c:pt idx="7">
                  <c:v>需要进行适老化改造的住宅数量占比</c:v>
                </c:pt>
                <c:pt idx="8">
                  <c:v>需要进行节能改造的住宅数量占比</c:v>
                </c:pt>
                <c:pt idx="9">
                  <c:v>需要进行数字化改造的住宅数量占比</c:v>
                </c:pt>
              </c:strCache>
            </c:strRef>
          </c:cat>
          <c:val>
            <c:numRef>
              <c:f>'[住房问题汇总 - 新源道改.xls]三区合计'!$B$2:$K$2</c:f>
              <c:numCache>
                <c:formatCode>0.00%</c:formatCode>
                <c:ptCount val="10"/>
                <c:pt idx="0">
                  <c:v>0.0397085610200364</c:v>
                </c:pt>
                <c:pt idx="1">
                  <c:v>0</c:v>
                </c:pt>
                <c:pt idx="2">
                  <c:v>0.26448087431694</c:v>
                </c:pt>
                <c:pt idx="3">
                  <c:v>0.229508196721311</c:v>
                </c:pt>
                <c:pt idx="4">
                  <c:v>0.00109289617486339</c:v>
                </c:pt>
                <c:pt idx="5">
                  <c:v>0</c:v>
                </c:pt>
                <c:pt idx="6">
                  <c:v>0</c:v>
                </c:pt>
                <c:pt idx="7">
                  <c:v>0</c:v>
                </c:pt>
                <c:pt idx="8">
                  <c:v>0.0331511839708561</c:v>
                </c:pt>
                <c:pt idx="9">
                  <c:v>0.316211293260474</c:v>
                </c:pt>
              </c:numCache>
            </c:numRef>
          </c:val>
        </c:ser>
        <c:ser>
          <c:idx val="1"/>
          <c:order val="1"/>
          <c:tx>
            <c:strRef>
              <c:f>'[住房问题汇总 - 新源道改.xls]三区合计'!$A$3</c:f>
              <c:strCache>
                <c:ptCount val="1"/>
                <c:pt idx="0">
                  <c:v>安次区</c:v>
                </c:pt>
              </c:strCache>
            </c:strRef>
          </c:tx>
          <c:spPr>
            <a:solidFill>
              <a:srgbClr val="7030A0">
                <a:alpha val="59000"/>
              </a:srgbClr>
            </a:solidFill>
            <a:ln w="38100" cap="rnd" cmpd="dbl">
              <a:noFill/>
              <a:round/>
              <a:tailEnd type="none"/>
            </a:ln>
            <a:effectLst/>
          </c:spPr>
          <c:invertIfNegative val="0"/>
          <c:dLbls>
            <c:delete val="1"/>
          </c:dLbls>
          <c:cat>
            <c:strRef>
              <c:f>'[住房问题汇总 - 新源道改.xls]三区合计'!$B$1:$K$1</c:f>
              <c:strCache>
                <c:ptCount val="10"/>
                <c:pt idx="0">
                  <c:v>☆存在结构安全隐患的住宅数量占比</c:v>
                </c:pt>
                <c:pt idx="1">
                  <c:v>存在燃气安全隐患的住宅数量占比</c:v>
                </c:pt>
                <c:pt idx="2">
                  <c:v>存在楼道安全隐患的住宅数量占比</c:v>
                </c:pt>
                <c:pt idx="3">
                  <c:v>存在围护安全隐患的住宅数量占比</c:v>
                </c:pt>
                <c:pt idx="4">
                  <c:v>非成套住宅数量占比</c:v>
                </c:pt>
                <c:pt idx="5">
                  <c:v>☆存在管线管道破损的住宅数量占比</c:v>
                </c:pt>
                <c:pt idx="6">
                  <c:v>☆入户水质不达标的住宅数量占比</c:v>
                </c:pt>
                <c:pt idx="7">
                  <c:v>需要进行适老化改造的住宅数量占比</c:v>
                </c:pt>
                <c:pt idx="8">
                  <c:v>需要进行节能改造的住宅数量占比</c:v>
                </c:pt>
                <c:pt idx="9">
                  <c:v>需要进行数字化改造的住宅数量占比</c:v>
                </c:pt>
              </c:strCache>
            </c:strRef>
          </c:cat>
          <c:val>
            <c:numRef>
              <c:f>'[住房问题汇总 - 新源道改.xls]三区合计'!$B$3:$K$3</c:f>
              <c:numCache>
                <c:formatCode>0.00%</c:formatCode>
                <c:ptCount val="10"/>
                <c:pt idx="0">
                  <c:v>0.0145672664952871</c:v>
                </c:pt>
                <c:pt idx="1">
                  <c:v>0</c:v>
                </c:pt>
                <c:pt idx="2">
                  <c:v>0.339331619537275</c:v>
                </c:pt>
                <c:pt idx="3">
                  <c:v>0.200514138817481</c:v>
                </c:pt>
                <c:pt idx="4">
                  <c:v>0.000856898029134533</c:v>
                </c:pt>
                <c:pt idx="5">
                  <c:v>0.0608397600685518</c:v>
                </c:pt>
                <c:pt idx="6">
                  <c:v>0</c:v>
                </c:pt>
                <c:pt idx="7">
                  <c:v>0.101113967437875</c:v>
                </c:pt>
                <c:pt idx="8">
                  <c:v>0</c:v>
                </c:pt>
                <c:pt idx="9">
                  <c:v>0.349614395886889</c:v>
                </c:pt>
              </c:numCache>
            </c:numRef>
          </c:val>
        </c:ser>
        <c:ser>
          <c:idx val="2"/>
          <c:order val="2"/>
          <c:tx>
            <c:strRef>
              <c:f>'[住房问题汇总 - 新源道改.xls]三区合计'!$A$4</c:f>
              <c:strCache>
                <c:ptCount val="1"/>
                <c:pt idx="0">
                  <c:v>开发区</c:v>
                </c:pt>
              </c:strCache>
            </c:strRef>
          </c:tx>
          <c:spPr>
            <a:solidFill>
              <a:srgbClr val="30C0B4">
                <a:alpha val="69000"/>
              </a:srgbClr>
            </a:solidFill>
            <a:ln w="38100" cap="rnd" cmpd="dbl">
              <a:noFill/>
              <a:round/>
            </a:ln>
            <a:effectLst/>
          </c:spPr>
          <c:invertIfNegative val="0"/>
          <c:dPt>
            <c:idx val="0"/>
            <c:invertIfNegative val="0"/>
            <c:bubble3D val="0"/>
            <c:spPr>
              <a:solidFill>
                <a:srgbClr val="30C0B4">
                  <a:alpha val="69000"/>
                </a:srgbClr>
              </a:solidFill>
              <a:ln w="38100" cap="rnd" cmpd="dbl">
                <a:noFill/>
                <a:round/>
                <a:headEnd type="none"/>
                <a:tailEnd type="none"/>
              </a:ln>
              <a:effectLst/>
            </c:spPr>
          </c:dPt>
          <c:dLbls>
            <c:delete val="1"/>
          </c:dLbls>
          <c:cat>
            <c:strRef>
              <c:f>'[住房问题汇总 - 新源道改.xls]三区合计'!$B$1:$K$1</c:f>
              <c:strCache>
                <c:ptCount val="10"/>
                <c:pt idx="0">
                  <c:v>☆存在结构安全隐患的住宅数量占比</c:v>
                </c:pt>
                <c:pt idx="1">
                  <c:v>存在燃气安全隐患的住宅数量占比</c:v>
                </c:pt>
                <c:pt idx="2">
                  <c:v>存在楼道安全隐患的住宅数量占比</c:v>
                </c:pt>
                <c:pt idx="3">
                  <c:v>存在围护安全隐患的住宅数量占比</c:v>
                </c:pt>
                <c:pt idx="4">
                  <c:v>非成套住宅数量占比</c:v>
                </c:pt>
                <c:pt idx="5">
                  <c:v>☆存在管线管道破损的住宅数量占比</c:v>
                </c:pt>
                <c:pt idx="6">
                  <c:v>☆入户水质不达标的住宅数量占比</c:v>
                </c:pt>
                <c:pt idx="7">
                  <c:v>需要进行适老化改造的住宅数量占比</c:v>
                </c:pt>
                <c:pt idx="8">
                  <c:v>需要进行节能改造的住宅数量占比</c:v>
                </c:pt>
                <c:pt idx="9">
                  <c:v>需要进行数字化改造的住宅数量占比</c:v>
                </c:pt>
              </c:strCache>
            </c:strRef>
          </c:cat>
          <c:val>
            <c:numRef>
              <c:f>'[住房问题汇总 - 新源道改.xls]三区合计'!$B$4:$K$4</c:f>
              <c:numCache>
                <c:formatCode>0.00%</c:formatCode>
                <c:ptCount val="10"/>
                <c:pt idx="0">
                  <c:v>0.0268714011516315</c:v>
                </c:pt>
                <c:pt idx="1">
                  <c:v>0</c:v>
                </c:pt>
                <c:pt idx="2">
                  <c:v>0.299424184261036</c:v>
                </c:pt>
                <c:pt idx="3">
                  <c:v>0.18042226487524</c:v>
                </c:pt>
                <c:pt idx="4">
                  <c:v>0.00191938579654511</c:v>
                </c:pt>
                <c:pt idx="5">
                  <c:v>0.0326295585412668</c:v>
                </c:pt>
                <c:pt idx="6">
                  <c:v>0</c:v>
                </c:pt>
                <c:pt idx="7">
                  <c:v>0.0134357005758157</c:v>
                </c:pt>
                <c:pt idx="8">
                  <c:v>0</c:v>
                </c:pt>
                <c:pt idx="9">
                  <c:v>0.428023032629559</c:v>
                </c:pt>
              </c:numCache>
            </c:numRef>
          </c:val>
        </c:ser>
        <c:dLbls>
          <c:showLegendKey val="0"/>
          <c:showVal val="0"/>
          <c:showCatName val="0"/>
          <c:showSerName val="0"/>
          <c:showPercent val="0"/>
          <c:showBubbleSize val="0"/>
        </c:dLbls>
        <c:gapWidth val="150"/>
        <c:axId val="617654180"/>
        <c:axId val="235042007"/>
      </c:barChart>
      <c:lineChart>
        <c:grouping val="standard"/>
        <c:varyColors val="0"/>
        <c:ser>
          <c:idx val="3"/>
          <c:order val="3"/>
          <c:tx>
            <c:strRef>
              <c:f>'[住房问题汇总 - 新源道改.xls]三区合计'!$A$5</c:f>
              <c:strCache>
                <c:ptCount val="1"/>
                <c:pt idx="0">
                  <c:v>建成区</c:v>
                </c:pt>
              </c:strCache>
            </c:strRef>
          </c:tx>
          <c:spPr>
            <a:ln w="28575" cap="rnd" cmpd="sng" algn="ctr">
              <a:solidFill>
                <a:srgbClr val="EE822F"/>
              </a:solidFill>
              <a:prstDash val="solid"/>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ysClr val="windowText" lastClr="000000"/>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'[住房问题汇总 - 新源道改.xls]三区合计'!$B$1:$K$1</c:f>
              <c:strCache>
                <c:ptCount val="10"/>
                <c:pt idx="0">
                  <c:v>☆存在结构安全隐患的住宅数量占比</c:v>
                </c:pt>
                <c:pt idx="1">
                  <c:v>存在燃气安全隐患的住宅数量占比</c:v>
                </c:pt>
                <c:pt idx="2">
                  <c:v>存在楼道安全隐患的住宅数量占比</c:v>
                </c:pt>
                <c:pt idx="3">
                  <c:v>存在围护安全隐患的住宅数量占比</c:v>
                </c:pt>
                <c:pt idx="4">
                  <c:v>非成套住宅数量占比</c:v>
                </c:pt>
                <c:pt idx="5">
                  <c:v>☆存在管线管道破损的住宅数量占比</c:v>
                </c:pt>
                <c:pt idx="6">
                  <c:v>☆入户水质不达标的住宅数量占比</c:v>
                </c:pt>
                <c:pt idx="7">
                  <c:v>需要进行适老化改造的住宅数量占比</c:v>
                </c:pt>
                <c:pt idx="8">
                  <c:v>需要进行节能改造的住宅数量占比</c:v>
                </c:pt>
                <c:pt idx="9">
                  <c:v>需要进行数字化改造的住宅数量占比</c:v>
                </c:pt>
              </c:strCache>
            </c:strRef>
          </c:cat>
          <c:val>
            <c:numRef>
              <c:f>'[住房问题汇总 - 新源道改.xls]三区合计'!$B$5:$K$5</c:f>
              <c:numCache>
                <c:formatCode>0.00%</c:formatCode>
                <c:ptCount val="10"/>
                <c:pt idx="0">
                  <c:v>0.0315813219039026</c:v>
                </c:pt>
                <c:pt idx="1">
                  <c:v>0</c:v>
                </c:pt>
                <c:pt idx="2">
                  <c:v>0.288292352808482</c:v>
                </c:pt>
                <c:pt idx="3">
                  <c:v>0.21610647417099</c:v>
                </c:pt>
                <c:pt idx="4">
                  <c:v>0.00112790435371081</c:v>
                </c:pt>
                <c:pt idx="5">
                  <c:v>0.0873</c:v>
                </c:pt>
                <c:pt idx="6" c:formatCode="General">
                  <c:v>0</c:v>
                </c:pt>
                <c:pt idx="7">
                  <c:v>0.173</c:v>
                </c:pt>
                <c:pt idx="8">
                  <c:v>0.0205278592375367</c:v>
                </c:pt>
                <c:pt idx="9">
                  <c:v>0.338145725242499</c:v>
                </c:pt>
              </c:numCache>
            </c:numRef>
          </c:val>
          <c:smooth val="0"/>
        </c:ser>
        <c:dLbls>
          <c:showLegendKey val="0"/>
          <c:showVal val="0"/>
          <c:showCatName val="0"/>
          <c:showSerName val="0"/>
          <c:showPercent val="0"/>
          <c:showBubbleSize val="0"/>
        </c:dLbls>
        <c:marker val="0"/>
        <c:smooth val="0"/>
        <c:axId val="617654180"/>
        <c:axId val="235042007"/>
      </c:lineChart>
      <c:catAx>
        <c:axId val="617654180"/>
        <c:scaling>
          <c:orientation val="minMax"/>
        </c:scaling>
        <c:delete val="0"/>
        <c:axPos val="b"/>
        <c:numFmt formatCode="General" sourceLinked="0"/>
        <c:majorTickMark val="none"/>
        <c:minorTickMark val="none"/>
        <c:tickLblPos val="nextTo"/>
        <c:spPr>
          <a:noFill/>
          <a:ln w="12700" cap="flat" cmpd="sng" algn="ctr">
            <a:solidFill>
              <a:schemeClr val="tx1">
                <a:lumMod val="50000"/>
                <a:lumOff val="50000"/>
                <a:alpha val="25000"/>
              </a:schemeClr>
            </a:solidFill>
            <a:prstDash val="solid"/>
            <a:round/>
          </a:ln>
          <a:effectLst/>
        </c:spPr>
        <c:txPr>
          <a:bodyPr rot="0" spcFirstLastPara="0" vertOverflow="ellipsis" vert="eaVert" wrap="square" anchor="ctr" anchorCtr="1" forceAA="0"/>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crossAx val="235042007"/>
        <c:crosses val="autoZero"/>
        <c:auto val="1"/>
        <c:lblAlgn val="ctr"/>
        <c:lblOffset val="100"/>
        <c:noMultiLvlLbl val="0"/>
      </c:catAx>
      <c:valAx>
        <c:axId val="235042007"/>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12700" cap="flat" cmpd="sng" algn="ctr">
            <a:noFill/>
            <a:prstDash val="solid"/>
            <a:round/>
          </a:ln>
          <a:effectLst/>
        </c:spPr>
        <c:txPr>
          <a:bodyPr rot="-60000000" spcFirstLastPara="0" vertOverflow="ellipsis" vert="horz" wrap="square" anchor="ctr" anchorCtr="1" forceAA="0"/>
          <a:lstStyle/>
          <a:p>
            <a:pPr>
              <a:defRPr lang="zh-CN" sz="900" b="0" i="0" u="none" strike="noStrike" kern="1200" baseline="0">
                <a:solidFill>
                  <a:sysClr val="windowText" lastClr="000000"/>
                </a:solidFill>
                <a:latin typeface="Arial" panose="020B0604020202020204" pitchFamily="2" charset="0"/>
                <a:ea typeface="Arial" panose="020B0604020202020204" pitchFamily="2" charset="0"/>
                <a:cs typeface="Arial" panose="020B0604020202020204" pitchFamily="2" charset="0"/>
                <a:sym typeface="Arial" panose="020B0604020202020204" pitchFamily="2" charset="0"/>
              </a:defRPr>
            </a:pPr>
          </a:p>
        </c:txPr>
        <c:crossAx val="617654180"/>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Entry>
      <c:layout>
        <c:manualLayout>
          <c:xMode val="edge"/>
          <c:yMode val="edge"/>
          <c:x val="0.866805194805195"/>
          <c:y val="0.752073407446621"/>
          <c:w val="0.116"/>
          <c:h val="0.21475"/>
        </c:manualLayout>
      </c:layout>
      <c:overlay val="0"/>
      <c:spPr>
        <a:noFill/>
        <a:ln>
          <a:noFill/>
        </a:ln>
        <a:effectLst/>
      </c:spPr>
      <c:txPr>
        <a:bodyPr rot="0" spcFirstLastPara="0" vertOverflow="ellipsis" vert="horz" wrap="square" anchor="ctr" anchorCtr="1" forceAA="0"/>
        <a:lstStyle/>
        <a:p>
          <a:pPr>
            <a:defRPr lang="zh-CN" sz="900" b="0" i="0" u="none" strike="noStrike" kern="1200" baseline="0">
              <a:solidFill>
                <a:sysClr val="windowText" lastClr="000000"/>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
    <c:plotVisOnly val="1"/>
    <c:dispBlanksAs val="gap"/>
    <c:showDLblsOverMax val="0"/>
    <c:extLst>
      <c:ext uri="{0b15fc19-7d7d-44ad-8c2d-2c3a37ce22c3}">
        <chartProps xmlns="https://web.wps.cn/et/2018/main" chartId="{82043584-bfa5-495f-ab15-a3f97a377918}"/>
      </c:ext>
    </c:extLst>
  </c:chart>
  <c:spPr>
    <a:solidFill>
      <a:schemeClr val="bg1"/>
    </a:solidFill>
    <a:ln w="6350" cap="flat" cmpd="sng" algn="ctr">
      <a:solidFill>
        <a:schemeClr val="tx1">
          <a:lumMod val="50000"/>
          <a:lumOff val="50000"/>
          <a:alpha val="25000"/>
        </a:schemeClr>
      </a:solidFill>
      <a:prstDash val="solid"/>
      <a:round/>
    </a:ln>
    <a:effectLst/>
  </c:spPr>
  <c:txPr>
    <a:bodyPr wrap="square"/>
    <a:lstStyle/>
    <a:p>
      <a:pPr>
        <a:defRPr lang="zh-CN">
          <a:solidFill>
            <a:sysClr val="windowText" lastClr="000000"/>
          </a:solidFill>
        </a:defRPr>
      </a:pPr>
    </a:p>
  </c:txPr>
  <c:externalData r:id="rId1">
    <c:autoUpdate val="0"/>
  </c:externalData>
</c:chartSpac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自定义 2">
    <a:dk1>
      <a:srgbClr val="000000"/>
    </a:dk1>
    <a:lt1>
      <a:srgbClr val="FFFFFF"/>
    </a:lt1>
    <a:dk2>
      <a:srgbClr val="98A8BC"/>
    </a:dk2>
    <a:lt2>
      <a:srgbClr val="E7E6E6"/>
    </a:lt2>
    <a:accent1>
      <a:srgbClr val="519B37"/>
    </a:accent1>
    <a:accent2>
      <a:srgbClr val="BFCD3D"/>
    </a:accent2>
    <a:accent3>
      <a:srgbClr val="1E967B"/>
    </a:accent3>
    <a:accent4>
      <a:srgbClr val="519B37"/>
    </a:accent4>
    <a:accent5>
      <a:srgbClr val="BFCD3D"/>
    </a:accent5>
    <a:accent6>
      <a:srgbClr val="1E967B"/>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253</Pages>
  <Words>155777</Words>
  <Characters>166615</Characters>
  <Lines>1236</Lines>
  <Paragraphs>348</Paragraphs>
  <TotalTime>3</TotalTime>
  <ScaleCrop>false</ScaleCrop>
  <LinksUpToDate>false</LinksUpToDate>
  <CharactersWithSpaces>166826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2025-03-03T13:00:00Z</dcterms:created>
  <dc:creator>wangjie</dc:creator>
  <cp:lastModifiedBy>江明</cp:lastModifiedBy>
  <dcterms:modified xsi:type="dcterms:W3CDTF">2025-03-11T03:53:47Z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D666954CCED844E394EC563C77FC8534_13</vt:lpwstr>
  </property>
  <property fmtid="{D5CDD505-2E9C-101B-9397-08002B2CF9AE}" pid="4" name="KSOTemplateDocerSaveRecord">
    <vt:lpwstr>eyJoZGlkIjoiMmM1NzI1OGE2NjYxNjc5NTVhYzNhYzhmYTIzNTE4YmUiLCJ1c2VySWQiOiI4ODg1MjA1NDAifQ==</vt:lpwstr>
  </property>
</Properties>
</file>