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F8EE1">
      <w:pPr>
        <w:spacing w:line="360" w:lineRule="auto"/>
        <w:ind w:firstLine="880" w:firstLineChars="200"/>
        <w:jc w:val="center"/>
        <w:rPr>
          <w:rFonts w:hint="eastAsia" w:ascii="方正小标宋简体" w:hAnsi="方正小标宋简体" w:eastAsia="方正小标宋简体" w:cs="方正小标宋简体"/>
          <w:bCs/>
          <w:sz w:val="44"/>
          <w:szCs w:val="44"/>
        </w:rPr>
      </w:pPr>
      <w:bookmarkStart w:id="2" w:name="_GoBack"/>
    </w:p>
    <w:p w14:paraId="124B0451">
      <w:pPr>
        <w:spacing w:line="600" w:lineRule="exact"/>
        <w:ind w:firstLine="880" w:firstLineChars="200"/>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廊坊市项目建设管理平台软件服务及运维运营服务招标公告</w:t>
      </w:r>
    </w:p>
    <w:p w14:paraId="6D62E35E">
      <w:pPr>
        <w:spacing w:line="600" w:lineRule="exact"/>
        <w:ind w:firstLine="480" w:firstLineChars="200"/>
        <w:rPr>
          <w:rFonts w:ascii="Times New Roman" w:hAnsi="Times New Roman" w:eastAsia="仿宋"/>
          <w:sz w:val="24"/>
        </w:rPr>
      </w:pPr>
    </w:p>
    <w:p w14:paraId="7CDCF4B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为进一步加强对全市项目建设的全过程管理，着力提升项目管理水平，廊坊市发展和改革委员会拟通过综合比选的方式选定廊坊市项目建设管理平台软件服务及运维运营服务单位。现将有关事项公告如下：</w:t>
      </w:r>
    </w:p>
    <w:p w14:paraId="22C02A38">
      <w:pPr>
        <w:spacing w:line="600" w:lineRule="exact"/>
        <w:ind w:firstLine="640" w:firstLineChars="200"/>
        <w:rPr>
          <w:rFonts w:hint="eastAsia" w:ascii="CESI黑体-GB13000" w:hAnsi="CESI黑体-GB13000" w:eastAsia="CESI黑体-GB13000" w:cs="CESI黑体-GB13000"/>
          <w:sz w:val="32"/>
          <w:szCs w:val="32"/>
        </w:rPr>
      </w:pPr>
      <w:r>
        <w:rPr>
          <w:rFonts w:hint="eastAsia" w:ascii="CESI黑体-GB13000" w:hAnsi="CESI黑体-GB13000" w:eastAsia="CESI黑体-GB13000" w:cs="CESI黑体-GB13000"/>
          <w:sz w:val="32"/>
          <w:szCs w:val="32"/>
        </w:rPr>
        <w:t>一、采购事项</w:t>
      </w:r>
    </w:p>
    <w:p w14:paraId="6D8916AC">
      <w:pPr>
        <w:spacing w:line="600" w:lineRule="exact"/>
        <w:ind w:firstLine="640" w:firstLineChars="200"/>
        <w:rPr>
          <w:rFonts w:hint="eastAsia" w:ascii="仿宋_GB2312" w:hAnsi="仿宋_GB2312" w:eastAsia="仿宋_GB2312" w:cs="仿宋_GB2312"/>
          <w:sz w:val="32"/>
          <w:szCs w:val="32"/>
        </w:rPr>
      </w:pPr>
      <w:bookmarkStart w:id="0" w:name="_Hlk29819880"/>
      <w:r>
        <w:rPr>
          <w:rFonts w:hint="eastAsia" w:ascii="仿宋_GB2312" w:hAnsi="仿宋_GB2312" w:eastAsia="仿宋_GB2312" w:cs="仿宋_GB2312"/>
          <w:sz w:val="32"/>
          <w:szCs w:val="32"/>
        </w:rPr>
        <w:t>1.项目名称：廊坊市项目建设管理平台软件服务及运维运营服务</w:t>
      </w:r>
    </w:p>
    <w:p w14:paraId="35D1F4B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采购需求：搭建全市项目管理调度平台，有效支撑全市项目建设调度管理的需要。一是数据维护。保障与河北省投资项目在线审批监管平台和廊坊市工程建设项目审批管理系统的对接，维护项目建设基础数据。二是日常安全维护。每天对后台数据进行维护，根据工作需要提供技术支持。三是提示督办。根据市领导要求随时对“七个项目库”电脑端和手机端进行调整，不断拓展平台功能。</w:t>
      </w:r>
      <w:bookmarkEnd w:id="0"/>
    </w:p>
    <w:p w14:paraId="0C32AD9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3.预算金额：人民币3</w:t>
      </w:r>
      <w:r>
        <w:rPr>
          <w:rFonts w:hint="eastAsia" w:ascii="仿宋_GB2312" w:hAnsi="仿宋_GB2312" w:eastAsia="仿宋_GB2312" w:cs="仿宋_GB2312"/>
          <w:sz w:val="32"/>
          <w:szCs w:val="32"/>
          <w:lang w:eastAsia="zh"/>
        </w:rPr>
        <w:t>0</w:t>
      </w:r>
      <w:r>
        <w:rPr>
          <w:rFonts w:hint="eastAsia" w:ascii="仿宋_GB2312" w:hAnsi="仿宋_GB2312" w:eastAsia="仿宋_GB2312" w:cs="仿宋_GB2312"/>
          <w:sz w:val="32"/>
          <w:szCs w:val="32"/>
        </w:rPr>
        <w:t>0000.00元，大写：人民币叁拾万元整。</w:t>
      </w:r>
    </w:p>
    <w:p w14:paraId="6864AF65">
      <w:pPr>
        <w:spacing w:line="60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最高限价：人民币3</w:t>
      </w:r>
      <w:r>
        <w:rPr>
          <w:rFonts w:hint="eastAsia" w:ascii="仿宋_GB2312" w:hAnsi="仿宋_GB2312" w:eastAsia="仿宋_GB2312" w:cs="仿宋_GB2312"/>
          <w:sz w:val="32"/>
          <w:szCs w:val="32"/>
          <w:lang w:eastAsia="zh"/>
        </w:rPr>
        <w:t>0</w:t>
      </w:r>
      <w:r>
        <w:rPr>
          <w:rFonts w:hint="eastAsia" w:ascii="仿宋_GB2312" w:hAnsi="仿宋_GB2312" w:eastAsia="仿宋_GB2312" w:cs="仿宋_GB2312"/>
          <w:sz w:val="32"/>
          <w:szCs w:val="32"/>
        </w:rPr>
        <w:t>0000.00元，大写：人民币叁拾万元整。</w:t>
      </w:r>
      <w:r>
        <w:rPr>
          <w:rFonts w:hint="eastAsia" w:ascii="仿宋_GB2312" w:hAnsi="仿宋_GB2312" w:eastAsia="仿宋_GB2312" w:cs="仿宋_GB2312"/>
          <w:b/>
          <w:bCs/>
          <w:sz w:val="32"/>
          <w:szCs w:val="32"/>
        </w:rPr>
        <w:t>投标人报价超出最高限价视为无效投标。</w:t>
      </w:r>
    </w:p>
    <w:p w14:paraId="6425495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4.服务期限：202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年11月29日起至202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年11月29日</w:t>
      </w:r>
    </w:p>
    <w:p w14:paraId="290202DD">
      <w:pPr>
        <w:spacing w:line="600" w:lineRule="exact"/>
        <w:ind w:firstLine="640" w:firstLineChars="200"/>
        <w:rPr>
          <w:rFonts w:hint="eastAsia" w:ascii="CESI黑体-GB13000" w:hAnsi="CESI黑体-GB13000" w:eastAsia="CESI黑体-GB13000" w:cs="CESI黑体-GB13000"/>
          <w:sz w:val="32"/>
          <w:szCs w:val="32"/>
        </w:rPr>
      </w:pPr>
      <w:r>
        <w:rPr>
          <w:rFonts w:hint="eastAsia" w:ascii="CESI黑体-GB13000" w:hAnsi="CESI黑体-GB13000" w:eastAsia="CESI黑体-GB13000" w:cs="CESI黑体-GB13000"/>
          <w:sz w:val="32"/>
          <w:szCs w:val="32"/>
        </w:rPr>
        <w:t>二、投标人资格要求</w:t>
      </w:r>
    </w:p>
    <w:p w14:paraId="52399D9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1.满足《中华人民共和国政府采购法》第二十二条规定；</w:t>
      </w:r>
    </w:p>
    <w:p w14:paraId="225BF6D6">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2.投标人应为中华人民共和国境内依法注册的独立法人，不接受联合体投标</w:t>
      </w:r>
      <w:r>
        <w:rPr>
          <w:rFonts w:hint="eastAsia" w:ascii="仿宋_GB2312" w:hAnsi="仿宋_GB2312" w:eastAsia="仿宋_GB2312" w:cs="仿宋_GB2312"/>
          <w:sz w:val="32"/>
          <w:szCs w:val="32"/>
          <w:lang w:eastAsia="zh-CN"/>
        </w:rPr>
        <w:t>。</w:t>
      </w:r>
    </w:p>
    <w:p w14:paraId="6F925E24">
      <w:pPr>
        <w:spacing w:line="600" w:lineRule="exact"/>
        <w:ind w:firstLine="640" w:firstLineChars="200"/>
        <w:rPr>
          <w:rFonts w:hint="eastAsia" w:ascii="CESI黑体-GB13000" w:hAnsi="CESI黑体-GB13000" w:eastAsia="CESI黑体-GB13000" w:cs="CESI黑体-GB13000"/>
          <w:sz w:val="32"/>
          <w:szCs w:val="32"/>
        </w:rPr>
      </w:pPr>
      <w:r>
        <w:rPr>
          <w:rFonts w:hint="eastAsia" w:ascii="CESI黑体-GB13000" w:hAnsi="CESI黑体-GB13000" w:eastAsia="CESI黑体-GB13000" w:cs="CESI黑体-GB13000"/>
          <w:sz w:val="32"/>
          <w:szCs w:val="32"/>
        </w:rPr>
        <w:t>三、投标要求</w:t>
      </w:r>
    </w:p>
    <w:p w14:paraId="24D6F5F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1.投标人应在公告要求截至期限内，按照要求将投标材料发送指定电子邮箱，</w:t>
      </w:r>
      <w:r>
        <w:rPr>
          <w:rFonts w:hint="eastAsia" w:ascii="仿宋_GB2312" w:hAnsi="仿宋_GB2312" w:eastAsia="仿宋_GB2312" w:cs="仿宋_GB2312"/>
          <w:b/>
          <w:bCs/>
          <w:sz w:val="32"/>
          <w:szCs w:val="32"/>
        </w:rPr>
        <w:t>超期视为无效投标。</w:t>
      </w:r>
    </w:p>
    <w:p w14:paraId="56F6C99B">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投标公告截至日期：202</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lang w:val="en-US" w:eastAsia="zh-CN"/>
        </w:rPr>
        <w:t>28</w:t>
      </w:r>
      <w:r>
        <w:rPr>
          <w:rFonts w:hint="eastAsia" w:ascii="仿宋_GB2312" w:hAnsi="仿宋_GB2312" w:eastAsia="仿宋_GB2312" w:cs="仿宋_GB2312"/>
          <w:b/>
          <w:bCs/>
          <w:sz w:val="32"/>
          <w:szCs w:val="32"/>
        </w:rPr>
        <w:t>日24：00。</w:t>
      </w:r>
    </w:p>
    <w:p w14:paraId="6803C211">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投标邮箱：lfszdxmzh@163.com</w:t>
      </w:r>
    </w:p>
    <w:p w14:paraId="7E94B21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2.投标文件包括：①报价函（详见附件1）；②营业执照复印件加盖公章、项目负责人身份信息加盖公章；③</w:t>
      </w:r>
      <w:bookmarkStart w:id="1" w:name="_Hlk175234570"/>
      <w:r>
        <w:rPr>
          <w:rFonts w:hint="eastAsia" w:ascii="仿宋_GB2312" w:hAnsi="仿宋_GB2312" w:eastAsia="仿宋_GB2312" w:cs="仿宋_GB2312"/>
          <w:sz w:val="32"/>
          <w:szCs w:val="32"/>
        </w:rPr>
        <w:t>资质</w:t>
      </w:r>
      <w:bookmarkEnd w:id="1"/>
      <w:r>
        <w:rPr>
          <w:rFonts w:hint="eastAsia" w:ascii="仿宋_GB2312" w:hAnsi="仿宋_GB2312" w:eastAsia="仿宋_GB2312" w:cs="仿宋_GB2312"/>
          <w:sz w:val="32"/>
          <w:szCs w:val="32"/>
        </w:rPr>
        <w:t>证书复印件加盖公章；④业绩合同复印件加盖公章；⑤项目方案说明加盖公章（包括对项目理解、初步思路、工作计划等）。</w:t>
      </w:r>
    </w:p>
    <w:p w14:paraId="7EE6759C">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如投标人未按照以上要求递交投标文件，我单位将视同无效投标。</w:t>
      </w:r>
    </w:p>
    <w:p w14:paraId="4A1767FC">
      <w:pPr>
        <w:spacing w:line="600" w:lineRule="exact"/>
        <w:ind w:firstLine="640" w:firstLineChars="200"/>
        <w:rPr>
          <w:rFonts w:hint="eastAsia" w:ascii="CESI黑体-GB13000" w:hAnsi="CESI黑体-GB13000" w:eastAsia="CESI黑体-GB13000" w:cs="CESI黑体-GB13000"/>
          <w:sz w:val="32"/>
          <w:szCs w:val="32"/>
        </w:rPr>
      </w:pPr>
      <w:r>
        <w:rPr>
          <w:rFonts w:hint="eastAsia" w:ascii="CESI黑体-GB13000" w:hAnsi="CESI黑体-GB13000" w:eastAsia="CESI黑体-GB13000" w:cs="CESI黑体-GB13000"/>
          <w:sz w:val="32"/>
          <w:szCs w:val="32"/>
        </w:rPr>
        <w:t>四、比选评分</w:t>
      </w:r>
    </w:p>
    <w:p w14:paraId="13DF9E4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市发改委将在公告截至日起</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个工作日内，通知有效投标供应商，组织召开比选会议，并将比选结果于当日通知各投标单位。</w:t>
      </w:r>
    </w:p>
    <w:p w14:paraId="1D1E335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评分标准：</w:t>
      </w:r>
    </w:p>
    <w:tbl>
      <w:tblPr>
        <w:tblStyle w:val="11"/>
        <w:tblW w:w="93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7" w:type="dxa"/>
          <w:left w:w="17" w:type="dxa"/>
          <w:bottom w:w="17" w:type="dxa"/>
          <w:right w:w="17" w:type="dxa"/>
        </w:tblCellMar>
      </w:tblPr>
      <w:tblGrid>
        <w:gridCol w:w="1366"/>
        <w:gridCol w:w="898"/>
        <w:gridCol w:w="7064"/>
      </w:tblGrid>
      <w:tr w14:paraId="13025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7" w:type="dxa"/>
            <w:left w:w="17" w:type="dxa"/>
            <w:bottom w:w="17" w:type="dxa"/>
            <w:right w:w="17" w:type="dxa"/>
          </w:tblCellMar>
        </w:tblPrEx>
        <w:trPr>
          <w:trHeight w:val="557" w:hRule="atLeast"/>
          <w:jc w:val="center"/>
        </w:trPr>
        <w:tc>
          <w:tcPr>
            <w:tcW w:w="1366" w:type="dxa"/>
            <w:tcBorders>
              <w:tl2br w:val="nil"/>
              <w:tr2bl w:val="nil"/>
            </w:tcBorders>
            <w:tcMar>
              <w:top w:w="17" w:type="dxa"/>
              <w:left w:w="57" w:type="dxa"/>
              <w:bottom w:w="17" w:type="dxa"/>
              <w:right w:w="57" w:type="dxa"/>
            </w:tcMar>
            <w:vAlign w:val="center"/>
          </w:tcPr>
          <w:p w14:paraId="368FBC0B">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评审项目</w:t>
            </w:r>
          </w:p>
        </w:tc>
        <w:tc>
          <w:tcPr>
            <w:tcW w:w="898" w:type="dxa"/>
            <w:tcBorders>
              <w:tl2br w:val="nil"/>
              <w:tr2bl w:val="nil"/>
            </w:tcBorders>
          </w:tcPr>
          <w:p w14:paraId="4BD189D2">
            <w:pPr>
              <w:widowControl/>
              <w:jc w:val="center"/>
              <w:textAlignment w:val="center"/>
              <w:rPr>
                <w:rFonts w:hint="eastAsia" w:ascii="仿宋" w:hAnsi="仿宋" w:eastAsia="仿宋" w:cs="仿宋"/>
                <w:b/>
                <w:color w:val="000000"/>
                <w:kern w:val="0"/>
                <w:sz w:val="24"/>
              </w:rPr>
            </w:pPr>
            <w:r>
              <w:rPr>
                <w:rFonts w:hint="eastAsia" w:ascii="仿宋" w:hAnsi="仿宋" w:eastAsia="仿宋" w:cs="仿宋"/>
                <w:b/>
                <w:color w:val="000000"/>
                <w:kern w:val="0"/>
                <w:sz w:val="24"/>
              </w:rPr>
              <w:t>标准分</w:t>
            </w:r>
          </w:p>
        </w:tc>
        <w:tc>
          <w:tcPr>
            <w:tcW w:w="7064" w:type="dxa"/>
            <w:tcBorders>
              <w:tl2br w:val="nil"/>
              <w:tr2bl w:val="nil"/>
            </w:tcBorders>
            <w:tcMar>
              <w:top w:w="17" w:type="dxa"/>
              <w:left w:w="57" w:type="dxa"/>
              <w:bottom w:w="17" w:type="dxa"/>
              <w:right w:w="57" w:type="dxa"/>
            </w:tcMar>
            <w:vAlign w:val="center"/>
          </w:tcPr>
          <w:p w14:paraId="3722D0F7">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评分标准</w:t>
            </w:r>
          </w:p>
        </w:tc>
      </w:tr>
      <w:tr w14:paraId="6F426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7" w:type="dxa"/>
            <w:left w:w="17" w:type="dxa"/>
            <w:bottom w:w="17" w:type="dxa"/>
            <w:right w:w="17" w:type="dxa"/>
          </w:tblCellMar>
        </w:tblPrEx>
        <w:trPr>
          <w:trHeight w:val="1678" w:hRule="atLeast"/>
          <w:jc w:val="center"/>
        </w:trPr>
        <w:tc>
          <w:tcPr>
            <w:tcW w:w="1366" w:type="dxa"/>
            <w:tcBorders>
              <w:tl2br w:val="nil"/>
              <w:tr2bl w:val="nil"/>
            </w:tcBorders>
            <w:tcMar>
              <w:top w:w="17" w:type="dxa"/>
              <w:left w:w="57" w:type="dxa"/>
              <w:bottom w:w="17" w:type="dxa"/>
              <w:right w:w="57" w:type="dxa"/>
            </w:tcMar>
            <w:vAlign w:val="center"/>
          </w:tcPr>
          <w:p w14:paraId="062DD3BF">
            <w:pPr>
              <w:jc w:val="center"/>
              <w:rPr>
                <w:rFonts w:hint="eastAsia" w:ascii="仿宋" w:hAnsi="仿宋" w:eastAsia="仿宋" w:cs="仿宋"/>
                <w:sz w:val="24"/>
              </w:rPr>
            </w:pPr>
            <w:r>
              <w:rPr>
                <w:rFonts w:hint="eastAsia" w:ascii="仿宋" w:hAnsi="仿宋" w:eastAsia="仿宋" w:cs="仿宋"/>
                <w:sz w:val="24"/>
              </w:rPr>
              <w:t>投标报价</w:t>
            </w:r>
          </w:p>
        </w:tc>
        <w:tc>
          <w:tcPr>
            <w:tcW w:w="898" w:type="dxa"/>
            <w:tcBorders>
              <w:tl2br w:val="nil"/>
              <w:tr2bl w:val="nil"/>
            </w:tcBorders>
            <w:vAlign w:val="center"/>
          </w:tcPr>
          <w:p w14:paraId="0D32A56B">
            <w:pPr>
              <w:jc w:val="center"/>
              <w:rPr>
                <w:rFonts w:hint="eastAsia" w:ascii="仿宋" w:hAnsi="仿宋" w:eastAsia="仿宋" w:cs="仿宋"/>
                <w:sz w:val="24"/>
              </w:rPr>
            </w:pPr>
            <w:r>
              <w:rPr>
                <w:rFonts w:hint="eastAsia" w:ascii="仿宋" w:hAnsi="仿宋" w:eastAsia="仿宋" w:cs="仿宋"/>
                <w:sz w:val="24"/>
              </w:rPr>
              <w:t>15分</w:t>
            </w:r>
          </w:p>
        </w:tc>
        <w:tc>
          <w:tcPr>
            <w:tcW w:w="7064" w:type="dxa"/>
            <w:tcBorders>
              <w:tl2br w:val="nil"/>
              <w:tr2bl w:val="nil"/>
            </w:tcBorders>
            <w:tcMar>
              <w:top w:w="17" w:type="dxa"/>
              <w:left w:w="57" w:type="dxa"/>
              <w:bottom w:w="17" w:type="dxa"/>
              <w:right w:w="57" w:type="dxa"/>
            </w:tcMar>
            <w:vAlign w:val="center"/>
          </w:tcPr>
          <w:p w14:paraId="5CE54656">
            <w:pPr>
              <w:rPr>
                <w:rFonts w:hint="eastAsia" w:ascii="仿宋" w:hAnsi="仿宋" w:eastAsia="仿宋" w:cs="仿宋"/>
                <w:sz w:val="24"/>
              </w:rPr>
            </w:pPr>
            <w:r>
              <w:rPr>
                <w:rFonts w:hint="eastAsia" w:ascii="仿宋" w:hAnsi="仿宋" w:eastAsia="仿宋" w:cs="仿宋"/>
                <w:sz w:val="24"/>
              </w:rPr>
              <w:t>综合评分法中的价格分统一采用低价优先法计算，即满足招标文件要求且最后报价最低的供应商的价格为投标基准价，其价格分为满分。其他供应商的价格分统一按照下列公式计算：</w:t>
            </w:r>
          </w:p>
          <w:p w14:paraId="0C1C4151">
            <w:pPr>
              <w:rPr>
                <w:rFonts w:hint="eastAsia" w:ascii="仿宋" w:hAnsi="仿宋" w:eastAsia="仿宋" w:cs="仿宋"/>
                <w:sz w:val="24"/>
              </w:rPr>
            </w:pPr>
            <w:r>
              <w:rPr>
                <w:rFonts w:hint="eastAsia" w:ascii="仿宋" w:hAnsi="仿宋" w:eastAsia="仿宋" w:cs="仿宋"/>
                <w:sz w:val="24"/>
              </w:rPr>
              <w:t>投标报价得分=（投标基准价/投标报价）×15</w:t>
            </w:r>
          </w:p>
        </w:tc>
      </w:tr>
      <w:tr w14:paraId="01845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7" w:type="dxa"/>
            <w:left w:w="17" w:type="dxa"/>
            <w:bottom w:w="17" w:type="dxa"/>
            <w:right w:w="17" w:type="dxa"/>
          </w:tblCellMar>
        </w:tblPrEx>
        <w:trPr>
          <w:trHeight w:val="432" w:hRule="atLeast"/>
          <w:jc w:val="center"/>
        </w:trPr>
        <w:tc>
          <w:tcPr>
            <w:tcW w:w="1366" w:type="dxa"/>
            <w:tcBorders>
              <w:tl2br w:val="nil"/>
              <w:tr2bl w:val="nil"/>
            </w:tcBorders>
            <w:tcMar>
              <w:top w:w="17" w:type="dxa"/>
              <w:left w:w="57" w:type="dxa"/>
              <w:bottom w:w="17" w:type="dxa"/>
              <w:right w:w="57" w:type="dxa"/>
            </w:tcMar>
            <w:vAlign w:val="center"/>
          </w:tcPr>
          <w:p w14:paraId="33779CE5">
            <w:pPr>
              <w:jc w:val="center"/>
              <w:rPr>
                <w:rFonts w:hint="eastAsia" w:ascii="仿宋" w:hAnsi="仿宋" w:eastAsia="仿宋" w:cs="仿宋"/>
                <w:sz w:val="24"/>
              </w:rPr>
            </w:pPr>
            <w:r>
              <w:rPr>
                <w:rFonts w:hint="eastAsia" w:ascii="仿宋" w:hAnsi="仿宋" w:eastAsia="仿宋" w:cs="仿宋"/>
                <w:sz w:val="24"/>
              </w:rPr>
              <w:t>类似业绩</w:t>
            </w:r>
          </w:p>
        </w:tc>
        <w:tc>
          <w:tcPr>
            <w:tcW w:w="898" w:type="dxa"/>
            <w:tcBorders>
              <w:tl2br w:val="nil"/>
              <w:tr2bl w:val="nil"/>
            </w:tcBorders>
            <w:vAlign w:val="center"/>
          </w:tcPr>
          <w:p w14:paraId="7BE95FBC">
            <w:pPr>
              <w:jc w:val="center"/>
              <w:rPr>
                <w:rFonts w:hint="eastAsia" w:ascii="仿宋" w:hAnsi="仿宋" w:eastAsia="仿宋" w:cs="仿宋"/>
                <w:sz w:val="24"/>
              </w:rPr>
            </w:pPr>
            <w:r>
              <w:rPr>
                <w:rFonts w:hint="eastAsia" w:ascii="仿宋" w:hAnsi="仿宋" w:eastAsia="仿宋" w:cs="仿宋"/>
                <w:sz w:val="24"/>
              </w:rPr>
              <w:t>20分</w:t>
            </w:r>
          </w:p>
        </w:tc>
        <w:tc>
          <w:tcPr>
            <w:tcW w:w="7064" w:type="dxa"/>
            <w:tcBorders>
              <w:tl2br w:val="nil"/>
              <w:tr2bl w:val="nil"/>
            </w:tcBorders>
            <w:tcMar>
              <w:top w:w="17" w:type="dxa"/>
              <w:left w:w="57" w:type="dxa"/>
              <w:bottom w:w="17" w:type="dxa"/>
              <w:right w:w="57" w:type="dxa"/>
            </w:tcMar>
            <w:vAlign w:val="center"/>
          </w:tcPr>
          <w:p w14:paraId="1F2D88A1">
            <w:pPr>
              <w:rPr>
                <w:rFonts w:hint="eastAsia" w:ascii="仿宋" w:hAnsi="仿宋" w:eastAsia="仿宋" w:cs="仿宋"/>
                <w:sz w:val="24"/>
              </w:rPr>
            </w:pPr>
            <w:r>
              <w:rPr>
                <w:rFonts w:hint="eastAsia" w:ascii="仿宋" w:hAnsi="仿宋" w:eastAsia="仿宋" w:cs="仿宋"/>
                <w:sz w:val="24"/>
              </w:rPr>
              <w:t>供应商按要求提供近三年类似项目业绩，每提供一个得5分，最高得20分。</w:t>
            </w:r>
          </w:p>
        </w:tc>
      </w:tr>
      <w:tr w14:paraId="13D67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7" w:type="dxa"/>
            <w:left w:w="17" w:type="dxa"/>
            <w:bottom w:w="17" w:type="dxa"/>
            <w:right w:w="17" w:type="dxa"/>
          </w:tblCellMar>
        </w:tblPrEx>
        <w:trPr>
          <w:trHeight w:val="1762" w:hRule="atLeast"/>
          <w:jc w:val="center"/>
        </w:trPr>
        <w:tc>
          <w:tcPr>
            <w:tcW w:w="1366" w:type="dxa"/>
            <w:tcBorders>
              <w:tl2br w:val="nil"/>
              <w:tr2bl w:val="nil"/>
            </w:tcBorders>
            <w:tcMar>
              <w:top w:w="17" w:type="dxa"/>
              <w:left w:w="57" w:type="dxa"/>
              <w:bottom w:w="17" w:type="dxa"/>
              <w:right w:w="57" w:type="dxa"/>
            </w:tcMar>
            <w:vAlign w:val="center"/>
          </w:tcPr>
          <w:p w14:paraId="7A644D81">
            <w:pPr>
              <w:jc w:val="center"/>
              <w:rPr>
                <w:rFonts w:hint="eastAsia" w:ascii="仿宋" w:hAnsi="仿宋" w:eastAsia="仿宋" w:cs="仿宋"/>
                <w:sz w:val="24"/>
              </w:rPr>
            </w:pPr>
            <w:r>
              <w:rPr>
                <w:rFonts w:hint="eastAsia" w:ascii="仿宋" w:hAnsi="仿宋" w:eastAsia="仿宋" w:cs="仿宋"/>
                <w:sz w:val="24"/>
              </w:rPr>
              <w:t xml:space="preserve">资质实力 </w:t>
            </w:r>
          </w:p>
        </w:tc>
        <w:tc>
          <w:tcPr>
            <w:tcW w:w="898" w:type="dxa"/>
            <w:tcBorders>
              <w:tl2br w:val="nil"/>
              <w:tr2bl w:val="nil"/>
            </w:tcBorders>
            <w:vAlign w:val="center"/>
          </w:tcPr>
          <w:p w14:paraId="7BFF63E9">
            <w:pPr>
              <w:jc w:val="center"/>
              <w:rPr>
                <w:rFonts w:hint="eastAsia" w:ascii="仿宋" w:hAnsi="仿宋" w:eastAsia="仿宋" w:cs="仿宋"/>
                <w:sz w:val="24"/>
              </w:rPr>
            </w:pPr>
            <w:r>
              <w:rPr>
                <w:rFonts w:hint="eastAsia" w:ascii="仿宋" w:hAnsi="仿宋" w:eastAsia="仿宋" w:cs="仿宋"/>
                <w:sz w:val="24"/>
              </w:rPr>
              <w:t>20分</w:t>
            </w:r>
          </w:p>
        </w:tc>
        <w:tc>
          <w:tcPr>
            <w:tcW w:w="7064" w:type="dxa"/>
            <w:tcBorders>
              <w:tl2br w:val="nil"/>
              <w:tr2bl w:val="nil"/>
            </w:tcBorders>
            <w:tcMar>
              <w:top w:w="17" w:type="dxa"/>
              <w:left w:w="57" w:type="dxa"/>
              <w:bottom w:w="17" w:type="dxa"/>
              <w:right w:w="57" w:type="dxa"/>
            </w:tcMar>
            <w:vAlign w:val="center"/>
          </w:tcPr>
          <w:p w14:paraId="65459DAE">
            <w:pPr>
              <w:rPr>
                <w:rFonts w:hint="eastAsia" w:ascii="仿宋" w:hAnsi="仿宋" w:eastAsia="仿宋" w:cs="仿宋"/>
                <w:sz w:val="24"/>
                <w:lang w:eastAsia="zh-CN"/>
              </w:rPr>
            </w:pPr>
            <w:r>
              <w:rPr>
                <w:rFonts w:hint="eastAsia" w:ascii="仿宋" w:hAnsi="仿宋" w:eastAsia="仿宋" w:cs="仿宋"/>
                <w:sz w:val="24"/>
              </w:rPr>
              <w:t>1、信息服务管理和运维能力：具备ISO20000 IT服务管理体系认证证书的得2分、ITSS信息技术服务运行维护标准符合性证书的得2分，不具备不得分；</w:t>
            </w:r>
          </w:p>
          <w:p w14:paraId="41B8A5CC">
            <w:pPr>
              <w:rPr>
                <w:rFonts w:hint="eastAsia" w:ascii="仿宋" w:hAnsi="仿宋" w:eastAsia="仿宋" w:cs="仿宋"/>
                <w:sz w:val="24"/>
                <w:lang w:eastAsia="zh-CN"/>
              </w:rPr>
            </w:pPr>
            <w:r>
              <w:rPr>
                <w:rFonts w:hint="eastAsia" w:ascii="仿宋" w:hAnsi="仿宋" w:eastAsia="仿宋" w:cs="仿宋"/>
                <w:sz w:val="24"/>
              </w:rPr>
              <w:t xml:space="preserve">  2、数据管理和系统建设服务能力：具备数据管理能力成熟度等级认证2级及以上证书的得4分、信息系统建设和服务能力CS3级及以上认证证书的得4分，不具备不得分；</w:t>
            </w:r>
          </w:p>
          <w:p w14:paraId="0D250D00">
            <w:pPr>
              <w:rPr>
                <w:rFonts w:hint="eastAsia" w:ascii="仿宋" w:hAnsi="仿宋" w:eastAsia="仿宋" w:cs="仿宋"/>
                <w:sz w:val="24"/>
                <w:lang w:eastAsia="zh-CN"/>
              </w:rPr>
            </w:pPr>
            <w:r>
              <w:rPr>
                <w:rFonts w:hint="eastAsia" w:ascii="仿宋" w:hAnsi="仿宋" w:eastAsia="仿宋" w:cs="仿宋"/>
                <w:sz w:val="24"/>
              </w:rPr>
              <w:t xml:space="preserve">  3、软件能力成熟度体系能力：具备软件能力成熟度模型CMMI3级资质认证的得2分，具备CMMI5级资质认证的得4分，不具备不得分；</w:t>
            </w:r>
          </w:p>
          <w:p w14:paraId="765DFD88">
            <w:pPr>
              <w:rPr>
                <w:rFonts w:hint="eastAsia" w:ascii="仿宋" w:hAnsi="仿宋" w:eastAsia="仿宋" w:cs="仿宋"/>
                <w:sz w:val="24"/>
              </w:rPr>
            </w:pPr>
            <w:r>
              <w:rPr>
                <w:rFonts w:hint="eastAsia" w:ascii="仿宋" w:hAnsi="仿宋" w:eastAsia="仿宋" w:cs="仿宋"/>
                <w:sz w:val="24"/>
              </w:rPr>
              <w:t xml:space="preserve">  4、软件安全开发和运维能力：具有CCRC信息安全服务资质软件安全开发种类的得2分，具备CCRC信息安全服务资质信息系统安全运维种类的得2分，不具备不得分</w:t>
            </w:r>
          </w:p>
        </w:tc>
      </w:tr>
      <w:tr w14:paraId="3C5C2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7" w:type="dxa"/>
            <w:left w:w="17" w:type="dxa"/>
            <w:bottom w:w="17" w:type="dxa"/>
            <w:right w:w="17" w:type="dxa"/>
          </w:tblCellMar>
        </w:tblPrEx>
        <w:trPr>
          <w:trHeight w:val="454" w:hRule="atLeast"/>
          <w:jc w:val="center"/>
        </w:trPr>
        <w:tc>
          <w:tcPr>
            <w:tcW w:w="1366" w:type="dxa"/>
            <w:tcBorders>
              <w:tl2br w:val="nil"/>
              <w:tr2bl w:val="nil"/>
            </w:tcBorders>
            <w:tcMar>
              <w:top w:w="17" w:type="dxa"/>
              <w:left w:w="57" w:type="dxa"/>
              <w:bottom w:w="17" w:type="dxa"/>
              <w:right w:w="57" w:type="dxa"/>
            </w:tcMar>
            <w:vAlign w:val="center"/>
          </w:tcPr>
          <w:p w14:paraId="4C89E63A">
            <w:pPr>
              <w:jc w:val="center"/>
              <w:rPr>
                <w:rFonts w:hint="eastAsia" w:ascii="仿宋" w:hAnsi="仿宋" w:eastAsia="仿宋" w:cs="仿宋"/>
                <w:sz w:val="24"/>
              </w:rPr>
            </w:pPr>
            <w:r>
              <w:rPr>
                <w:rFonts w:hint="eastAsia" w:ascii="仿宋" w:hAnsi="仿宋" w:eastAsia="仿宋" w:cs="仿宋"/>
                <w:sz w:val="24"/>
              </w:rPr>
              <w:t>项目技术方案</w:t>
            </w:r>
          </w:p>
        </w:tc>
        <w:tc>
          <w:tcPr>
            <w:tcW w:w="898" w:type="dxa"/>
            <w:tcBorders>
              <w:tl2br w:val="nil"/>
              <w:tr2bl w:val="nil"/>
            </w:tcBorders>
            <w:vAlign w:val="center"/>
          </w:tcPr>
          <w:p w14:paraId="6AEFEC69">
            <w:pPr>
              <w:jc w:val="center"/>
              <w:rPr>
                <w:rFonts w:hint="eastAsia" w:ascii="仿宋" w:hAnsi="仿宋" w:eastAsia="仿宋" w:cs="仿宋"/>
                <w:sz w:val="24"/>
              </w:rPr>
            </w:pPr>
            <w:r>
              <w:rPr>
                <w:rFonts w:hint="eastAsia" w:ascii="仿宋" w:hAnsi="仿宋" w:eastAsia="仿宋" w:cs="仿宋"/>
                <w:sz w:val="24"/>
              </w:rPr>
              <w:t>30分</w:t>
            </w:r>
          </w:p>
        </w:tc>
        <w:tc>
          <w:tcPr>
            <w:tcW w:w="7064" w:type="dxa"/>
            <w:tcBorders>
              <w:tl2br w:val="nil"/>
              <w:tr2bl w:val="nil"/>
            </w:tcBorders>
            <w:tcMar>
              <w:top w:w="17" w:type="dxa"/>
              <w:left w:w="57" w:type="dxa"/>
              <w:bottom w:w="17" w:type="dxa"/>
              <w:right w:w="57" w:type="dxa"/>
            </w:tcMar>
            <w:vAlign w:val="center"/>
          </w:tcPr>
          <w:p w14:paraId="3EC4AA62">
            <w:pPr>
              <w:rPr>
                <w:rFonts w:hint="eastAsia" w:ascii="仿宋" w:hAnsi="仿宋" w:eastAsia="仿宋" w:cs="仿宋"/>
                <w:sz w:val="24"/>
              </w:rPr>
            </w:pPr>
            <w:r>
              <w:rPr>
                <w:rFonts w:hint="eastAsia" w:ascii="仿宋" w:hAnsi="仿宋" w:eastAsia="仿宋" w:cs="仿宋"/>
                <w:sz w:val="24"/>
              </w:rPr>
              <w:t>项目技术方案包含：（1）实施方案；（2）运维方案；（3）质量保证措施；（4）应急处置方案；共4项内容，以上4项内容须针对本项目具有可实施性，每提供一项得5分，未提供不得分，针对以上4项内容进行全面评审：</w:t>
            </w:r>
          </w:p>
          <w:p w14:paraId="7D3E5B5E">
            <w:pPr>
              <w:rPr>
                <w:rFonts w:hint="eastAsia" w:ascii="仿宋" w:hAnsi="仿宋" w:eastAsia="仿宋" w:cs="仿宋"/>
                <w:sz w:val="24"/>
              </w:rPr>
            </w:pPr>
            <w:r>
              <w:rPr>
                <w:rFonts w:hint="eastAsia" w:ascii="仿宋" w:hAnsi="仿宋" w:eastAsia="仿宋" w:cs="仿宋"/>
                <w:sz w:val="24"/>
              </w:rPr>
              <w:t>1、项目技术方案完善、详细、可操作性强，具备完善的项目方案的得10分；</w:t>
            </w:r>
          </w:p>
          <w:p w14:paraId="74AF0F05">
            <w:pPr>
              <w:rPr>
                <w:rFonts w:hint="eastAsia" w:ascii="仿宋" w:hAnsi="仿宋" w:eastAsia="仿宋" w:cs="仿宋"/>
                <w:sz w:val="24"/>
              </w:rPr>
            </w:pPr>
            <w:r>
              <w:rPr>
                <w:rFonts w:hint="eastAsia" w:ascii="仿宋" w:hAnsi="仿宋" w:eastAsia="仿宋" w:cs="仿宋"/>
                <w:sz w:val="24"/>
              </w:rPr>
              <w:t>2、项目技术方案内容完整，具有比较完善的项目方案的得5分；</w:t>
            </w:r>
          </w:p>
          <w:p w14:paraId="1565E4C1">
            <w:pPr>
              <w:rPr>
                <w:rFonts w:hint="eastAsia" w:ascii="仿宋" w:hAnsi="仿宋" w:eastAsia="仿宋" w:cs="仿宋"/>
                <w:sz w:val="24"/>
              </w:rPr>
            </w:pPr>
            <w:r>
              <w:rPr>
                <w:rFonts w:hint="eastAsia" w:ascii="仿宋" w:hAnsi="仿宋" w:eastAsia="仿宋" w:cs="仿宋"/>
                <w:sz w:val="24"/>
              </w:rPr>
              <w:t>3、项目技术方案内容简单，项目方案一般的得1分；</w:t>
            </w:r>
          </w:p>
          <w:p w14:paraId="3E0B6A47">
            <w:pPr>
              <w:rPr>
                <w:rFonts w:hint="eastAsia" w:ascii="仿宋" w:hAnsi="仿宋" w:eastAsia="仿宋" w:cs="仿宋"/>
                <w:sz w:val="24"/>
              </w:rPr>
            </w:pPr>
            <w:r>
              <w:rPr>
                <w:rFonts w:hint="eastAsia" w:ascii="仿宋" w:hAnsi="仿宋" w:eastAsia="仿宋" w:cs="仿宋"/>
                <w:sz w:val="24"/>
              </w:rPr>
              <w:t>不提供不得分</w:t>
            </w:r>
          </w:p>
        </w:tc>
      </w:tr>
      <w:tr w14:paraId="325A9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7" w:type="dxa"/>
            <w:left w:w="17" w:type="dxa"/>
            <w:bottom w:w="17" w:type="dxa"/>
            <w:right w:w="17" w:type="dxa"/>
          </w:tblCellMar>
        </w:tblPrEx>
        <w:trPr>
          <w:trHeight w:val="454" w:hRule="atLeast"/>
          <w:jc w:val="center"/>
        </w:trPr>
        <w:tc>
          <w:tcPr>
            <w:tcW w:w="1366" w:type="dxa"/>
            <w:tcBorders>
              <w:tl2br w:val="nil"/>
              <w:tr2bl w:val="nil"/>
            </w:tcBorders>
            <w:tcMar>
              <w:top w:w="17" w:type="dxa"/>
              <w:left w:w="57" w:type="dxa"/>
              <w:bottom w:w="17" w:type="dxa"/>
              <w:right w:w="57" w:type="dxa"/>
            </w:tcMar>
            <w:vAlign w:val="center"/>
          </w:tcPr>
          <w:p w14:paraId="77D81B29">
            <w:pPr>
              <w:jc w:val="center"/>
              <w:rPr>
                <w:rFonts w:hint="eastAsia" w:ascii="仿宋" w:hAnsi="仿宋" w:eastAsia="仿宋" w:cs="仿宋"/>
                <w:sz w:val="24"/>
              </w:rPr>
            </w:pPr>
            <w:r>
              <w:rPr>
                <w:rFonts w:hint="eastAsia" w:ascii="仿宋" w:hAnsi="仿宋" w:eastAsia="仿宋" w:cs="仿宋"/>
                <w:sz w:val="24"/>
              </w:rPr>
              <w:t>售后服务方案</w:t>
            </w:r>
          </w:p>
        </w:tc>
        <w:tc>
          <w:tcPr>
            <w:tcW w:w="898" w:type="dxa"/>
            <w:tcBorders>
              <w:tl2br w:val="nil"/>
              <w:tr2bl w:val="nil"/>
            </w:tcBorders>
            <w:vAlign w:val="center"/>
          </w:tcPr>
          <w:p w14:paraId="484A632D">
            <w:pPr>
              <w:jc w:val="center"/>
              <w:rPr>
                <w:rFonts w:hint="eastAsia" w:ascii="仿宋" w:hAnsi="仿宋" w:eastAsia="仿宋" w:cs="仿宋"/>
                <w:sz w:val="24"/>
              </w:rPr>
            </w:pPr>
            <w:r>
              <w:rPr>
                <w:rFonts w:hint="eastAsia" w:ascii="仿宋" w:hAnsi="仿宋" w:eastAsia="仿宋" w:cs="仿宋"/>
                <w:sz w:val="24"/>
              </w:rPr>
              <w:t>15分</w:t>
            </w:r>
          </w:p>
        </w:tc>
        <w:tc>
          <w:tcPr>
            <w:tcW w:w="7064" w:type="dxa"/>
            <w:tcBorders>
              <w:tl2br w:val="nil"/>
              <w:tr2bl w:val="nil"/>
            </w:tcBorders>
            <w:tcMar>
              <w:top w:w="17" w:type="dxa"/>
              <w:left w:w="57" w:type="dxa"/>
              <w:bottom w:w="17" w:type="dxa"/>
              <w:right w:w="57" w:type="dxa"/>
            </w:tcMar>
            <w:vAlign w:val="center"/>
          </w:tcPr>
          <w:p w14:paraId="373F67A1">
            <w:pPr>
              <w:rPr>
                <w:rFonts w:hint="eastAsia" w:ascii="仿宋" w:hAnsi="仿宋" w:eastAsia="仿宋" w:cs="仿宋"/>
                <w:sz w:val="24"/>
              </w:rPr>
            </w:pPr>
            <w:r>
              <w:rPr>
                <w:rFonts w:hint="eastAsia" w:ascii="仿宋" w:hAnsi="仿宋" w:eastAsia="仿宋" w:cs="仿宋"/>
                <w:sz w:val="24"/>
              </w:rPr>
              <w:t>售后服务方案：售后服务方案包括⑴服务管理制度规范；⑵服务响应时间；（3）售后服务内容；（4）售后服务流程；（5）团队组织机构设置；，共5项内容，以上5项内容须针对本项目具有可实施性，每提供一项得2分，未提供不得分。</w:t>
            </w:r>
          </w:p>
          <w:p w14:paraId="7AED67FA">
            <w:pPr>
              <w:rPr>
                <w:rFonts w:hint="eastAsia" w:ascii="仿宋" w:hAnsi="仿宋" w:eastAsia="仿宋" w:cs="仿宋"/>
                <w:sz w:val="24"/>
              </w:rPr>
            </w:pPr>
            <w:r>
              <w:rPr>
                <w:rFonts w:hint="eastAsia" w:ascii="仿宋" w:hAnsi="仿宋" w:eastAsia="仿宋" w:cs="仿宋"/>
                <w:sz w:val="24"/>
              </w:rPr>
              <w:t>对售后服务方案的详细程度、合理性、全面性、可行性等进行全面评审，能够提供本地化服务。</w:t>
            </w:r>
          </w:p>
          <w:p w14:paraId="68DFB3D2">
            <w:pPr>
              <w:rPr>
                <w:rFonts w:hint="eastAsia" w:ascii="仿宋" w:hAnsi="仿宋" w:eastAsia="仿宋" w:cs="仿宋"/>
                <w:sz w:val="24"/>
              </w:rPr>
            </w:pPr>
            <w:r>
              <w:rPr>
                <w:rFonts w:hint="eastAsia" w:ascii="仿宋" w:hAnsi="仿宋" w:eastAsia="仿宋" w:cs="仿宋"/>
                <w:sz w:val="24"/>
              </w:rPr>
              <w:t xml:space="preserve">1、售后服务方案的非常详细、合理性强、全面性强、可行性强、有本地化服务：得5分； </w:t>
            </w:r>
          </w:p>
          <w:p w14:paraId="19361F34">
            <w:pPr>
              <w:rPr>
                <w:rFonts w:hint="eastAsia" w:ascii="仿宋" w:hAnsi="仿宋" w:eastAsia="仿宋" w:cs="仿宋"/>
                <w:sz w:val="24"/>
              </w:rPr>
            </w:pPr>
            <w:r>
              <w:rPr>
                <w:rFonts w:hint="eastAsia" w:ascii="仿宋" w:hAnsi="仿宋" w:eastAsia="仿宋" w:cs="仿宋"/>
                <w:sz w:val="24"/>
              </w:rPr>
              <w:t xml:space="preserve">2、售后服务方案的较为详细、合理性较强全面性较强、可行性较强、有本地化服务：得3分； </w:t>
            </w:r>
          </w:p>
          <w:p w14:paraId="534F5EF1">
            <w:pPr>
              <w:rPr>
                <w:rFonts w:hint="eastAsia" w:ascii="仿宋" w:hAnsi="仿宋" w:eastAsia="仿宋" w:cs="仿宋"/>
                <w:sz w:val="24"/>
              </w:rPr>
            </w:pPr>
            <w:r>
              <w:rPr>
                <w:rFonts w:hint="eastAsia" w:ascii="仿宋" w:hAnsi="仿宋" w:eastAsia="仿宋" w:cs="仿宋"/>
                <w:sz w:val="24"/>
              </w:rPr>
              <w:t>3、售后服务方案一般、合理性一般、全面性一般、可行性一般、无本地化服务：得1分；</w:t>
            </w:r>
          </w:p>
          <w:p w14:paraId="0869215B">
            <w:pPr>
              <w:rPr>
                <w:rFonts w:hint="eastAsia" w:ascii="仿宋" w:hAnsi="仿宋" w:eastAsia="仿宋" w:cs="仿宋"/>
                <w:sz w:val="24"/>
              </w:rPr>
            </w:pPr>
            <w:r>
              <w:rPr>
                <w:rFonts w:hint="eastAsia" w:ascii="仿宋" w:hAnsi="仿宋" w:eastAsia="仿宋" w:cs="仿宋"/>
                <w:sz w:val="24"/>
              </w:rPr>
              <w:t>不提供不得分。</w:t>
            </w:r>
          </w:p>
        </w:tc>
      </w:tr>
    </w:tbl>
    <w:p w14:paraId="19811B37">
      <w:pPr>
        <w:spacing w:line="600" w:lineRule="exact"/>
        <w:ind w:firstLine="640" w:firstLineChars="200"/>
        <w:rPr>
          <w:rFonts w:hint="eastAsia" w:ascii="CESI黑体-GB13000" w:hAnsi="CESI黑体-GB13000" w:eastAsia="CESI黑体-GB13000" w:cs="CESI黑体-GB13000"/>
          <w:sz w:val="32"/>
          <w:szCs w:val="32"/>
        </w:rPr>
      </w:pPr>
      <w:r>
        <w:rPr>
          <w:rFonts w:hint="eastAsia" w:ascii="CESI黑体-GB13000" w:hAnsi="CESI黑体-GB13000" w:eastAsia="CESI黑体-GB13000" w:cs="CESI黑体-GB13000"/>
          <w:sz w:val="32"/>
          <w:szCs w:val="32"/>
        </w:rPr>
        <w:t>五、联系方式</w:t>
      </w:r>
    </w:p>
    <w:p w14:paraId="71601DB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招标单位：廊坊市发展和改革委员会</w:t>
      </w:r>
    </w:p>
    <w:p w14:paraId="72892C3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地址：廊坊市新华路66号           </w:t>
      </w:r>
    </w:p>
    <w:p w14:paraId="356BF00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费紫琳</w:t>
      </w:r>
      <w:r>
        <w:rPr>
          <w:rFonts w:hint="eastAsia" w:ascii="仿宋_GB2312" w:hAnsi="仿宋_GB2312" w:eastAsia="仿宋_GB2312" w:cs="仿宋_GB2312"/>
          <w:sz w:val="32"/>
          <w:szCs w:val="32"/>
        </w:rPr>
        <w:t xml:space="preserve">                </w:t>
      </w:r>
    </w:p>
    <w:p w14:paraId="1E026B3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电话： 0316-2316998           </w:t>
      </w:r>
    </w:p>
    <w:p w14:paraId="3BE3C70B">
      <w:pPr>
        <w:spacing w:line="600" w:lineRule="exact"/>
        <w:rPr>
          <w:rFonts w:hint="eastAsia" w:ascii="仿宋_GB2312" w:hAnsi="仿宋_GB2312" w:eastAsia="仿宋_GB2312" w:cs="仿宋_GB2312"/>
          <w:sz w:val="32"/>
          <w:szCs w:val="32"/>
        </w:rPr>
      </w:pPr>
    </w:p>
    <w:p w14:paraId="5855086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廊坊市发展和改革委员会</w:t>
      </w:r>
    </w:p>
    <w:p w14:paraId="76EB7C63">
      <w:pPr>
        <w:spacing w:line="600" w:lineRule="exact"/>
        <w:ind w:firstLine="4480" w:firstLineChars="1400"/>
        <w:rPr>
          <w:rFonts w:hint="eastAsia" w:ascii="仿宋_GB2312" w:hAnsi="仿宋_GB2312" w:eastAsia="仿宋_GB2312" w:cs="仿宋_GB2312"/>
          <w:sz w:val="32"/>
          <w:szCs w:val="32"/>
        </w:rPr>
        <w:sectPr>
          <w:pgSz w:w="11906" w:h="16838"/>
          <w:pgMar w:top="993" w:right="1274" w:bottom="1134" w:left="1418" w:header="851" w:footer="992" w:gutter="0"/>
          <w:cols w:space="720" w:num="1"/>
          <w:docGrid w:type="lines" w:linePitch="312" w:charSpace="0"/>
        </w:sect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14:paraId="348E5677">
      <w:pPr>
        <w:spacing w:line="500" w:lineRule="exact"/>
        <w:rPr>
          <w:rFonts w:ascii="Times New Roman" w:hAnsi="Times New Roman" w:eastAsia="仿宋"/>
          <w:b/>
          <w:bCs/>
          <w:sz w:val="28"/>
        </w:rPr>
      </w:pPr>
      <w:r>
        <w:rPr>
          <w:rFonts w:ascii="Times New Roman" w:hAnsi="Times New Roman" w:eastAsia="仿宋"/>
          <w:b/>
          <w:sz w:val="28"/>
        </w:rPr>
        <w:t>附件1</w:t>
      </w:r>
    </w:p>
    <w:p w14:paraId="2B9EAFBD">
      <w:pPr>
        <w:adjustRightInd w:val="0"/>
        <w:snapToGrid w:val="0"/>
        <w:ind w:right="-153" w:rightChars="-73"/>
        <w:rPr>
          <w:rFonts w:ascii="Times New Roman" w:hAnsi="Times New Roman" w:eastAsia="仿宋"/>
          <w:sz w:val="24"/>
          <w:szCs w:val="24"/>
        </w:rPr>
      </w:pPr>
    </w:p>
    <w:p w14:paraId="044344DB">
      <w:pPr>
        <w:spacing w:line="500" w:lineRule="exact"/>
        <w:jc w:val="center"/>
        <w:rPr>
          <w:rFonts w:ascii="Times New Roman" w:hAnsi="Times New Roman" w:eastAsia="仿宋"/>
          <w:b/>
          <w:bCs/>
          <w:sz w:val="32"/>
        </w:rPr>
      </w:pPr>
      <w:r>
        <w:rPr>
          <w:rFonts w:ascii="Times New Roman" w:hAnsi="Times New Roman" w:eastAsia="仿宋"/>
          <w:b/>
          <w:sz w:val="32"/>
        </w:rPr>
        <w:t>报价函</w:t>
      </w:r>
    </w:p>
    <w:p w14:paraId="17C4D18F">
      <w:pPr>
        <w:spacing w:line="500" w:lineRule="exact"/>
        <w:rPr>
          <w:rFonts w:ascii="Times New Roman" w:hAnsi="Times New Roman" w:eastAsia="仿宋"/>
          <w:bCs/>
          <w:sz w:val="24"/>
        </w:rPr>
      </w:pPr>
    </w:p>
    <w:p w14:paraId="1F1A4F5F">
      <w:pPr>
        <w:spacing w:line="360" w:lineRule="auto"/>
        <w:rPr>
          <w:rFonts w:ascii="Times New Roman" w:hAnsi="Times New Roman" w:eastAsia="仿宋"/>
          <w:sz w:val="24"/>
        </w:rPr>
      </w:pPr>
      <w:r>
        <w:rPr>
          <w:rFonts w:ascii="Times New Roman" w:hAnsi="Times New Roman" w:eastAsia="仿宋"/>
          <w:bCs/>
          <w:sz w:val="24"/>
        </w:rPr>
        <w:t>廊坊市发展和改革委员会</w:t>
      </w:r>
      <w:r>
        <w:rPr>
          <w:rFonts w:ascii="Times New Roman" w:hAnsi="Times New Roman" w:eastAsia="仿宋"/>
          <w:sz w:val="24"/>
        </w:rPr>
        <w:t>：</w:t>
      </w:r>
    </w:p>
    <w:p w14:paraId="5A6CC89F">
      <w:pPr>
        <w:spacing w:line="360" w:lineRule="auto"/>
        <w:ind w:firstLine="480" w:firstLineChars="200"/>
        <w:rPr>
          <w:rFonts w:ascii="Times New Roman" w:hAnsi="Times New Roman" w:eastAsia="仿宋"/>
          <w:sz w:val="24"/>
        </w:rPr>
      </w:pPr>
      <w:r>
        <w:rPr>
          <w:rFonts w:ascii="Times New Roman" w:hAnsi="Times New Roman" w:eastAsia="仿宋"/>
          <w:sz w:val="24"/>
        </w:rPr>
        <w:t>我单位</w:t>
      </w:r>
      <w:r>
        <w:rPr>
          <w:rFonts w:hint="eastAsia" w:ascii="Times New Roman" w:hAnsi="Times New Roman" w:eastAsia="仿宋"/>
          <w:sz w:val="24"/>
        </w:rPr>
        <w:t>就廊坊市项目建设管理平台软件服务及运维运营服务项目</w:t>
      </w:r>
      <w:r>
        <w:rPr>
          <w:rFonts w:ascii="Times New Roman" w:hAnsi="Times New Roman" w:eastAsia="仿宋"/>
          <w:sz w:val="24"/>
        </w:rPr>
        <w:t>提交报价文件</w:t>
      </w:r>
      <w:r>
        <w:rPr>
          <w:rFonts w:hint="eastAsia" w:ascii="Times New Roman" w:hAnsi="Times New Roman" w:eastAsia="仿宋"/>
          <w:sz w:val="24"/>
        </w:rPr>
        <w:t>，</w:t>
      </w:r>
      <w:r>
        <w:rPr>
          <w:rFonts w:ascii="Times New Roman" w:hAnsi="Times New Roman" w:eastAsia="仿宋"/>
          <w:sz w:val="24"/>
        </w:rPr>
        <w:t>并同时宣布愿意遵守下列条款：</w:t>
      </w:r>
    </w:p>
    <w:p w14:paraId="313B8292">
      <w:pPr>
        <w:spacing w:line="360" w:lineRule="auto"/>
        <w:ind w:firstLine="480"/>
        <w:rPr>
          <w:rFonts w:ascii="Times New Roman" w:hAnsi="Times New Roman" w:eastAsia="仿宋"/>
          <w:sz w:val="24"/>
        </w:rPr>
      </w:pPr>
      <w:r>
        <w:rPr>
          <w:rFonts w:ascii="Times New Roman" w:hAnsi="Times New Roman" w:eastAsia="仿宋"/>
          <w:sz w:val="24"/>
        </w:rPr>
        <w:t>1）承认和愿意按照</w:t>
      </w:r>
      <w:r>
        <w:rPr>
          <w:rFonts w:hint="eastAsia" w:ascii="Times New Roman" w:hAnsi="Times New Roman" w:eastAsia="仿宋"/>
          <w:sz w:val="24"/>
        </w:rPr>
        <w:t>《</w:t>
      </w:r>
      <w:r>
        <w:rPr>
          <w:rFonts w:ascii="Times New Roman" w:hAnsi="Times New Roman" w:eastAsia="仿宋"/>
          <w:sz w:val="24"/>
        </w:rPr>
        <w:t>廊坊市项目建设管理平台软件服务及运维运营服务招标公告</w:t>
      </w:r>
      <w:r>
        <w:rPr>
          <w:rFonts w:hint="eastAsia" w:ascii="Times New Roman" w:hAnsi="Times New Roman" w:eastAsia="仿宋"/>
          <w:sz w:val="24"/>
        </w:rPr>
        <w:t>》</w:t>
      </w:r>
      <w:r>
        <w:rPr>
          <w:rFonts w:ascii="Times New Roman" w:hAnsi="Times New Roman" w:eastAsia="仿宋"/>
          <w:sz w:val="24"/>
        </w:rPr>
        <w:t>中各项规定和要求，提供本项目所需服务，所提供的服务完全满足</w:t>
      </w:r>
      <w:r>
        <w:rPr>
          <w:rFonts w:hint="eastAsia" w:ascii="Times New Roman" w:hAnsi="Times New Roman" w:eastAsia="仿宋"/>
          <w:sz w:val="24"/>
        </w:rPr>
        <w:t>贵方</w:t>
      </w:r>
      <w:r>
        <w:rPr>
          <w:rFonts w:ascii="Times New Roman" w:hAnsi="Times New Roman" w:eastAsia="仿宋"/>
          <w:sz w:val="24"/>
        </w:rPr>
        <w:t>要求。</w:t>
      </w:r>
    </w:p>
    <w:p w14:paraId="53962AA4">
      <w:pPr>
        <w:spacing w:line="360" w:lineRule="auto"/>
        <w:ind w:firstLine="480"/>
        <w:rPr>
          <w:rFonts w:ascii="Times New Roman" w:hAnsi="Times New Roman" w:eastAsia="仿宋"/>
          <w:sz w:val="24"/>
          <w:szCs w:val="24"/>
        </w:rPr>
      </w:pPr>
      <w:r>
        <w:rPr>
          <w:rFonts w:ascii="Times New Roman" w:hAnsi="Times New Roman" w:eastAsia="仿宋"/>
          <w:sz w:val="24"/>
          <w:szCs w:val="24"/>
        </w:rPr>
        <w:t xml:space="preserve">我单位报价为: </w:t>
      </w:r>
      <w:r>
        <w:rPr>
          <w:rFonts w:ascii="Times New Roman" w:hAnsi="Times New Roman" w:eastAsia="仿宋"/>
          <w:sz w:val="24"/>
          <w:szCs w:val="24"/>
          <w:u w:val="single"/>
        </w:rPr>
        <w:t>人民币（大写）       元整 (小写¥      )</w:t>
      </w:r>
      <w:r>
        <w:rPr>
          <w:rFonts w:ascii="Times New Roman" w:hAnsi="Times New Roman" w:eastAsia="仿宋"/>
          <w:sz w:val="24"/>
          <w:szCs w:val="24"/>
        </w:rPr>
        <w:t>。</w:t>
      </w:r>
    </w:p>
    <w:p w14:paraId="33921842">
      <w:pPr>
        <w:spacing w:line="360" w:lineRule="auto"/>
        <w:ind w:firstLine="480" w:firstLineChars="200"/>
        <w:rPr>
          <w:rFonts w:ascii="Times New Roman" w:hAnsi="Times New Roman" w:eastAsia="仿宋"/>
          <w:sz w:val="24"/>
        </w:rPr>
      </w:pPr>
      <w:r>
        <w:rPr>
          <w:rFonts w:ascii="Times New Roman" w:hAnsi="Times New Roman" w:eastAsia="仿宋"/>
          <w:bCs/>
          <w:sz w:val="24"/>
        </w:rPr>
        <w:t>服务周期：202</w:t>
      </w:r>
      <w:r>
        <w:rPr>
          <w:rFonts w:hint="eastAsia" w:ascii="Times New Roman" w:hAnsi="Times New Roman" w:eastAsia="仿宋"/>
          <w:bCs/>
          <w:sz w:val="24"/>
          <w:lang w:val="en-US" w:eastAsia="zh-CN"/>
        </w:rPr>
        <w:t>5</w:t>
      </w:r>
      <w:r>
        <w:rPr>
          <w:rFonts w:ascii="Times New Roman" w:hAnsi="Times New Roman" w:eastAsia="仿宋"/>
          <w:bCs/>
          <w:sz w:val="24"/>
        </w:rPr>
        <w:t>年11月29日起至202</w:t>
      </w:r>
      <w:r>
        <w:rPr>
          <w:rFonts w:hint="eastAsia" w:ascii="Times New Roman" w:hAnsi="Times New Roman" w:eastAsia="仿宋"/>
          <w:bCs/>
          <w:sz w:val="24"/>
          <w:lang w:val="en-US" w:eastAsia="zh-CN"/>
        </w:rPr>
        <w:t>6</w:t>
      </w:r>
      <w:r>
        <w:rPr>
          <w:rFonts w:ascii="Times New Roman" w:hAnsi="Times New Roman" w:eastAsia="仿宋"/>
          <w:bCs/>
          <w:sz w:val="24"/>
        </w:rPr>
        <w:t>年11月29日。</w:t>
      </w:r>
      <w:r>
        <w:rPr>
          <w:rFonts w:ascii="Times New Roman" w:hAnsi="Times New Roman" w:eastAsia="仿宋"/>
          <w:sz w:val="24"/>
        </w:rPr>
        <w:t xml:space="preserve"> </w:t>
      </w:r>
    </w:p>
    <w:p w14:paraId="423DDD31">
      <w:pPr>
        <w:spacing w:line="360" w:lineRule="auto"/>
        <w:ind w:firstLine="480" w:firstLineChars="200"/>
        <w:rPr>
          <w:rFonts w:ascii="Times New Roman" w:hAnsi="Times New Roman" w:eastAsia="仿宋"/>
          <w:sz w:val="24"/>
        </w:rPr>
      </w:pPr>
      <w:r>
        <w:rPr>
          <w:rFonts w:ascii="Times New Roman" w:hAnsi="Times New Roman" w:eastAsia="仿宋"/>
          <w:sz w:val="24"/>
        </w:rPr>
        <w:t>技术要求：</w:t>
      </w:r>
      <w:r>
        <w:rPr>
          <w:rFonts w:hint="eastAsia" w:ascii="Times New Roman" w:hAnsi="Times New Roman" w:eastAsia="仿宋"/>
          <w:sz w:val="24"/>
        </w:rPr>
        <w:t>我单位所提供廊坊市项目建设管理平台软件服务及运维运营服务充分体现</w:t>
      </w:r>
      <w:r>
        <w:rPr>
          <w:rFonts w:ascii="Times New Roman" w:hAnsi="Times New Roman" w:eastAsia="仿宋"/>
          <w:sz w:val="24"/>
        </w:rPr>
        <w:t>国家、省、市有关</w:t>
      </w:r>
      <w:r>
        <w:rPr>
          <w:rFonts w:hint="eastAsia" w:ascii="Times New Roman" w:hAnsi="Times New Roman" w:eastAsia="仿宋"/>
          <w:sz w:val="24"/>
        </w:rPr>
        <w:t>规划要求，符合相关项目平台建设</w:t>
      </w:r>
      <w:r>
        <w:rPr>
          <w:rFonts w:ascii="Times New Roman" w:hAnsi="Times New Roman" w:eastAsia="仿宋"/>
          <w:sz w:val="24"/>
        </w:rPr>
        <w:t>技术规范规定，</w:t>
      </w:r>
      <w:r>
        <w:rPr>
          <w:rFonts w:hint="eastAsia" w:ascii="Times New Roman" w:hAnsi="Times New Roman" w:eastAsia="仿宋"/>
          <w:sz w:val="24"/>
        </w:rPr>
        <w:t>并</w:t>
      </w:r>
      <w:r>
        <w:rPr>
          <w:rFonts w:ascii="Times New Roman" w:hAnsi="Times New Roman" w:eastAsia="仿宋"/>
          <w:sz w:val="24"/>
        </w:rPr>
        <w:t>取得政府相关部门的</w:t>
      </w:r>
      <w:r>
        <w:rPr>
          <w:rFonts w:hint="eastAsia" w:ascii="Times New Roman" w:hAnsi="Times New Roman" w:eastAsia="仿宋"/>
          <w:sz w:val="24"/>
        </w:rPr>
        <w:t>同意</w:t>
      </w:r>
      <w:r>
        <w:rPr>
          <w:rFonts w:ascii="Times New Roman" w:hAnsi="Times New Roman" w:eastAsia="仿宋"/>
          <w:sz w:val="24"/>
        </w:rPr>
        <w:t>意见。</w:t>
      </w:r>
    </w:p>
    <w:p w14:paraId="074F62DF">
      <w:pPr>
        <w:spacing w:line="360" w:lineRule="auto"/>
        <w:ind w:firstLine="480" w:firstLineChars="200"/>
        <w:rPr>
          <w:rFonts w:ascii="Times New Roman" w:hAnsi="Times New Roman" w:eastAsia="仿宋"/>
          <w:sz w:val="24"/>
        </w:rPr>
      </w:pPr>
      <w:r>
        <w:rPr>
          <w:rFonts w:ascii="Times New Roman" w:hAnsi="Times New Roman" w:eastAsia="仿宋"/>
          <w:sz w:val="24"/>
        </w:rPr>
        <w:t>2）愿意参考《中华人民共和国合同法》等相关法律法规履行自己的责任和义务。</w:t>
      </w:r>
    </w:p>
    <w:p w14:paraId="3EF17ED7">
      <w:pPr>
        <w:spacing w:line="360" w:lineRule="auto"/>
        <w:ind w:firstLine="480" w:firstLineChars="200"/>
        <w:rPr>
          <w:rFonts w:ascii="Times New Roman" w:hAnsi="Times New Roman" w:eastAsia="仿宋"/>
          <w:sz w:val="24"/>
        </w:rPr>
      </w:pPr>
      <w:r>
        <w:rPr>
          <w:rFonts w:ascii="Times New Roman" w:hAnsi="Times New Roman" w:eastAsia="仿宋"/>
          <w:sz w:val="24"/>
        </w:rPr>
        <w:t>3）如果我单位为成交供应商，我们将履行合同中规定的每一项要求和报价文件中的承诺，按期、按质、按量完成任务。</w:t>
      </w:r>
    </w:p>
    <w:p w14:paraId="3892DDD0">
      <w:pPr>
        <w:spacing w:line="360" w:lineRule="auto"/>
        <w:ind w:firstLine="480" w:firstLineChars="200"/>
        <w:rPr>
          <w:rFonts w:ascii="Times New Roman" w:hAnsi="Times New Roman" w:eastAsia="仿宋"/>
          <w:sz w:val="24"/>
        </w:rPr>
      </w:pPr>
      <w:r>
        <w:rPr>
          <w:rFonts w:ascii="Times New Roman" w:hAnsi="Times New Roman" w:eastAsia="仿宋"/>
          <w:sz w:val="24"/>
        </w:rPr>
        <w:t>4）我们愿意提供采购人在询价函中要求的所有资料。</w:t>
      </w:r>
    </w:p>
    <w:p w14:paraId="46F8E7FA">
      <w:pPr>
        <w:spacing w:line="360" w:lineRule="auto"/>
        <w:ind w:firstLine="480" w:firstLineChars="200"/>
        <w:rPr>
          <w:rFonts w:ascii="Times New Roman" w:hAnsi="Times New Roman" w:eastAsia="仿宋"/>
          <w:sz w:val="24"/>
        </w:rPr>
      </w:pPr>
      <w:r>
        <w:rPr>
          <w:rFonts w:ascii="Times New Roman" w:hAnsi="Times New Roman" w:eastAsia="仿宋"/>
          <w:sz w:val="24"/>
        </w:rPr>
        <w:t>5）我方的报价文件有效期为：报价截止后30天。</w:t>
      </w:r>
    </w:p>
    <w:p w14:paraId="1230D648">
      <w:pPr>
        <w:adjustRightInd w:val="0"/>
        <w:snapToGrid w:val="0"/>
        <w:spacing w:line="360" w:lineRule="auto"/>
        <w:rPr>
          <w:rFonts w:ascii="Times New Roman" w:hAnsi="Times New Roman" w:eastAsia="仿宋"/>
          <w:sz w:val="24"/>
        </w:rPr>
      </w:pPr>
    </w:p>
    <w:p w14:paraId="3EDD7FCA">
      <w:pPr>
        <w:adjustRightInd w:val="0"/>
        <w:snapToGrid w:val="0"/>
        <w:spacing w:line="360" w:lineRule="auto"/>
        <w:rPr>
          <w:rFonts w:ascii="Times New Roman" w:hAnsi="Times New Roman" w:eastAsia="仿宋"/>
          <w:sz w:val="24"/>
        </w:rPr>
      </w:pPr>
    </w:p>
    <w:p w14:paraId="0277C0C6">
      <w:pPr>
        <w:adjustRightInd w:val="0"/>
        <w:snapToGrid w:val="0"/>
        <w:spacing w:line="360" w:lineRule="auto"/>
        <w:rPr>
          <w:rFonts w:ascii="Times New Roman" w:hAnsi="Times New Roman" w:eastAsia="仿宋"/>
          <w:sz w:val="24"/>
        </w:rPr>
      </w:pPr>
      <w:r>
        <w:rPr>
          <w:rFonts w:ascii="Times New Roman" w:hAnsi="Times New Roman" w:eastAsia="仿宋"/>
          <w:sz w:val="24"/>
        </w:rPr>
        <w:t xml:space="preserve">                          供应商：</w:t>
      </w:r>
      <w:r>
        <w:rPr>
          <w:rFonts w:ascii="Times New Roman" w:hAnsi="Times New Roman" w:eastAsia="仿宋"/>
          <w:sz w:val="24"/>
          <w:u w:val="single"/>
        </w:rPr>
        <w:t xml:space="preserve">                         </w:t>
      </w:r>
      <w:r>
        <w:rPr>
          <w:rFonts w:ascii="Times New Roman" w:hAnsi="Times New Roman" w:eastAsia="仿宋"/>
          <w:sz w:val="24"/>
        </w:rPr>
        <w:t xml:space="preserve">（公章）             </w:t>
      </w:r>
    </w:p>
    <w:p w14:paraId="14CB25E5">
      <w:pPr>
        <w:adjustRightInd w:val="0"/>
        <w:snapToGrid w:val="0"/>
        <w:spacing w:line="360" w:lineRule="auto"/>
        <w:ind w:firstLine="360" w:firstLineChars="150"/>
        <w:rPr>
          <w:rFonts w:ascii="Times New Roman" w:hAnsi="Times New Roman" w:eastAsia="仿宋"/>
          <w:sz w:val="24"/>
          <w:u w:val="single"/>
        </w:rPr>
      </w:pPr>
    </w:p>
    <w:p w14:paraId="1D0284F3">
      <w:pPr>
        <w:adjustRightInd w:val="0"/>
        <w:snapToGrid w:val="0"/>
        <w:spacing w:line="360" w:lineRule="auto"/>
        <w:ind w:firstLine="4080" w:firstLineChars="1700"/>
        <w:rPr>
          <w:rFonts w:ascii="Times New Roman" w:hAnsi="Times New Roman" w:eastAsia="仿宋"/>
          <w:sz w:val="24"/>
        </w:rPr>
      </w:pP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w:t>
      </w:r>
    </w:p>
    <w:p w14:paraId="5CD2D9A1">
      <w:pPr>
        <w:adjustRightInd w:val="0"/>
        <w:snapToGrid w:val="0"/>
        <w:spacing w:line="360" w:lineRule="auto"/>
        <w:rPr>
          <w:rFonts w:hint="eastAsia" w:ascii="宋体" w:hAnsi="宋体"/>
          <w:bCs/>
          <w:sz w:val="28"/>
        </w:rPr>
      </w:pPr>
    </w:p>
    <w:p w14:paraId="0F5E711A">
      <w:pPr>
        <w:spacing w:line="500" w:lineRule="exact"/>
        <w:rPr>
          <w:rFonts w:ascii="Times New Roman" w:hAnsi="Times New Roman" w:eastAsia="仿宋"/>
          <w:b/>
          <w:sz w:val="28"/>
        </w:rPr>
      </w:pPr>
      <w:r>
        <w:rPr>
          <w:sz w:val="24"/>
        </w:rPr>
        <w:br w:type="page"/>
      </w:r>
      <w:r>
        <w:rPr>
          <w:rFonts w:ascii="Times New Roman" w:hAnsi="Times New Roman" w:eastAsia="仿宋"/>
          <w:b/>
          <w:sz w:val="28"/>
        </w:rPr>
        <w:t>附件</w:t>
      </w:r>
      <w:r>
        <w:rPr>
          <w:rFonts w:hint="eastAsia" w:ascii="Times New Roman" w:hAnsi="Times New Roman" w:eastAsia="仿宋"/>
          <w:b/>
          <w:sz w:val="28"/>
        </w:rPr>
        <w:t>2：</w:t>
      </w:r>
      <w:r>
        <w:rPr>
          <w:rFonts w:ascii="Times New Roman" w:hAnsi="Times New Roman" w:eastAsia="仿宋"/>
          <w:b/>
          <w:sz w:val="28"/>
        </w:rPr>
        <w:t>营业执照复印件加盖公章</w:t>
      </w:r>
    </w:p>
    <w:p w14:paraId="0606A233">
      <w:pPr>
        <w:pStyle w:val="5"/>
        <w:rPr>
          <w:sz w:val="24"/>
        </w:rPr>
      </w:pPr>
      <w:r>
        <w:rPr>
          <w:sz w:val="24"/>
        </w:rPr>
        <w:br w:type="page"/>
      </w:r>
      <w:r>
        <w:rPr>
          <w:rFonts w:ascii="Times New Roman" w:hAnsi="Times New Roman" w:eastAsia="仿宋"/>
          <w:b/>
          <w:sz w:val="28"/>
        </w:rPr>
        <w:t>附件</w:t>
      </w:r>
      <w:r>
        <w:rPr>
          <w:rFonts w:hint="eastAsia" w:ascii="Times New Roman" w:hAnsi="Times New Roman" w:eastAsia="仿宋"/>
          <w:b/>
          <w:sz w:val="28"/>
        </w:rPr>
        <w:t>3：资质证书</w:t>
      </w:r>
      <w:r>
        <w:rPr>
          <w:rFonts w:ascii="Times New Roman" w:hAnsi="Times New Roman" w:eastAsia="仿宋"/>
          <w:b/>
          <w:sz w:val="28"/>
        </w:rPr>
        <w:t>复印件加盖公章</w:t>
      </w:r>
    </w:p>
    <w:bookmarkEnd w:id="2"/>
    <w:sectPr>
      <w:pgSz w:w="11906" w:h="16838"/>
      <w:pgMar w:top="993" w:right="1135" w:bottom="1134"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ESI黑体-GB13000">
    <w:altName w:val="黑体"/>
    <w:panose1 w:val="02000500000000000000"/>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iZjVlMjVlOTA1YmI0OGIyYTAyMjU4ODMxYTE0ZTgifQ=="/>
  </w:docVars>
  <w:rsids>
    <w:rsidRoot w:val="00353BBC"/>
    <w:rsid w:val="000010C5"/>
    <w:rsid w:val="00066558"/>
    <w:rsid w:val="0007258C"/>
    <w:rsid w:val="00092867"/>
    <w:rsid w:val="00092A04"/>
    <w:rsid w:val="0009532A"/>
    <w:rsid w:val="000A2FCF"/>
    <w:rsid w:val="000A6A56"/>
    <w:rsid w:val="000D0598"/>
    <w:rsid w:val="000E59C9"/>
    <w:rsid w:val="000F1D10"/>
    <w:rsid w:val="001161F8"/>
    <w:rsid w:val="00153C78"/>
    <w:rsid w:val="001D6561"/>
    <w:rsid w:val="00221D78"/>
    <w:rsid w:val="00237A8D"/>
    <w:rsid w:val="0024521E"/>
    <w:rsid w:val="002A0F29"/>
    <w:rsid w:val="002D1F23"/>
    <w:rsid w:val="00337D7D"/>
    <w:rsid w:val="00353BBC"/>
    <w:rsid w:val="00387207"/>
    <w:rsid w:val="004617BE"/>
    <w:rsid w:val="00462358"/>
    <w:rsid w:val="00476B8B"/>
    <w:rsid w:val="004C503E"/>
    <w:rsid w:val="00516B02"/>
    <w:rsid w:val="005A55CB"/>
    <w:rsid w:val="005B1BA5"/>
    <w:rsid w:val="005C0CC6"/>
    <w:rsid w:val="005E0306"/>
    <w:rsid w:val="005E0393"/>
    <w:rsid w:val="007224D4"/>
    <w:rsid w:val="007510D8"/>
    <w:rsid w:val="007D6DE1"/>
    <w:rsid w:val="0080660D"/>
    <w:rsid w:val="00814DDD"/>
    <w:rsid w:val="0082555D"/>
    <w:rsid w:val="00833F9E"/>
    <w:rsid w:val="008A069C"/>
    <w:rsid w:val="008F49D9"/>
    <w:rsid w:val="009542C0"/>
    <w:rsid w:val="0097624E"/>
    <w:rsid w:val="009A3F08"/>
    <w:rsid w:val="009D2F2F"/>
    <w:rsid w:val="009E4927"/>
    <w:rsid w:val="00A1193E"/>
    <w:rsid w:val="00A6230C"/>
    <w:rsid w:val="00A62E44"/>
    <w:rsid w:val="00A640C2"/>
    <w:rsid w:val="00A73752"/>
    <w:rsid w:val="00AC5C3B"/>
    <w:rsid w:val="00AF374C"/>
    <w:rsid w:val="00B15540"/>
    <w:rsid w:val="00B31F64"/>
    <w:rsid w:val="00CA6826"/>
    <w:rsid w:val="00CD32DD"/>
    <w:rsid w:val="00D4232B"/>
    <w:rsid w:val="00DE2D6B"/>
    <w:rsid w:val="00E06F11"/>
    <w:rsid w:val="00E07857"/>
    <w:rsid w:val="00E3593B"/>
    <w:rsid w:val="00EA6517"/>
    <w:rsid w:val="00EB4590"/>
    <w:rsid w:val="00F3394E"/>
    <w:rsid w:val="00F9599E"/>
    <w:rsid w:val="00FA15EE"/>
    <w:rsid w:val="0FB7B7A4"/>
    <w:rsid w:val="11F6084D"/>
    <w:rsid w:val="193D6745"/>
    <w:rsid w:val="193E2B0C"/>
    <w:rsid w:val="1C0760BE"/>
    <w:rsid w:val="1E3FEDB6"/>
    <w:rsid w:val="1EBC3E02"/>
    <w:rsid w:val="20474620"/>
    <w:rsid w:val="260009DC"/>
    <w:rsid w:val="278A0D02"/>
    <w:rsid w:val="2A252865"/>
    <w:rsid w:val="2A353977"/>
    <w:rsid w:val="2ACB2241"/>
    <w:rsid w:val="31E5494B"/>
    <w:rsid w:val="322F6697"/>
    <w:rsid w:val="36EF7497"/>
    <w:rsid w:val="37411B33"/>
    <w:rsid w:val="3B7E63D3"/>
    <w:rsid w:val="3BF50B2C"/>
    <w:rsid w:val="3C673010"/>
    <w:rsid w:val="3D7B20EA"/>
    <w:rsid w:val="41DD3B25"/>
    <w:rsid w:val="45AB2290"/>
    <w:rsid w:val="49D01471"/>
    <w:rsid w:val="4EAB86FC"/>
    <w:rsid w:val="4FF7A130"/>
    <w:rsid w:val="503FB21C"/>
    <w:rsid w:val="5B7B8577"/>
    <w:rsid w:val="5DCFAFF6"/>
    <w:rsid w:val="62873460"/>
    <w:rsid w:val="6B2B2E3A"/>
    <w:rsid w:val="6BBF3968"/>
    <w:rsid w:val="6BCA59ED"/>
    <w:rsid w:val="6F6EA96C"/>
    <w:rsid w:val="6FEE761A"/>
    <w:rsid w:val="6FFC9E73"/>
    <w:rsid w:val="73953BA7"/>
    <w:rsid w:val="77AE4EA4"/>
    <w:rsid w:val="797BC7C9"/>
    <w:rsid w:val="7CAC3211"/>
    <w:rsid w:val="7CC82B94"/>
    <w:rsid w:val="7D220F49"/>
    <w:rsid w:val="7FE72CCB"/>
    <w:rsid w:val="BDBD9B25"/>
    <w:rsid w:val="BDF530E2"/>
    <w:rsid w:val="D29A86E1"/>
    <w:rsid w:val="DCB7326A"/>
    <w:rsid w:val="DDC7340B"/>
    <w:rsid w:val="DDFE8C98"/>
    <w:rsid w:val="E5B7CD2D"/>
    <w:rsid w:val="EEFF0CD5"/>
    <w:rsid w:val="EFF52F2D"/>
    <w:rsid w:val="F7FEC121"/>
    <w:rsid w:val="FAD7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rPr>
      <w:szCs w:val="20"/>
    </w:rPr>
  </w:style>
  <w:style w:type="paragraph" w:styleId="4">
    <w:name w:val="Body Text Indent"/>
    <w:basedOn w:val="1"/>
    <w:link w:val="19"/>
    <w:qFormat/>
    <w:uiPriority w:val="0"/>
    <w:pPr>
      <w:spacing w:line="400" w:lineRule="atLeast"/>
      <w:ind w:left="560"/>
    </w:pPr>
    <w:rPr>
      <w:sz w:val="24"/>
      <w:szCs w:val="20"/>
    </w:rPr>
  </w:style>
  <w:style w:type="paragraph" w:styleId="5">
    <w:name w:val="Plain Text"/>
    <w:basedOn w:val="1"/>
    <w:link w:val="20"/>
    <w:qFormat/>
    <w:uiPriority w:val="0"/>
    <w:rPr>
      <w:rFonts w:ascii="宋体" w:hAnsi="Courier New"/>
    </w:rPr>
  </w:style>
  <w:style w:type="paragraph" w:styleId="6">
    <w:name w:val="Date"/>
    <w:basedOn w:val="1"/>
    <w:next w:val="1"/>
    <w:link w:val="21"/>
    <w:qFormat/>
    <w:uiPriority w:val="0"/>
    <w:pPr>
      <w:ind w:left="100" w:leftChars="2500"/>
    </w:pPr>
    <w:rPr>
      <w:kern w:val="0"/>
      <w:sz w:val="20"/>
      <w:szCs w:val="21"/>
    </w:rPr>
  </w:style>
  <w:style w:type="paragraph" w:styleId="7">
    <w:name w:val="Balloon Text"/>
    <w:basedOn w:val="1"/>
    <w:link w:val="22"/>
    <w:qFormat/>
    <w:uiPriority w:val="0"/>
    <w:rPr>
      <w:sz w:val="18"/>
      <w:szCs w:val="20"/>
    </w:rPr>
  </w:style>
  <w:style w:type="paragraph" w:styleId="8">
    <w:name w:val="footer"/>
    <w:basedOn w:val="1"/>
    <w:link w:val="23"/>
    <w:qFormat/>
    <w:uiPriority w:val="0"/>
    <w:pPr>
      <w:tabs>
        <w:tab w:val="center" w:pos="4153"/>
        <w:tab w:val="right" w:pos="8306"/>
      </w:tabs>
      <w:snapToGrid w:val="0"/>
      <w:jc w:val="left"/>
    </w:pPr>
    <w:rPr>
      <w:sz w:val="18"/>
      <w:szCs w:val="20"/>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20"/>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3">
    <w:name w:val="Strong"/>
    <w:qFormat/>
    <w:uiPriority w:val="0"/>
    <w:rPr>
      <w:b/>
      <w:bCs/>
    </w:rPr>
  </w:style>
  <w:style w:type="character" w:styleId="14">
    <w:name w:val="page number"/>
    <w:qFormat/>
    <w:uiPriority w:val="0"/>
    <w:rPr>
      <w:rFonts w:eastAsia="宋体"/>
      <w:color w:val="000000"/>
      <w:sz w:val="24"/>
      <w:u w:color="000000"/>
      <w:lang w:val="en-US" w:eastAsia="zh-CN" w:bidi="ar-SA"/>
    </w:rPr>
  </w:style>
  <w:style w:type="character" w:styleId="15">
    <w:name w:val="Hyperlink"/>
    <w:qFormat/>
    <w:uiPriority w:val="0"/>
    <w:rPr>
      <w:rFonts w:hint="default" w:ascii="Arial" w:hAnsi="Arial" w:cs="Arial"/>
      <w:color w:val="0000FF"/>
      <w:u w:val="single"/>
    </w:rPr>
  </w:style>
  <w:style w:type="character" w:styleId="16">
    <w:name w:val="annotation reference"/>
    <w:qFormat/>
    <w:uiPriority w:val="0"/>
    <w:rPr>
      <w:sz w:val="21"/>
    </w:rPr>
  </w:style>
  <w:style w:type="character" w:customStyle="1" w:styleId="17">
    <w:name w:val="标题 1 字符"/>
    <w:link w:val="2"/>
    <w:qFormat/>
    <w:uiPriority w:val="0"/>
    <w:rPr>
      <w:rFonts w:ascii="Calibri" w:hAnsi="Calibri" w:eastAsia="宋体" w:cs="Times New Roman"/>
      <w:b/>
      <w:bCs/>
      <w:kern w:val="44"/>
      <w:sz w:val="44"/>
      <w:szCs w:val="44"/>
    </w:rPr>
  </w:style>
  <w:style w:type="character" w:customStyle="1" w:styleId="18">
    <w:name w:val="批注文字 字符"/>
    <w:link w:val="3"/>
    <w:qFormat/>
    <w:uiPriority w:val="0"/>
    <w:rPr>
      <w:rFonts w:ascii="Calibri" w:hAnsi="Calibri" w:eastAsia="宋体" w:cs="Times New Roman"/>
      <w:szCs w:val="20"/>
    </w:rPr>
  </w:style>
  <w:style w:type="character" w:customStyle="1" w:styleId="19">
    <w:name w:val="正文文本缩进 字符"/>
    <w:link w:val="4"/>
    <w:qFormat/>
    <w:uiPriority w:val="0"/>
    <w:rPr>
      <w:rFonts w:ascii="Calibri" w:hAnsi="Calibri" w:eastAsia="宋体" w:cs="Times New Roman"/>
      <w:sz w:val="24"/>
      <w:szCs w:val="20"/>
    </w:rPr>
  </w:style>
  <w:style w:type="character" w:customStyle="1" w:styleId="20">
    <w:name w:val="纯文本 字符"/>
    <w:link w:val="5"/>
    <w:qFormat/>
    <w:uiPriority w:val="0"/>
    <w:rPr>
      <w:rFonts w:ascii="宋体" w:hAnsi="Courier New"/>
    </w:rPr>
  </w:style>
  <w:style w:type="character" w:customStyle="1" w:styleId="21">
    <w:name w:val="日期 字符"/>
    <w:link w:val="6"/>
    <w:qFormat/>
    <w:uiPriority w:val="0"/>
    <w:rPr>
      <w:szCs w:val="21"/>
    </w:rPr>
  </w:style>
  <w:style w:type="character" w:customStyle="1" w:styleId="22">
    <w:name w:val="批注框文本 字符"/>
    <w:link w:val="7"/>
    <w:qFormat/>
    <w:uiPriority w:val="0"/>
    <w:rPr>
      <w:rFonts w:ascii="Calibri" w:hAnsi="Calibri" w:eastAsia="宋体" w:cs="Times New Roman"/>
      <w:sz w:val="18"/>
      <w:szCs w:val="20"/>
    </w:rPr>
  </w:style>
  <w:style w:type="character" w:customStyle="1" w:styleId="23">
    <w:name w:val="页脚 字符"/>
    <w:link w:val="8"/>
    <w:qFormat/>
    <w:uiPriority w:val="0"/>
    <w:rPr>
      <w:rFonts w:ascii="Calibri" w:hAnsi="Calibri" w:eastAsia="宋体" w:cs="Times New Roman"/>
      <w:sz w:val="18"/>
      <w:szCs w:val="20"/>
    </w:rPr>
  </w:style>
  <w:style w:type="character" w:customStyle="1" w:styleId="24">
    <w:name w:val="页眉 字符"/>
    <w:link w:val="9"/>
    <w:qFormat/>
    <w:uiPriority w:val="0"/>
    <w:rPr>
      <w:rFonts w:ascii="Calibri" w:hAnsi="Calibri" w:eastAsia="宋体" w:cs="Times New Roman"/>
      <w:sz w:val="18"/>
      <w:szCs w:val="20"/>
    </w:rPr>
  </w:style>
  <w:style w:type="character" w:customStyle="1" w:styleId="25">
    <w:name w:val="style21"/>
    <w:qFormat/>
    <w:uiPriority w:val="0"/>
    <w:rPr>
      <w:b/>
      <w:color w:val="990000"/>
    </w:rPr>
  </w:style>
  <w:style w:type="character" w:customStyle="1" w:styleId="26">
    <w:name w:val="font11"/>
    <w:qFormat/>
    <w:uiPriority w:val="0"/>
    <w:rPr>
      <w:rFonts w:hint="eastAsia" w:ascii="宋体" w:hAnsi="宋体" w:eastAsia="宋体" w:cs="宋体"/>
      <w:color w:val="000000"/>
      <w:sz w:val="18"/>
      <w:szCs w:val="18"/>
      <w:u w:val="none"/>
    </w:rPr>
  </w:style>
  <w:style w:type="character" w:customStyle="1" w:styleId="27">
    <w:name w:val="日期 Char1"/>
    <w:semiHidden/>
    <w:qFormat/>
    <w:uiPriority w:val="99"/>
    <w:rPr>
      <w:kern w:val="2"/>
      <w:sz w:val="21"/>
      <w:szCs w:val="22"/>
    </w:rPr>
  </w:style>
  <w:style w:type="character" w:customStyle="1" w:styleId="28">
    <w:name w:val="纯文本 Char1"/>
    <w:semiHidden/>
    <w:qFormat/>
    <w:uiPriority w:val="99"/>
    <w:rPr>
      <w:rFonts w:ascii="宋体" w:hAnsi="Courier New" w:eastAsia="宋体" w:cs="Courier New"/>
      <w:szCs w:val="21"/>
    </w:rPr>
  </w:style>
  <w:style w:type="paragraph" w:customStyle="1" w:styleId="29">
    <w:name w:val="Char1 Char Char Char Char Char Char"/>
    <w:basedOn w:val="1"/>
    <w:qFormat/>
    <w:uiPriority w:val="0"/>
    <w:rPr>
      <w:rFonts w:ascii="Tahoma" w:hAnsi="Tahoma"/>
      <w:sz w:val="24"/>
      <w:szCs w:val="20"/>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2163</Words>
  <Characters>2281</Characters>
  <Lines>18</Lines>
  <Paragraphs>5</Paragraphs>
  <TotalTime>512</TotalTime>
  <ScaleCrop>false</ScaleCrop>
  <LinksUpToDate>false</LinksUpToDate>
  <CharactersWithSpaces>2446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2024-08-23T07:56:00Z</dcterms:created>
  <dc:creator>xbany</dc:creator>
  <cp:lastModifiedBy>云淡风轻</cp:lastModifiedBy>
  <cp:lastPrinted>2024-08-27T06:59:00Z</cp:lastPrinted>
  <dcterms:modified xsi:type="dcterms:W3CDTF">2025-09-24T01:17:31Z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9756BF68BCF045C3BCBB691821F67DF5_13</vt:lpwstr>
  </property>
</Properties>
</file>