
<file path=[Content_Types].xml><?xml version="1.0" encoding="utf-8"?>
<Types xmlns="http://schemas.openxmlformats.org/package/2006/content-types">
  <Default Extension="xml" ContentType="application/xml"/>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221" w:afterLines="50" w:line="590" w:lineRule="exact"/>
        <w:ind w:firstLine="640"/>
        <w:rPr>
          <w:rFonts w:eastAsia="仿宋_GB2312" w:cs="Times New Roman"/>
          <w:sz w:val="32"/>
          <w:szCs w:val="32"/>
        </w:rPr>
      </w:pPr>
      <w:r>
        <w:rPr>
          <w:rFonts w:hint="eastAsia" w:eastAsia="仿宋_GB2312" w:cs="Times New Roman"/>
          <w:sz w:val="32"/>
          <w:szCs w:val="32"/>
        </w:rPr>
        <w:t>从逐月的水质数据看，台头断面</w:t>
      </w:r>
      <w:r>
        <w:rPr>
          <w:rFonts w:eastAsia="仿宋_GB2312" w:cs="Times New Roman"/>
          <w:sz w:val="32"/>
          <w:szCs w:val="32"/>
        </w:rPr>
        <w:t>2016</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年水质达标率分别为</w:t>
      </w:r>
      <w:r>
        <w:rPr>
          <w:rFonts w:eastAsia="仿宋_GB2312" w:cs="Times New Roman"/>
          <w:sz w:val="32"/>
          <w:szCs w:val="32"/>
        </w:rPr>
        <w:t>20%</w:t>
      </w:r>
      <w:r>
        <w:rPr>
          <w:rFonts w:hint="eastAsia" w:eastAsia="仿宋_GB2312" w:cs="Times New Roman"/>
          <w:sz w:val="32"/>
          <w:szCs w:val="32"/>
        </w:rPr>
        <w:t>、</w:t>
      </w:r>
      <w:r>
        <w:rPr>
          <w:rFonts w:eastAsia="仿宋_GB2312" w:cs="Times New Roman"/>
          <w:sz w:val="32"/>
          <w:szCs w:val="32"/>
        </w:rPr>
        <w:t>20%</w:t>
      </w:r>
      <w:r>
        <w:rPr>
          <w:rFonts w:hint="eastAsia" w:eastAsia="仿宋_GB2312" w:cs="Times New Roman"/>
          <w:sz w:val="32"/>
          <w:szCs w:val="32"/>
        </w:rPr>
        <w:t>、</w:t>
      </w:r>
      <w:r>
        <w:rPr>
          <w:rFonts w:eastAsia="仿宋_GB2312" w:cs="Times New Roman"/>
          <w:sz w:val="32"/>
          <w:szCs w:val="32"/>
        </w:rPr>
        <w:t>41.7%</w:t>
      </w:r>
      <w:r>
        <w:rPr>
          <w:rFonts w:hint="eastAsia" w:eastAsia="仿宋_GB2312" w:cs="Times New Roman"/>
          <w:sz w:val="32"/>
          <w:szCs w:val="32"/>
        </w:rPr>
        <w:t>，断面达标率呈上升趋势；</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1</w:t>
      </w: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月水质达标率为</w:t>
      </w:r>
      <w:r>
        <w:rPr>
          <w:rFonts w:eastAsia="仿宋_GB2312" w:cs="Times New Roman"/>
          <w:sz w:val="32"/>
          <w:szCs w:val="32"/>
        </w:rPr>
        <w:t>25%</w:t>
      </w:r>
      <w:r>
        <w:rPr>
          <w:rFonts w:hint="eastAsia" w:eastAsia="仿宋_GB2312" w:cs="Times New Roman"/>
          <w:sz w:val="32"/>
          <w:szCs w:val="32"/>
        </w:rPr>
        <w:t>，水质达标率有所下降，但污染物浓度均值有所下降。主要污染物浓度逐月变化情况见图</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至图</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6</w:t>
      </w:r>
      <w:r>
        <w:rPr>
          <w:rFonts w:hint="eastAsia" w:eastAsia="仿宋_GB2312" w:cs="Times New Roman"/>
          <w:sz w:val="32"/>
          <w:szCs w:val="32"/>
        </w:rPr>
        <w:t>。</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5016500" cy="2767965"/>
            <wp:effectExtent l="0" t="0" r="12700" b="13335"/>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28"/>
                    <a:stretch>
                      <a:fillRect/>
                    </a:stretch>
                  </pic:blipFill>
                  <pic:spPr>
                    <a:xfrm>
                      <a:off x="0" y="0"/>
                      <a:ext cx="5016500" cy="2767965"/>
                    </a:xfrm>
                    <a:prstGeom prst="rect">
                      <a:avLst/>
                    </a:prstGeom>
                    <a:noFill/>
                    <a:ln w="9525">
                      <a:noFill/>
                    </a:ln>
                  </pic:spPr>
                </pic:pic>
              </a:graphicData>
            </a:graphic>
          </wp:inline>
        </w:drawing>
      </w:r>
    </w:p>
    <w:p>
      <w:pPr>
        <w:pStyle w:val="5"/>
        <w:snapToGrid w:val="0"/>
        <w:spacing w:before="132" w:beforeLines="30" w:after="442" w:afterLines="10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24"/>
          <w:szCs w:val="24"/>
        </w:rPr>
        <w:t>-</w:t>
      </w:r>
      <w:r>
        <w:rPr>
          <w:rFonts w:ascii="Times New Roman" w:hAnsi="Times New Roman" w:eastAsia="仿宋_GB2312"/>
          <w:b/>
          <w:sz w:val="24"/>
          <w:szCs w:val="24"/>
        </w:rPr>
        <w:t>4</w:t>
      </w:r>
      <w:r>
        <w:rPr>
          <w:rFonts w:hint="eastAsia" w:ascii="Times New Roman" w:hAnsi="Times New Roman" w:eastAsia="仿宋_GB2312"/>
          <w:b/>
          <w:sz w:val="24"/>
          <w:szCs w:val="24"/>
        </w:rPr>
        <w:t>　台头断面化学需氧量浓度逐月变化</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4995545" cy="2762885"/>
            <wp:effectExtent l="0" t="0" r="14605" b="1841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29"/>
                    <a:stretch>
                      <a:fillRect/>
                    </a:stretch>
                  </pic:blipFill>
                  <pic:spPr>
                    <a:xfrm>
                      <a:off x="0" y="0"/>
                      <a:ext cx="4995545" cy="2762885"/>
                    </a:xfrm>
                    <a:prstGeom prst="rect">
                      <a:avLst/>
                    </a:prstGeom>
                    <a:noFill/>
                    <a:ln w="9525">
                      <a:noFill/>
                    </a:ln>
                  </pic:spPr>
                </pic:pic>
              </a:graphicData>
            </a:graphic>
          </wp:inline>
        </w:drawing>
      </w:r>
    </w:p>
    <w:p>
      <w:pPr>
        <w:pStyle w:val="5"/>
        <w:snapToGrid w:val="0"/>
        <w:spacing w:before="132" w:beforeLines="3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32"/>
          <w:szCs w:val="32"/>
        </w:rPr>
        <w:t>-</w:t>
      </w:r>
      <w:r>
        <w:rPr>
          <w:rFonts w:ascii="Times New Roman" w:hAnsi="Times New Roman" w:eastAsia="仿宋_GB2312"/>
          <w:b/>
          <w:sz w:val="24"/>
          <w:szCs w:val="24"/>
        </w:rPr>
        <w:t>5</w:t>
      </w:r>
      <w:r>
        <w:rPr>
          <w:rFonts w:hint="eastAsia" w:ascii="Times New Roman" w:hAnsi="Times New Roman" w:eastAsia="仿宋_GB2312"/>
          <w:b/>
          <w:sz w:val="24"/>
          <w:szCs w:val="24"/>
        </w:rPr>
        <w:t>　台头断面总磷浓度逐月变化</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5335905" cy="2941320"/>
            <wp:effectExtent l="0" t="0" r="17145" b="11430"/>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1"/>
                    <pic:cNvPicPr>
                      <a:picLocks noChangeAspect="1"/>
                    </pic:cNvPicPr>
                  </pic:nvPicPr>
                  <pic:blipFill>
                    <a:blip r:embed="rId30"/>
                    <a:stretch>
                      <a:fillRect/>
                    </a:stretch>
                  </pic:blipFill>
                  <pic:spPr>
                    <a:xfrm>
                      <a:off x="0" y="0"/>
                      <a:ext cx="5335905" cy="2941320"/>
                    </a:xfrm>
                    <a:prstGeom prst="rect">
                      <a:avLst/>
                    </a:prstGeom>
                    <a:noFill/>
                    <a:ln w="9525">
                      <a:noFill/>
                    </a:ln>
                  </pic:spPr>
                </pic:pic>
              </a:graphicData>
            </a:graphic>
          </wp:inline>
        </w:drawing>
      </w:r>
    </w:p>
    <w:p>
      <w:pPr>
        <w:pStyle w:val="5"/>
        <w:snapToGrid w:val="0"/>
        <w:spacing w:before="132" w:beforeLines="30" w:after="221" w:afterLines="5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32"/>
          <w:szCs w:val="32"/>
        </w:rPr>
        <w:t>-</w:t>
      </w:r>
      <w:r>
        <w:rPr>
          <w:rFonts w:ascii="Times New Roman" w:hAnsi="Times New Roman" w:eastAsia="仿宋_GB2312"/>
          <w:b/>
          <w:sz w:val="24"/>
          <w:szCs w:val="24"/>
        </w:rPr>
        <w:t>6</w:t>
      </w:r>
      <w:r>
        <w:rPr>
          <w:rFonts w:hint="eastAsia" w:ascii="Times New Roman" w:hAnsi="Times New Roman" w:eastAsia="仿宋_GB2312"/>
          <w:b/>
          <w:sz w:val="24"/>
          <w:szCs w:val="24"/>
        </w:rPr>
        <w:t>　台头断面氨氮浓度逐月变化</w:t>
      </w:r>
    </w:p>
    <w:p>
      <w:pPr>
        <w:pStyle w:val="3"/>
        <w:spacing w:line="590" w:lineRule="exact"/>
        <w:ind w:firstLine="643"/>
        <w:rPr>
          <w:rFonts w:eastAsia="楷体_GB2312"/>
        </w:rPr>
      </w:pPr>
      <w:bookmarkStart w:id="0" w:name="_Toc11254"/>
      <w:r>
        <w:rPr>
          <w:rFonts w:eastAsia="楷体_GB2312"/>
        </w:rPr>
        <w:t>5.3</w:t>
      </w:r>
      <w:r>
        <w:rPr>
          <w:rFonts w:hint="eastAsia" w:eastAsia="楷体_GB2312"/>
        </w:rPr>
        <w:t>工程实施情况</w:t>
      </w:r>
      <w:bookmarkEnd w:id="0"/>
    </w:p>
    <w:p>
      <w:pPr>
        <w:spacing w:line="590" w:lineRule="exact"/>
        <w:ind w:firstLine="640"/>
        <w:rPr>
          <w:rFonts w:eastAsia="仿宋_GB2312" w:cs="Times New Roman"/>
          <w:sz w:val="32"/>
          <w:szCs w:val="32"/>
        </w:rPr>
      </w:pPr>
      <w:r>
        <w:rPr>
          <w:rFonts w:hint="eastAsia" w:eastAsia="仿宋_GB2312" w:cs="Times New Roman"/>
          <w:sz w:val="32"/>
          <w:szCs w:val="32"/>
        </w:rPr>
        <w:t>根据原达标方案，大清河共确定流域污染治理、流域生态修复与保护、环境监管能力建设等类型的项目</w:t>
      </w:r>
      <w:r>
        <w:rPr>
          <w:rFonts w:eastAsia="仿宋_GB2312" w:cs="Times New Roman"/>
          <w:sz w:val="32"/>
          <w:szCs w:val="32"/>
        </w:rPr>
        <w:t>27</w:t>
      </w:r>
      <w:r>
        <w:rPr>
          <w:rFonts w:hint="eastAsia" w:eastAsia="仿宋_GB2312" w:cs="Times New Roman"/>
          <w:sz w:val="32"/>
          <w:szCs w:val="32"/>
        </w:rPr>
        <w:t>个，已完成项目</w:t>
      </w:r>
      <w:r>
        <w:rPr>
          <w:rFonts w:eastAsia="仿宋_GB2312" w:cs="Times New Roman"/>
          <w:sz w:val="32"/>
          <w:szCs w:val="32"/>
        </w:rPr>
        <w:t>16</w:t>
      </w:r>
      <w:r>
        <w:rPr>
          <w:rFonts w:hint="eastAsia" w:eastAsia="仿宋_GB2312" w:cs="Times New Roman"/>
          <w:sz w:val="32"/>
          <w:szCs w:val="32"/>
        </w:rPr>
        <w:t>个，未完成项目</w:t>
      </w:r>
      <w:r>
        <w:rPr>
          <w:rFonts w:eastAsia="仿宋_GB2312" w:cs="Times New Roman"/>
          <w:sz w:val="32"/>
          <w:szCs w:val="32"/>
        </w:rPr>
        <w:t>11</w:t>
      </w:r>
      <w:r>
        <w:rPr>
          <w:rFonts w:hint="eastAsia" w:eastAsia="仿宋_GB2312" w:cs="Times New Roman"/>
          <w:sz w:val="32"/>
          <w:szCs w:val="32"/>
        </w:rPr>
        <w:t>个，其中拟取消项目</w:t>
      </w:r>
      <w:r>
        <w:rPr>
          <w:rFonts w:eastAsia="仿宋_GB2312" w:cs="Times New Roman"/>
          <w:sz w:val="32"/>
          <w:szCs w:val="32"/>
        </w:rPr>
        <w:t>4</w:t>
      </w:r>
      <w:r>
        <w:rPr>
          <w:rFonts w:hint="eastAsia" w:eastAsia="仿宋_GB2312" w:cs="Times New Roman"/>
          <w:sz w:val="32"/>
          <w:szCs w:val="32"/>
        </w:rPr>
        <w:t>个，拟调整项目</w:t>
      </w:r>
      <w:r>
        <w:rPr>
          <w:rFonts w:eastAsia="仿宋_GB2312" w:cs="Times New Roman"/>
          <w:sz w:val="32"/>
          <w:szCs w:val="32"/>
        </w:rPr>
        <w:t>5</w:t>
      </w:r>
      <w:r>
        <w:rPr>
          <w:rFonts w:hint="eastAsia" w:eastAsia="仿宋_GB2312" w:cs="Times New Roman"/>
          <w:sz w:val="32"/>
          <w:szCs w:val="32"/>
        </w:rPr>
        <w:t>个。</w:t>
      </w:r>
    </w:p>
    <w:p>
      <w:pPr>
        <w:pStyle w:val="4"/>
        <w:spacing w:line="590" w:lineRule="exact"/>
        <w:ind w:firstLine="643"/>
      </w:pPr>
      <w:bookmarkStart w:id="1" w:name="_Toc20084"/>
      <w:r>
        <w:t>5.3.1</w:t>
      </w:r>
      <w:r>
        <w:rPr>
          <w:rFonts w:hint="eastAsia"/>
        </w:rPr>
        <w:t>已完成工程项目</w:t>
      </w:r>
      <w:bookmarkEnd w:id="1"/>
    </w:p>
    <w:p>
      <w:pPr>
        <w:spacing w:line="590" w:lineRule="exact"/>
        <w:ind w:firstLine="640"/>
        <w:rPr>
          <w:rFonts w:eastAsia="仿宋_GB2312" w:cs="Times New Roman"/>
          <w:sz w:val="32"/>
          <w:szCs w:val="32"/>
        </w:rPr>
      </w:pPr>
      <w:r>
        <w:rPr>
          <w:rFonts w:hint="eastAsia" w:eastAsia="仿宋_GB2312" w:cs="Times New Roman"/>
          <w:sz w:val="32"/>
          <w:szCs w:val="32"/>
        </w:rPr>
        <w:t>截止</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月，已完成项目</w:t>
      </w:r>
      <w:r>
        <w:rPr>
          <w:rFonts w:eastAsia="仿宋_GB2312" w:cs="Times New Roman"/>
          <w:sz w:val="32"/>
          <w:szCs w:val="32"/>
        </w:rPr>
        <w:t>16</w:t>
      </w:r>
      <w:r>
        <w:rPr>
          <w:rFonts w:hint="eastAsia" w:eastAsia="仿宋_GB2312" w:cs="Times New Roman"/>
          <w:sz w:val="32"/>
          <w:szCs w:val="32"/>
        </w:rPr>
        <w:t>个，其中文安县</w:t>
      </w:r>
      <w:r>
        <w:rPr>
          <w:rFonts w:eastAsia="仿宋_GB2312" w:cs="Times New Roman"/>
          <w:sz w:val="32"/>
          <w:szCs w:val="32"/>
        </w:rPr>
        <w:t>6</w:t>
      </w:r>
      <w:r>
        <w:rPr>
          <w:rFonts w:hint="eastAsia" w:eastAsia="仿宋_GB2312" w:cs="Times New Roman"/>
          <w:sz w:val="32"/>
          <w:szCs w:val="32"/>
        </w:rPr>
        <w:t>个项目，霸州市</w:t>
      </w:r>
      <w:r>
        <w:rPr>
          <w:rFonts w:eastAsia="仿宋_GB2312" w:cs="Times New Roman"/>
          <w:sz w:val="32"/>
          <w:szCs w:val="32"/>
        </w:rPr>
        <w:t>9</w:t>
      </w:r>
      <w:r>
        <w:rPr>
          <w:rFonts w:hint="eastAsia" w:eastAsia="仿宋_GB2312" w:cs="Times New Roman"/>
          <w:sz w:val="32"/>
          <w:szCs w:val="32"/>
        </w:rPr>
        <w:t>个项目，共同项目</w:t>
      </w:r>
      <w:r>
        <w:rPr>
          <w:rFonts w:eastAsia="仿宋_GB2312" w:cs="Times New Roman"/>
          <w:sz w:val="32"/>
          <w:szCs w:val="32"/>
        </w:rPr>
        <w:t>1</w:t>
      </w:r>
      <w:r>
        <w:rPr>
          <w:rFonts w:hint="eastAsia" w:eastAsia="仿宋_GB2312" w:cs="Times New Roman"/>
          <w:sz w:val="32"/>
          <w:szCs w:val="32"/>
        </w:rPr>
        <w:t>个。具体项目清单见表</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w:t>
      </w:r>
      <w:r>
        <w:rPr>
          <w:rFonts w:hint="eastAsia" w:eastAsia="仿宋_GB2312" w:cs="Times New Roman"/>
          <w:b/>
          <w:sz w:val="32"/>
          <w:szCs w:val="32"/>
        </w:rPr>
        <w:t>）霸州市东段污水处理厂升级改造项目（霸州市国泰环保工程有限公司）：</w:t>
      </w:r>
      <w:r>
        <w:rPr>
          <w:rFonts w:hint="eastAsia" w:eastAsia="仿宋_GB2312" w:cs="Times New Roman"/>
          <w:sz w:val="32"/>
          <w:szCs w:val="32"/>
        </w:rPr>
        <w:t>约</w:t>
      </w:r>
      <w:r>
        <w:rPr>
          <w:rFonts w:eastAsia="仿宋_GB2312" w:cs="Times New Roman"/>
          <w:sz w:val="32"/>
          <w:szCs w:val="32"/>
        </w:rPr>
        <w:t>2</w:t>
      </w:r>
      <w:r>
        <w:rPr>
          <w:rFonts w:hint="eastAsia" w:eastAsia="仿宋_GB2312" w:cs="Times New Roman"/>
          <w:sz w:val="32"/>
          <w:szCs w:val="32"/>
        </w:rPr>
        <w:t>万吨污水处理厂提标改造和工艺稳定性改造，改造后出水达到一级</w:t>
      </w:r>
      <w:r>
        <w:rPr>
          <w:rFonts w:eastAsia="仿宋_GB2312" w:cs="Times New Roman"/>
          <w:sz w:val="32"/>
          <w:szCs w:val="32"/>
        </w:rPr>
        <w:t>A</w:t>
      </w:r>
      <w:r>
        <w:rPr>
          <w:rFonts w:hint="eastAsia" w:eastAsia="仿宋_GB2312" w:cs="Times New Roman"/>
          <w:sz w:val="32"/>
          <w:szCs w:val="32"/>
        </w:rPr>
        <w:t>标准，</w:t>
      </w:r>
      <w:r>
        <w:rPr>
          <w:rFonts w:eastAsia="仿宋_GB2312" w:cs="Times New Roman"/>
          <w:sz w:val="32"/>
          <w:szCs w:val="32"/>
        </w:rPr>
        <w:t>2017</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2</w:t>
      </w:r>
      <w:r>
        <w:rPr>
          <w:rFonts w:hint="eastAsia" w:eastAsia="仿宋_GB2312" w:cs="Times New Roman"/>
          <w:b/>
          <w:sz w:val="32"/>
          <w:szCs w:val="32"/>
        </w:rPr>
        <w:t>）胜芳第二污水处理厂（霸州嘉诚水质净化有限公司）升级改造项目：</w:t>
      </w:r>
      <w:r>
        <w:rPr>
          <w:rFonts w:hint="eastAsia" w:eastAsia="仿宋_GB2312" w:cs="Times New Roman"/>
          <w:sz w:val="32"/>
          <w:szCs w:val="32"/>
        </w:rPr>
        <w:t>约</w:t>
      </w:r>
      <w:r>
        <w:rPr>
          <w:rFonts w:eastAsia="仿宋_GB2312" w:cs="Times New Roman"/>
          <w:sz w:val="32"/>
          <w:szCs w:val="32"/>
        </w:rPr>
        <w:t>2</w:t>
      </w:r>
      <w:r>
        <w:rPr>
          <w:rFonts w:hint="eastAsia" w:eastAsia="仿宋_GB2312" w:cs="Times New Roman"/>
          <w:sz w:val="32"/>
          <w:szCs w:val="32"/>
        </w:rPr>
        <w:t>万吨污水处理厂提标改造和工艺稳定性改造，改造后出水达到一级</w:t>
      </w:r>
      <w:r>
        <w:rPr>
          <w:rFonts w:eastAsia="仿宋_GB2312" w:cs="Times New Roman"/>
          <w:sz w:val="32"/>
          <w:szCs w:val="32"/>
        </w:rPr>
        <w:t>A</w:t>
      </w:r>
      <w:r>
        <w:rPr>
          <w:rFonts w:hint="eastAsia" w:eastAsia="仿宋_GB2312" w:cs="Times New Roman"/>
          <w:sz w:val="32"/>
          <w:szCs w:val="32"/>
        </w:rPr>
        <w:t>标准，</w:t>
      </w:r>
      <w:r>
        <w:rPr>
          <w:rFonts w:eastAsia="仿宋_GB2312" w:cs="Times New Roman"/>
          <w:sz w:val="32"/>
          <w:szCs w:val="32"/>
        </w:rPr>
        <w:t>2017</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3</w:t>
      </w:r>
      <w:r>
        <w:rPr>
          <w:rFonts w:hint="eastAsia" w:eastAsia="仿宋_GB2312" w:cs="Times New Roman"/>
          <w:b/>
          <w:sz w:val="32"/>
          <w:szCs w:val="32"/>
        </w:rPr>
        <w:t>）霸州溢昇水务科技有限公司胜芳分公司（霸州市胜芳第一污水处理厂）一期升级改造工程：</w:t>
      </w:r>
      <w:r>
        <w:rPr>
          <w:rFonts w:hint="eastAsia" w:eastAsia="仿宋_GB2312" w:cs="Times New Roman"/>
          <w:sz w:val="32"/>
          <w:szCs w:val="32"/>
        </w:rPr>
        <w:t>二期污水厂扩建，约</w:t>
      </w:r>
      <w:r>
        <w:rPr>
          <w:rFonts w:eastAsia="仿宋_GB2312" w:cs="Times New Roman"/>
          <w:sz w:val="32"/>
          <w:szCs w:val="32"/>
        </w:rPr>
        <w:t>5</w:t>
      </w:r>
      <w:r>
        <w:rPr>
          <w:rFonts w:hint="eastAsia" w:eastAsia="仿宋_GB2312" w:cs="Times New Roman"/>
          <w:sz w:val="32"/>
          <w:szCs w:val="32"/>
        </w:rPr>
        <w:t>万吨污水处理厂提标改造和工艺稳定性改造，改造后出水达到一级</w:t>
      </w:r>
      <w:r>
        <w:rPr>
          <w:rFonts w:eastAsia="仿宋_GB2312" w:cs="Times New Roman"/>
          <w:sz w:val="32"/>
          <w:szCs w:val="32"/>
        </w:rPr>
        <w:t>A</w:t>
      </w:r>
      <w:r>
        <w:rPr>
          <w:rFonts w:hint="eastAsia" w:eastAsia="仿宋_GB2312" w:cs="Times New Roman"/>
          <w:sz w:val="32"/>
          <w:szCs w:val="32"/>
        </w:rPr>
        <w:t>标准，</w:t>
      </w:r>
      <w:r>
        <w:rPr>
          <w:rFonts w:eastAsia="仿宋_GB2312" w:cs="Times New Roman"/>
          <w:sz w:val="32"/>
          <w:szCs w:val="32"/>
        </w:rPr>
        <w:t>2017</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4</w:t>
      </w:r>
      <w:r>
        <w:rPr>
          <w:rFonts w:hint="eastAsia" w:eastAsia="仿宋_GB2312" w:cs="Times New Roman"/>
          <w:b/>
          <w:sz w:val="32"/>
          <w:szCs w:val="32"/>
        </w:rPr>
        <w:t>）霸州市信安污水处理厂一期升级改造工程：</w:t>
      </w:r>
      <w:r>
        <w:rPr>
          <w:rFonts w:hint="eastAsia" w:eastAsia="仿宋_GB2312" w:cs="Times New Roman"/>
          <w:sz w:val="32"/>
          <w:szCs w:val="32"/>
        </w:rPr>
        <w:t>约</w:t>
      </w:r>
      <w:r>
        <w:rPr>
          <w:rFonts w:eastAsia="仿宋_GB2312" w:cs="Times New Roman"/>
          <w:sz w:val="32"/>
          <w:szCs w:val="32"/>
        </w:rPr>
        <w:t>2</w:t>
      </w:r>
      <w:r>
        <w:rPr>
          <w:rFonts w:hint="eastAsia" w:eastAsia="仿宋_GB2312" w:cs="Times New Roman"/>
          <w:sz w:val="32"/>
          <w:szCs w:val="32"/>
        </w:rPr>
        <w:t>万吨污水处理厂提标改造和工艺稳定性改造，改造后出水达到一级</w:t>
      </w:r>
      <w:r>
        <w:rPr>
          <w:rFonts w:eastAsia="仿宋_GB2312" w:cs="Times New Roman"/>
          <w:sz w:val="32"/>
          <w:szCs w:val="32"/>
        </w:rPr>
        <w:t>A</w:t>
      </w:r>
      <w:r>
        <w:rPr>
          <w:rFonts w:hint="eastAsia" w:eastAsia="仿宋_GB2312" w:cs="Times New Roman"/>
          <w:sz w:val="32"/>
          <w:szCs w:val="32"/>
        </w:rPr>
        <w:t>标准，</w:t>
      </w:r>
      <w:r>
        <w:rPr>
          <w:rFonts w:eastAsia="仿宋_GB2312" w:cs="Times New Roman"/>
          <w:sz w:val="32"/>
          <w:szCs w:val="32"/>
        </w:rPr>
        <w:t>2017</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5</w:t>
      </w:r>
      <w:r>
        <w:rPr>
          <w:rFonts w:hint="eastAsia" w:eastAsia="仿宋_GB2312" w:cs="Times New Roman"/>
          <w:b/>
          <w:sz w:val="32"/>
          <w:szCs w:val="32"/>
        </w:rPr>
        <w:t>）左各庄镇西污水处理厂：</w:t>
      </w:r>
      <w:r>
        <w:rPr>
          <w:rFonts w:hint="eastAsia" w:eastAsia="仿宋_GB2312" w:cs="Times New Roman"/>
          <w:sz w:val="32"/>
          <w:szCs w:val="32"/>
        </w:rPr>
        <w:t>文安左各庄镇人口较多，为了能将所有生活污水纳入城镇污水处理设施，特在左各庄镇西侧建设</w:t>
      </w:r>
      <w:r>
        <w:rPr>
          <w:rFonts w:eastAsia="仿宋_GB2312" w:cs="Times New Roman"/>
          <w:sz w:val="32"/>
          <w:szCs w:val="32"/>
        </w:rPr>
        <w:t>4500</w:t>
      </w:r>
      <w:r>
        <w:rPr>
          <w:rFonts w:hint="eastAsia" w:eastAsia="仿宋_GB2312" w:cs="Times New Roman"/>
          <w:sz w:val="32"/>
          <w:szCs w:val="32"/>
        </w:rPr>
        <w:t>吨污水处理厂一座，用于处理左各庄镇西侧居民产生的生活污水，目前该工程已完成主体工程和设备安装，正在试运行。</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6</w:t>
      </w:r>
      <w:r>
        <w:rPr>
          <w:rFonts w:hint="eastAsia" w:eastAsia="仿宋_GB2312" w:cs="Times New Roman"/>
          <w:b/>
          <w:sz w:val="32"/>
          <w:szCs w:val="32"/>
        </w:rPr>
        <w:t>）胜芳镇工业区雨污分流管网建设：</w:t>
      </w:r>
      <w:r>
        <w:rPr>
          <w:rFonts w:hint="eastAsia" w:eastAsia="仿宋_GB2312" w:cs="Times New Roman"/>
          <w:sz w:val="32"/>
          <w:szCs w:val="32"/>
        </w:rPr>
        <w:t>开展胜芳镇工业集聚区污水管网雨污分流改造，</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6</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7</w:t>
      </w:r>
      <w:r>
        <w:rPr>
          <w:rFonts w:hint="eastAsia" w:eastAsia="仿宋_GB2312" w:cs="Times New Roman"/>
          <w:b/>
          <w:sz w:val="32"/>
          <w:szCs w:val="32"/>
        </w:rPr>
        <w:t>）左各庄镇区配套管网及泵站建设：</w:t>
      </w:r>
      <w:r>
        <w:rPr>
          <w:rFonts w:hint="eastAsia" w:eastAsia="仿宋_GB2312" w:cs="Times New Roman"/>
          <w:sz w:val="32"/>
          <w:szCs w:val="32"/>
        </w:rPr>
        <w:t>建设左各庄镇西污水处理厂配套污水管网及泵站，收集左各庄镇西居民产生的生活污水，项目已经于</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月建设完成。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8</w:t>
      </w:r>
      <w:r>
        <w:rPr>
          <w:rFonts w:hint="eastAsia" w:eastAsia="仿宋_GB2312" w:cs="Times New Roman"/>
          <w:b/>
          <w:sz w:val="32"/>
          <w:szCs w:val="32"/>
        </w:rPr>
        <w:t>）左各庄镇生活垃圾处理工程：</w:t>
      </w:r>
      <w:r>
        <w:rPr>
          <w:rFonts w:hint="eastAsia" w:eastAsia="仿宋_GB2312" w:cs="Times New Roman"/>
          <w:sz w:val="32"/>
          <w:szCs w:val="32"/>
        </w:rPr>
        <w:t>新建垃圾处理场处理左各庄镇居民产生的生活垃圾，项目已于</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月建设完成。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9</w:t>
      </w:r>
      <w:r>
        <w:rPr>
          <w:rFonts w:hint="eastAsia" w:eastAsia="仿宋_GB2312" w:cs="Times New Roman"/>
          <w:b/>
          <w:sz w:val="32"/>
          <w:szCs w:val="32"/>
        </w:rPr>
        <w:t>）富管营村农村生活污水处理工程：</w:t>
      </w:r>
      <w:r>
        <w:rPr>
          <w:rFonts w:hint="eastAsia" w:eastAsia="仿宋_GB2312" w:cs="Times New Roman"/>
          <w:sz w:val="32"/>
          <w:szCs w:val="32"/>
        </w:rPr>
        <w:t>位于大清河北岸，富管营村南侧修建</w:t>
      </w:r>
      <w:r>
        <w:rPr>
          <w:rFonts w:eastAsia="仿宋_GB2312" w:cs="Times New Roman"/>
          <w:sz w:val="32"/>
          <w:szCs w:val="32"/>
        </w:rPr>
        <w:t>800</w:t>
      </w:r>
      <w:r>
        <w:rPr>
          <w:rFonts w:hint="eastAsia" w:eastAsia="仿宋_GB2312" w:cs="Times New Roman"/>
          <w:sz w:val="32"/>
          <w:szCs w:val="32"/>
        </w:rPr>
        <w:t>吨污水处理站一座，用于治理富管营村产生的生活污水。目前主体工程已完成，正在进行调试。</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10</w:t>
      </w:r>
      <w:r>
        <w:rPr>
          <w:rFonts w:hint="eastAsia" w:eastAsia="仿宋_GB2312" w:cs="Times New Roman"/>
          <w:b/>
          <w:sz w:val="32"/>
          <w:szCs w:val="32"/>
        </w:rPr>
        <w:t>）安里屯农村生活污水处理工程：</w:t>
      </w:r>
      <w:r>
        <w:rPr>
          <w:rFonts w:hint="eastAsia" w:eastAsia="仿宋_GB2312" w:cs="Times New Roman"/>
          <w:sz w:val="32"/>
          <w:szCs w:val="32"/>
        </w:rPr>
        <w:t>位于大清河南岸，安里屯村东侧修建</w:t>
      </w:r>
      <w:r>
        <w:rPr>
          <w:rFonts w:eastAsia="仿宋_GB2312" w:cs="Times New Roman"/>
          <w:sz w:val="32"/>
          <w:szCs w:val="32"/>
        </w:rPr>
        <w:t>1000</w:t>
      </w:r>
      <w:r>
        <w:rPr>
          <w:rFonts w:hint="eastAsia" w:eastAsia="仿宋_GB2312" w:cs="Times New Roman"/>
          <w:sz w:val="32"/>
          <w:szCs w:val="32"/>
        </w:rPr>
        <w:t>吨污水处理站一座，用于治理安里屯村产生的生活污水，目前主体工程已完成，正在进行调试。</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11</w:t>
      </w:r>
      <w:r>
        <w:rPr>
          <w:rFonts w:hint="eastAsia" w:eastAsia="仿宋_GB2312" w:cs="Times New Roman"/>
          <w:b/>
          <w:sz w:val="32"/>
          <w:szCs w:val="32"/>
        </w:rPr>
        <w:t>）</w:t>
      </w:r>
      <w:r>
        <w:rPr>
          <w:rFonts w:eastAsia="仿宋_GB2312" w:cs="Times New Roman"/>
          <w:b/>
          <w:sz w:val="32"/>
          <w:szCs w:val="32"/>
        </w:rPr>
        <w:t>王圪</w:t>
      </w:r>
      <w:r>
        <w:rPr>
          <w:rFonts w:hint="eastAsia" w:ascii="宋体" w:hAnsi="宋体" w:cs="宋体"/>
          <w:b/>
          <w:sz w:val="32"/>
          <w:szCs w:val="32"/>
        </w:rPr>
        <w:t>垯</w:t>
      </w:r>
      <w:r>
        <w:rPr>
          <w:rFonts w:eastAsia="仿宋_GB2312" w:cs="Times New Roman"/>
          <w:b/>
          <w:sz w:val="32"/>
          <w:szCs w:val="32"/>
        </w:rPr>
        <w:t>和任庄</w:t>
      </w:r>
      <w:r>
        <w:rPr>
          <w:rFonts w:hint="eastAsia" w:eastAsia="仿宋_GB2312" w:cs="Times New Roman"/>
          <w:b/>
          <w:sz w:val="32"/>
          <w:szCs w:val="32"/>
        </w:rPr>
        <w:t>子片区农村生活污水处理工程：</w:t>
      </w:r>
      <w:r>
        <w:rPr>
          <w:rFonts w:hint="eastAsia" w:eastAsia="仿宋_GB2312" w:cs="Times New Roman"/>
          <w:sz w:val="32"/>
          <w:szCs w:val="32"/>
        </w:rPr>
        <w:t>新建日处理能力</w:t>
      </w:r>
      <w:r>
        <w:rPr>
          <w:rFonts w:eastAsia="仿宋_GB2312" w:cs="Times New Roman"/>
          <w:sz w:val="32"/>
          <w:szCs w:val="32"/>
        </w:rPr>
        <w:t>600</w:t>
      </w:r>
      <w:r>
        <w:rPr>
          <w:rFonts w:hint="eastAsia" w:eastAsia="仿宋_GB2312" w:cs="Times New Roman"/>
          <w:sz w:val="32"/>
          <w:szCs w:val="32"/>
        </w:rPr>
        <w:t>吨生活污水处理设施，处理老大清河直排生活污水，</w:t>
      </w:r>
      <w:r>
        <w:rPr>
          <w:rFonts w:eastAsia="仿宋_GB2312" w:cs="Times New Roman"/>
          <w:sz w:val="32"/>
          <w:szCs w:val="32"/>
        </w:rPr>
        <w:t>2017</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12</w:t>
      </w:r>
      <w:r>
        <w:rPr>
          <w:rFonts w:hint="eastAsia" w:eastAsia="仿宋_GB2312" w:cs="Times New Roman"/>
          <w:b/>
          <w:sz w:val="32"/>
          <w:szCs w:val="32"/>
        </w:rPr>
        <w:t>）石沟村片区生活污染治理项目：</w:t>
      </w:r>
      <w:r>
        <w:rPr>
          <w:rFonts w:hint="eastAsia" w:eastAsia="仿宋_GB2312" w:cs="Times New Roman"/>
          <w:sz w:val="32"/>
          <w:szCs w:val="32"/>
        </w:rPr>
        <w:t>新建日处理能力</w:t>
      </w:r>
      <w:r>
        <w:rPr>
          <w:rFonts w:eastAsia="仿宋_GB2312" w:cs="Times New Roman"/>
          <w:sz w:val="32"/>
          <w:szCs w:val="32"/>
        </w:rPr>
        <w:t>1200</w:t>
      </w:r>
      <w:r>
        <w:rPr>
          <w:rFonts w:hint="eastAsia" w:eastAsia="仿宋_GB2312" w:cs="Times New Roman"/>
          <w:sz w:val="32"/>
          <w:szCs w:val="32"/>
        </w:rPr>
        <w:t>吨污水处理设施，解决石沟干渠沿岸生活污染问题，</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13</w:t>
      </w:r>
      <w:r>
        <w:rPr>
          <w:rFonts w:hint="eastAsia" w:eastAsia="仿宋_GB2312" w:cs="Times New Roman"/>
          <w:b/>
          <w:sz w:val="32"/>
          <w:szCs w:val="32"/>
        </w:rPr>
        <w:t>）崔庄子村生活污染治理项目：</w:t>
      </w:r>
      <w:r>
        <w:rPr>
          <w:rFonts w:hint="eastAsia" w:eastAsia="仿宋_GB2312" w:cs="Times New Roman"/>
          <w:sz w:val="32"/>
          <w:szCs w:val="32"/>
        </w:rPr>
        <w:t>新建生活污水处理站</w:t>
      </w:r>
      <w:r>
        <w:rPr>
          <w:rFonts w:eastAsia="仿宋_GB2312" w:cs="Times New Roman"/>
          <w:sz w:val="32"/>
          <w:szCs w:val="32"/>
        </w:rPr>
        <w:t>850</w:t>
      </w:r>
      <w:r>
        <w:rPr>
          <w:rFonts w:hint="eastAsia" w:eastAsia="仿宋_GB2312" w:cs="Times New Roman"/>
          <w:sz w:val="32"/>
          <w:szCs w:val="32"/>
        </w:rPr>
        <w:t>吨，保障中亭河水质，</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12</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14</w:t>
      </w:r>
      <w:r>
        <w:rPr>
          <w:rFonts w:hint="eastAsia" w:eastAsia="仿宋_GB2312" w:cs="Times New Roman"/>
          <w:b/>
          <w:sz w:val="32"/>
          <w:szCs w:val="32"/>
        </w:rPr>
        <w:t>）大清河湿地建设工程：</w:t>
      </w:r>
      <w:r>
        <w:rPr>
          <w:rFonts w:hint="eastAsia" w:eastAsia="仿宋_GB2312" w:cs="Times New Roman"/>
          <w:sz w:val="32"/>
          <w:szCs w:val="32"/>
        </w:rPr>
        <w:t>位于文安县滩里镇安里屯一村及安里屯二村东侧，大清河南岸，占地</w:t>
      </w:r>
      <w:r>
        <w:rPr>
          <w:rFonts w:eastAsia="仿宋_GB2312" w:cs="Times New Roman"/>
          <w:sz w:val="32"/>
          <w:szCs w:val="32"/>
        </w:rPr>
        <w:t>460.1</w:t>
      </w:r>
      <w:r>
        <w:rPr>
          <w:rFonts w:hint="eastAsia" w:eastAsia="仿宋_GB2312" w:cs="Times New Roman"/>
          <w:sz w:val="32"/>
          <w:szCs w:val="32"/>
        </w:rPr>
        <w:t>亩。项目建设处理日均</w:t>
      </w:r>
      <w:r>
        <w:rPr>
          <w:rFonts w:eastAsia="仿宋_GB2312" w:cs="Times New Roman"/>
          <w:sz w:val="32"/>
          <w:szCs w:val="32"/>
        </w:rPr>
        <w:t>10</w:t>
      </w:r>
      <w:r>
        <w:rPr>
          <w:rFonts w:hint="eastAsia" w:eastAsia="仿宋_GB2312" w:cs="Times New Roman"/>
          <w:sz w:val="32"/>
          <w:szCs w:val="32"/>
        </w:rPr>
        <w:t>万吨大清河河水的人工湿地及道路、绿化、围墙等附属工程。项目出水水质要求达到《地表水环境质量标准》</w:t>
      </w:r>
      <w:r>
        <w:rPr>
          <w:rFonts w:eastAsia="仿宋_GB2312" w:cs="Times New Roman"/>
          <w:sz w:val="32"/>
          <w:szCs w:val="32"/>
        </w:rPr>
        <w:t>IV</w:t>
      </w:r>
      <w:r>
        <w:rPr>
          <w:rFonts w:hint="eastAsia" w:eastAsia="仿宋_GB2312" w:cs="Times New Roman"/>
          <w:sz w:val="32"/>
          <w:szCs w:val="32"/>
        </w:rPr>
        <w:t>类标准。目前完成</w:t>
      </w:r>
      <w:r>
        <w:rPr>
          <w:rFonts w:eastAsia="仿宋_GB2312" w:cs="Times New Roman"/>
          <w:sz w:val="32"/>
          <w:szCs w:val="32"/>
        </w:rPr>
        <w:t>38</w:t>
      </w:r>
      <w:r>
        <w:rPr>
          <w:rFonts w:hint="eastAsia" w:eastAsia="仿宋_GB2312" w:cs="Times New Roman"/>
          <w:sz w:val="32"/>
          <w:szCs w:val="32"/>
        </w:rPr>
        <w:t>个分隔堰，砾石进场</w:t>
      </w:r>
      <w:r>
        <w:rPr>
          <w:rFonts w:eastAsia="仿宋_GB2312" w:cs="Times New Roman"/>
          <w:sz w:val="32"/>
          <w:szCs w:val="32"/>
        </w:rPr>
        <w:t>18</w:t>
      </w:r>
      <w:r>
        <w:rPr>
          <w:rFonts w:hint="eastAsia" w:eastAsia="仿宋_GB2312" w:cs="Times New Roman"/>
          <w:sz w:val="32"/>
          <w:szCs w:val="32"/>
        </w:rPr>
        <w:t>万吨，回填</w:t>
      </w:r>
      <w:r>
        <w:rPr>
          <w:rFonts w:eastAsia="仿宋_GB2312" w:cs="Times New Roman"/>
          <w:sz w:val="32"/>
          <w:szCs w:val="32"/>
        </w:rPr>
        <w:t>18</w:t>
      </w:r>
      <w:r>
        <w:rPr>
          <w:rFonts w:hint="eastAsia" w:eastAsia="仿宋_GB2312" w:cs="Times New Roman"/>
          <w:sz w:val="32"/>
          <w:szCs w:val="32"/>
        </w:rPr>
        <w:t>万吨。该项目分三个大区，三区主体工程全部完成，已通水，日处理量约</w:t>
      </w:r>
      <w:r>
        <w:rPr>
          <w:rFonts w:eastAsia="仿宋_GB2312" w:cs="Times New Roman"/>
          <w:sz w:val="32"/>
          <w:szCs w:val="32"/>
        </w:rPr>
        <w:t>7</w:t>
      </w:r>
      <w:r>
        <w:rPr>
          <w:rFonts w:hint="eastAsia" w:eastAsia="仿宋_GB2312" w:cs="Times New Roman"/>
          <w:sz w:val="32"/>
          <w:szCs w:val="32"/>
        </w:rPr>
        <w:t>万吨。</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15</w:t>
      </w:r>
      <w:r>
        <w:rPr>
          <w:rFonts w:hint="eastAsia" w:eastAsia="仿宋_GB2312" w:cs="Times New Roman"/>
          <w:b/>
          <w:sz w:val="32"/>
          <w:szCs w:val="32"/>
        </w:rPr>
        <w:t>）石沟干渠生态砾石床湿地水体净化工程：</w:t>
      </w:r>
      <w:r>
        <w:rPr>
          <w:rFonts w:hint="eastAsia" w:eastAsia="仿宋_GB2312" w:cs="Times New Roman"/>
          <w:sz w:val="32"/>
          <w:szCs w:val="32"/>
        </w:rPr>
        <w:t>针对石沟干渠开展底泥清淤，建设生态床，构建生态浮岛，治理石沟干渠及中亭河来水水质，</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6</w:t>
      </w:r>
      <w:r>
        <w:rPr>
          <w:rFonts w:hint="eastAsia" w:eastAsia="仿宋_GB2312" w:cs="Times New Roman"/>
          <w:sz w:val="32"/>
          <w:szCs w:val="32"/>
        </w:rPr>
        <w:t>月已完成。</w:t>
      </w:r>
    </w:p>
    <w:p>
      <w:pPr>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16</w:t>
      </w:r>
      <w:r>
        <w:rPr>
          <w:rFonts w:hint="eastAsia" w:eastAsia="仿宋_GB2312" w:cs="Times New Roman"/>
          <w:b/>
          <w:sz w:val="32"/>
          <w:szCs w:val="32"/>
        </w:rPr>
        <w:t>）大清河重点监测断面水质监测能力建设项目：</w:t>
      </w:r>
      <w:r>
        <w:rPr>
          <w:rFonts w:hint="eastAsia" w:eastAsia="仿宋_GB2312" w:cs="Times New Roman"/>
          <w:sz w:val="32"/>
          <w:szCs w:val="32"/>
        </w:rPr>
        <w:t>在大清河台头断面、石沟干渠扬水站、中亭河胜芳桥断面上游建设自动监测站，台头断面布设流速流向仪，在线监测站数据实时传输至原廊坊市环保局，实施监测预警大清河水质，已完成建设。</w:t>
      </w:r>
    </w:p>
    <w:p>
      <w:pPr>
        <w:pStyle w:val="2"/>
        <w:spacing w:line="590" w:lineRule="exact"/>
        <w:ind w:firstLine="560"/>
        <w:jc w:val="center"/>
        <w:rPr>
          <w:rFonts w:eastAsia="仿宋_GB2312"/>
          <w:sz w:val="28"/>
          <w:szCs w:val="28"/>
        </w:rPr>
        <w:sectPr>
          <w:footerReference r:id="rId3" w:type="default"/>
          <w:footerReference r:id="rId4" w:type="even"/>
          <w:pgSz w:w="11906" w:h="16838"/>
          <w:pgMar w:top="2098" w:right="1531" w:bottom="1474" w:left="1531" w:header="851" w:footer="850" w:gutter="0"/>
          <w:cols w:space="720" w:num="1"/>
          <w:docGrid w:type="lines" w:linePitch="442" w:charSpace="0"/>
        </w:sectPr>
      </w:pPr>
    </w:p>
    <w:p>
      <w:pPr>
        <w:pStyle w:val="5"/>
        <w:spacing w:after="190"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5</w:t>
      </w:r>
      <w:r>
        <w:rPr>
          <w:rFonts w:hint="eastAsia" w:ascii="Times New Roman" w:hAnsi="Times New Roman"/>
          <w:bCs/>
          <w:sz w:val="32"/>
          <w:szCs w:val="32"/>
        </w:rPr>
        <w:t>-</w:t>
      </w:r>
      <w:r>
        <w:rPr>
          <w:rFonts w:ascii="Times New Roman" w:hAnsi="Times New Roman"/>
          <w:bCs/>
          <w:sz w:val="32"/>
          <w:szCs w:val="32"/>
        </w:rPr>
        <w:t xml:space="preserve">1  </w:t>
      </w:r>
      <w:r>
        <w:rPr>
          <w:rFonts w:hint="eastAsia" w:ascii="Times New Roman" w:hAnsi="Times New Roman"/>
          <w:bCs/>
          <w:sz w:val="32"/>
          <w:szCs w:val="32"/>
        </w:rPr>
        <w:t>已完成工程项目清单</w:t>
      </w:r>
    </w:p>
    <w:tbl>
      <w:tblPr>
        <w:tblStyle w:val="10"/>
        <w:tblW w:w="13188" w:type="dxa"/>
        <w:jc w:val="center"/>
        <w:tblInd w:w="0" w:type="dxa"/>
        <w:tblLayout w:type="fixed"/>
        <w:tblCellMar>
          <w:top w:w="0" w:type="dxa"/>
          <w:left w:w="108" w:type="dxa"/>
          <w:bottom w:w="0" w:type="dxa"/>
          <w:right w:w="108" w:type="dxa"/>
        </w:tblCellMar>
      </w:tblPr>
      <w:tblGrid>
        <w:gridCol w:w="644"/>
        <w:gridCol w:w="881"/>
        <w:gridCol w:w="1100"/>
        <w:gridCol w:w="2019"/>
        <w:gridCol w:w="1034"/>
        <w:gridCol w:w="951"/>
        <w:gridCol w:w="1443"/>
        <w:gridCol w:w="2988"/>
        <w:gridCol w:w="7"/>
        <w:gridCol w:w="1078"/>
        <w:gridCol w:w="7"/>
        <w:gridCol w:w="1036"/>
      </w:tblGrid>
      <w:tr>
        <w:tblPrEx>
          <w:tblLayout w:type="fixed"/>
          <w:tblCellMar>
            <w:top w:w="0" w:type="dxa"/>
            <w:left w:w="108" w:type="dxa"/>
            <w:bottom w:w="0" w:type="dxa"/>
            <w:right w:w="108" w:type="dxa"/>
          </w:tblCellMar>
        </w:tblPrEx>
        <w:trPr>
          <w:trHeight w:val="20" w:hRule="atLeast"/>
          <w:tblHeader/>
          <w:jc w:val="center"/>
        </w:trPr>
        <w:tc>
          <w:tcPr>
            <w:tcW w:w="644"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序号</w:t>
            </w:r>
          </w:p>
        </w:tc>
        <w:tc>
          <w:tcPr>
            <w:tcW w:w="881"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隶属</w:t>
            </w:r>
          </w:p>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关系</w:t>
            </w:r>
          </w:p>
        </w:tc>
        <w:tc>
          <w:tcPr>
            <w:tcW w:w="110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项目类型</w:t>
            </w:r>
          </w:p>
        </w:tc>
        <w:tc>
          <w:tcPr>
            <w:tcW w:w="2019"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项目名称</w:t>
            </w:r>
          </w:p>
        </w:tc>
        <w:tc>
          <w:tcPr>
            <w:tcW w:w="103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hint="eastAsia" w:eastAsia="仿宋_GB2312" w:cs="Times New Roman"/>
                <w:b/>
                <w:kern w:val="0"/>
                <w:sz w:val="21"/>
                <w:szCs w:val="21"/>
              </w:rPr>
            </w:pPr>
            <w:r>
              <w:rPr>
                <w:rFonts w:eastAsia="仿宋_GB2312" w:cs="Times New Roman"/>
                <w:b/>
                <w:kern w:val="0"/>
                <w:sz w:val="21"/>
                <w:szCs w:val="21"/>
              </w:rPr>
              <w:t>建设</w:t>
            </w:r>
          </w:p>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地点</w:t>
            </w:r>
          </w:p>
        </w:tc>
        <w:tc>
          <w:tcPr>
            <w:tcW w:w="951"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建设</w:t>
            </w:r>
          </w:p>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周期</w:t>
            </w:r>
          </w:p>
        </w:tc>
        <w:tc>
          <w:tcPr>
            <w:tcW w:w="1443"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承担</w:t>
            </w:r>
          </w:p>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单位</w:t>
            </w:r>
          </w:p>
        </w:tc>
        <w:tc>
          <w:tcPr>
            <w:tcW w:w="2988"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项目建设规模与内容</w:t>
            </w:r>
          </w:p>
        </w:tc>
        <w:tc>
          <w:tcPr>
            <w:tcW w:w="1092" w:type="dxa"/>
            <w:gridSpan w:val="3"/>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项目投资（万元）</w:t>
            </w:r>
          </w:p>
        </w:tc>
        <w:tc>
          <w:tcPr>
            <w:tcW w:w="1036"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备注</w:t>
            </w:r>
          </w:p>
        </w:tc>
      </w:tr>
      <w:tr>
        <w:tblPrEx>
          <w:tblLayout w:type="fixed"/>
          <w:tblCellMar>
            <w:top w:w="0" w:type="dxa"/>
            <w:left w:w="108" w:type="dxa"/>
            <w:bottom w:w="0" w:type="dxa"/>
            <w:right w:w="108" w:type="dxa"/>
          </w:tblCellMar>
        </w:tblPrEx>
        <w:trPr>
          <w:trHeight w:val="90" w:hRule="atLeast"/>
          <w:jc w:val="center"/>
        </w:trPr>
        <w:tc>
          <w:tcPr>
            <w:tcW w:w="13188" w:type="dxa"/>
            <w:gridSpan w:val="1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b/>
                <w:kern w:val="0"/>
                <w:sz w:val="21"/>
                <w:szCs w:val="21"/>
              </w:rPr>
              <w:t>1</w:t>
            </w:r>
            <w:r>
              <w:rPr>
                <w:rFonts w:hint="eastAsia" w:eastAsia="仿宋_GB2312" w:cs="Times New Roman"/>
                <w:b/>
                <w:kern w:val="0"/>
                <w:sz w:val="21"/>
                <w:szCs w:val="21"/>
              </w:rPr>
              <w:t>-</w:t>
            </w:r>
            <w:r>
              <w:rPr>
                <w:rFonts w:eastAsia="仿宋_GB2312" w:cs="Times New Roman"/>
                <w:b/>
                <w:kern w:val="0"/>
                <w:sz w:val="21"/>
                <w:szCs w:val="21"/>
              </w:rPr>
              <w:t>流域污染源治理项目小计</w:t>
            </w:r>
          </w:p>
        </w:tc>
      </w:tr>
      <w:tr>
        <w:tblPrEx>
          <w:tblLayout w:type="fixed"/>
          <w:tblCellMar>
            <w:top w:w="0" w:type="dxa"/>
            <w:left w:w="108" w:type="dxa"/>
            <w:bottom w:w="0" w:type="dxa"/>
            <w:right w:w="108" w:type="dxa"/>
          </w:tblCellMar>
        </w:tblPrEx>
        <w:trPr>
          <w:trHeight w:val="1687"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霸州市东段污水处理厂升级改造项目（霸州市国泰环保工程有限公司）</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胜芳镇</w:t>
            </w:r>
          </w:p>
        </w:tc>
        <w:tc>
          <w:tcPr>
            <w:tcW w:w="95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年</w:t>
            </w:r>
            <w:r>
              <w:rPr>
                <w:rFonts w:eastAsia="仿宋_GB2312" w:cs="Times New Roman"/>
                <w:sz w:val="21"/>
                <w:szCs w:val="21"/>
              </w:rPr>
              <w:t xml:space="preserve"> </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约2万吨污水处理厂提标改造和工艺稳定性改造，改造后出水</w:t>
            </w:r>
            <w:r>
              <w:rPr>
                <w:rFonts w:hint="eastAsia" w:eastAsia="仿宋_GB2312" w:cs="Times New Roman"/>
                <w:kern w:val="0"/>
                <w:sz w:val="21"/>
                <w:szCs w:val="21"/>
              </w:rPr>
              <w:t>达到</w:t>
            </w:r>
            <w:r>
              <w:rPr>
                <w:rFonts w:eastAsia="仿宋_GB2312" w:cs="Times New Roman"/>
                <w:kern w:val="0"/>
                <w:sz w:val="21"/>
                <w:szCs w:val="21"/>
              </w:rPr>
              <w:t>一级A标准。</w:t>
            </w:r>
          </w:p>
        </w:tc>
        <w:tc>
          <w:tcPr>
            <w:tcW w:w="1092" w:type="dxa"/>
            <w:gridSpan w:val="3"/>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5000</w:t>
            </w:r>
          </w:p>
        </w:tc>
        <w:tc>
          <w:tcPr>
            <w:tcW w:w="103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659"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胜芳第二污水处理厂（霸州嘉诚水质净化有限公司）升级改造项目</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胜芳镇</w:t>
            </w:r>
          </w:p>
        </w:tc>
        <w:tc>
          <w:tcPr>
            <w:tcW w:w="951" w:type="dxa"/>
            <w:tcBorders>
              <w:top w:val="nil"/>
              <w:left w:val="nil"/>
              <w:bottom w:val="single" w:color="auto" w:sz="4" w:space="0"/>
              <w:right w:val="single" w:color="auto" w:sz="4" w:space="0"/>
            </w:tcBorders>
            <w:vAlign w:val="center"/>
          </w:tcPr>
          <w:p>
            <w:pPr>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约2万吨污水处理厂提标改造和工艺稳定性改造，改造后出水达到一级A标准。</w:t>
            </w:r>
          </w:p>
        </w:tc>
        <w:tc>
          <w:tcPr>
            <w:tcW w:w="1092" w:type="dxa"/>
            <w:gridSpan w:val="3"/>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2500</w:t>
            </w:r>
          </w:p>
        </w:tc>
        <w:tc>
          <w:tcPr>
            <w:tcW w:w="103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2051"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霸州溢</w:t>
            </w:r>
            <w:r>
              <w:rPr>
                <w:rFonts w:eastAsia="微软雅黑" w:cs="Times New Roman"/>
                <w:kern w:val="0"/>
                <w:sz w:val="21"/>
                <w:szCs w:val="21"/>
              </w:rPr>
              <w:t>昇</w:t>
            </w:r>
            <w:r>
              <w:rPr>
                <w:rFonts w:eastAsia="仿宋_GB2312" w:cs="Times New Roman"/>
                <w:kern w:val="0"/>
                <w:sz w:val="21"/>
                <w:szCs w:val="21"/>
              </w:rPr>
              <w:t>水务科技有限公司胜芳分公司（霸州市胜芳第一污水处理厂）一期升级改造工程</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胜芳镇</w:t>
            </w:r>
          </w:p>
        </w:tc>
        <w:tc>
          <w:tcPr>
            <w:tcW w:w="951" w:type="dxa"/>
            <w:tcBorders>
              <w:top w:val="nil"/>
              <w:left w:val="nil"/>
              <w:bottom w:val="single" w:color="auto" w:sz="4" w:space="0"/>
              <w:right w:val="single" w:color="auto" w:sz="4" w:space="0"/>
            </w:tcBorders>
            <w:vAlign w:val="center"/>
          </w:tcPr>
          <w:p>
            <w:pPr>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二期污水厂扩建，约5万吨污水处理厂提标改造和工艺稳定性改造，改造后出水达到一级A标准。</w:t>
            </w:r>
          </w:p>
        </w:tc>
        <w:tc>
          <w:tcPr>
            <w:tcW w:w="1092" w:type="dxa"/>
            <w:gridSpan w:val="3"/>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8000</w:t>
            </w:r>
          </w:p>
        </w:tc>
        <w:tc>
          <w:tcPr>
            <w:tcW w:w="103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403"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霸州市信安污水处理厂一期升级改造工程</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信安镇</w:t>
            </w:r>
          </w:p>
        </w:tc>
        <w:tc>
          <w:tcPr>
            <w:tcW w:w="951" w:type="dxa"/>
            <w:tcBorders>
              <w:top w:val="nil"/>
              <w:left w:val="nil"/>
              <w:bottom w:val="single" w:color="auto" w:sz="4" w:space="0"/>
              <w:right w:val="single" w:color="auto" w:sz="4" w:space="0"/>
            </w:tcBorders>
            <w:vAlign w:val="center"/>
          </w:tcPr>
          <w:p>
            <w:pPr>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约2万吨污水处理厂提标改造和工艺稳定性改造，改造后出水达到一级A标准。</w:t>
            </w:r>
          </w:p>
        </w:tc>
        <w:tc>
          <w:tcPr>
            <w:tcW w:w="1092" w:type="dxa"/>
            <w:gridSpan w:val="3"/>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3820.88</w:t>
            </w:r>
          </w:p>
        </w:tc>
        <w:tc>
          <w:tcPr>
            <w:tcW w:w="103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134"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左各庄镇西污水处理厂</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文安县左各庄</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改善大清河水质，新建日处理4500吨生活污水处理厂处理左各庄镇生活污水。</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3000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879"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胜芳镇工业区雨污分流管网建设</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胜芳镇</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开展胜芳镇工业集聚区污水管网雨污分流改造。</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5000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867"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左各庄镇区配套管网及泵站建设</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文安县左各庄</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2018</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spacing w:val="-6"/>
                <w:kern w:val="0"/>
                <w:sz w:val="21"/>
                <w:szCs w:val="21"/>
              </w:rPr>
            </w:pPr>
            <w:r>
              <w:rPr>
                <w:rFonts w:eastAsia="仿宋_GB2312" w:cs="Times New Roman"/>
                <w:spacing w:val="-6"/>
                <w:kern w:val="0"/>
                <w:sz w:val="21"/>
                <w:szCs w:val="21"/>
              </w:rPr>
              <w:t>左各庄镇区配套管网及泵站建设。</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20500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882"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左各庄镇生活垃圾处理工程</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文安县左各庄</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2018</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新建垃圾处理场处理左各庄镇居民产生的生活垃圾。</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6500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866"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富管营村农村生活污水处理工程</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富管营</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spacing w:val="-6"/>
                <w:kern w:val="0"/>
                <w:sz w:val="21"/>
                <w:szCs w:val="21"/>
              </w:rPr>
            </w:pPr>
            <w:r>
              <w:rPr>
                <w:rFonts w:eastAsia="仿宋_GB2312" w:cs="Times New Roman"/>
                <w:spacing w:val="-6"/>
                <w:kern w:val="0"/>
                <w:sz w:val="21"/>
                <w:szCs w:val="21"/>
              </w:rPr>
              <w:t>新建日处理800吨生活污水处理站一座，处理富管营村生活污水。</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850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146"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安里屯农村生活污水处理工程</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安里屯</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文安县政府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spacing w:val="-6"/>
                <w:kern w:val="0"/>
                <w:sz w:val="21"/>
                <w:szCs w:val="21"/>
              </w:rPr>
            </w:pPr>
            <w:r>
              <w:rPr>
                <w:rFonts w:eastAsia="仿宋_GB2312" w:cs="Times New Roman"/>
                <w:spacing w:val="-6"/>
                <w:kern w:val="0"/>
                <w:sz w:val="21"/>
                <w:szCs w:val="21"/>
              </w:rPr>
              <w:t>新建日处理1000吨生活污水处理站一座建设配套管网1.2公里，处理滩里安里屯村生活污水。</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1080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039"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11</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王圪</w:t>
            </w:r>
            <w:r>
              <w:rPr>
                <w:rFonts w:eastAsia="微软雅黑" w:cs="Times New Roman"/>
                <w:kern w:val="0"/>
                <w:sz w:val="21"/>
                <w:szCs w:val="21"/>
              </w:rPr>
              <w:t>垯</w:t>
            </w:r>
            <w:r>
              <w:rPr>
                <w:rFonts w:eastAsia="仿宋_GB2312" w:cs="Times New Roman"/>
                <w:kern w:val="0"/>
                <w:sz w:val="21"/>
                <w:szCs w:val="21"/>
              </w:rPr>
              <w:t>和任庄子片区农村生活污水处理工程</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王圪</w:t>
            </w:r>
            <w:r>
              <w:rPr>
                <w:rFonts w:eastAsia="微软雅黑" w:cs="Times New Roman"/>
                <w:kern w:val="0"/>
                <w:sz w:val="21"/>
                <w:szCs w:val="21"/>
              </w:rPr>
              <w:t>垯</w:t>
            </w:r>
            <w:r>
              <w:rPr>
                <w:rFonts w:hint="eastAsia" w:eastAsia="微软雅黑" w:cs="Times New Roman"/>
                <w:kern w:val="0"/>
                <w:sz w:val="21"/>
                <w:szCs w:val="21"/>
              </w:rPr>
              <w:t>、</w:t>
            </w:r>
            <w:r>
              <w:rPr>
                <w:rFonts w:eastAsia="仿宋_GB2312" w:cs="Times New Roman"/>
                <w:kern w:val="0"/>
                <w:sz w:val="21"/>
                <w:szCs w:val="21"/>
              </w:rPr>
              <w:t>任庄子</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新建日处理能力600吨生活污水处理设施，处理老大清河直排生活污水。</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600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114"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12</w:t>
            </w:r>
          </w:p>
        </w:tc>
        <w:tc>
          <w:tcPr>
            <w:tcW w:w="881"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石沟村片区生活污染治理项目</w:t>
            </w:r>
          </w:p>
        </w:tc>
        <w:tc>
          <w:tcPr>
            <w:tcW w:w="1034"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石沟村</w:t>
            </w:r>
          </w:p>
        </w:tc>
        <w:tc>
          <w:tcPr>
            <w:tcW w:w="951" w:type="dxa"/>
            <w:tcBorders>
              <w:top w:val="nil"/>
              <w:left w:val="nil"/>
              <w:bottom w:val="single" w:color="auto" w:sz="4" w:space="0"/>
              <w:right w:val="single" w:color="auto" w:sz="4" w:space="0"/>
            </w:tcBorders>
            <w:vAlign w:val="center"/>
          </w:tcPr>
          <w:p>
            <w:pPr>
              <w:spacing w:line="320" w:lineRule="exact"/>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新建日处理能力1200吨污水处理设施，解决石沟干渠沿岸生活污染问题。</w:t>
            </w:r>
          </w:p>
        </w:tc>
        <w:tc>
          <w:tcPr>
            <w:tcW w:w="1092" w:type="dxa"/>
            <w:gridSpan w:val="3"/>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1200</w:t>
            </w:r>
          </w:p>
        </w:tc>
        <w:tc>
          <w:tcPr>
            <w:tcW w:w="1036" w:type="dxa"/>
            <w:tcBorders>
              <w:top w:val="nil"/>
              <w:left w:val="nil"/>
              <w:bottom w:val="single" w:color="auto" w:sz="4" w:space="0"/>
              <w:right w:val="single" w:color="auto" w:sz="4" w:space="0"/>
            </w:tcBorders>
            <w:vAlign w:val="center"/>
          </w:tcPr>
          <w:p>
            <w:pPr>
              <w:widowControl/>
              <w:spacing w:line="320" w:lineRule="exact"/>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878"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13</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流域污染源治理</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崔庄子村生活污染治理项目</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崔庄子</w:t>
            </w:r>
          </w:p>
        </w:tc>
        <w:tc>
          <w:tcPr>
            <w:tcW w:w="951" w:type="dxa"/>
            <w:tcBorders>
              <w:top w:val="nil"/>
              <w:left w:val="nil"/>
              <w:bottom w:val="single" w:color="auto" w:sz="4" w:space="0"/>
              <w:right w:val="single" w:color="auto" w:sz="4" w:space="0"/>
            </w:tcBorders>
            <w:vAlign w:val="center"/>
          </w:tcPr>
          <w:p>
            <w:pPr>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8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新建生活污水处理站850吨，保障中亭河水质。</w:t>
            </w:r>
          </w:p>
        </w:tc>
        <w:tc>
          <w:tcPr>
            <w:tcW w:w="1092" w:type="dxa"/>
            <w:gridSpan w:val="3"/>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850</w:t>
            </w:r>
          </w:p>
        </w:tc>
        <w:tc>
          <w:tcPr>
            <w:tcW w:w="103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20" w:hRule="atLeast"/>
          <w:jc w:val="center"/>
        </w:trPr>
        <w:tc>
          <w:tcPr>
            <w:tcW w:w="13188" w:type="dxa"/>
            <w:gridSpan w:val="1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2</w:t>
            </w:r>
            <w:r>
              <w:rPr>
                <w:rFonts w:hint="eastAsia" w:eastAsia="仿宋_GB2312" w:cs="Times New Roman"/>
                <w:b/>
                <w:kern w:val="0"/>
                <w:sz w:val="21"/>
                <w:szCs w:val="21"/>
              </w:rPr>
              <w:t>-</w:t>
            </w:r>
            <w:r>
              <w:rPr>
                <w:rFonts w:eastAsia="仿宋_GB2312" w:cs="Times New Roman"/>
                <w:b/>
                <w:kern w:val="0"/>
                <w:sz w:val="21"/>
                <w:szCs w:val="21"/>
              </w:rPr>
              <w:t>流域生态修复与保护项目小计</w:t>
            </w:r>
          </w:p>
        </w:tc>
      </w:tr>
      <w:tr>
        <w:tblPrEx>
          <w:tblLayout w:type="fixed"/>
          <w:tblCellMar>
            <w:top w:w="0" w:type="dxa"/>
            <w:left w:w="108" w:type="dxa"/>
            <w:bottom w:w="0" w:type="dxa"/>
            <w:right w:w="108" w:type="dxa"/>
          </w:tblCellMar>
        </w:tblPrEx>
        <w:trPr>
          <w:trHeight w:val="2400"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流域生态修复与保护</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大清河湿地建设工程</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r>
              <w:rPr>
                <w:rFonts w:hint="eastAsia" w:eastAsia="仿宋_GB2312" w:cs="Times New Roman"/>
                <w:kern w:val="0"/>
                <w:sz w:val="21"/>
                <w:szCs w:val="21"/>
              </w:rPr>
              <w:t>、</w:t>
            </w:r>
            <w:r>
              <w:rPr>
                <w:rFonts w:eastAsia="仿宋_GB2312" w:cs="Times New Roman"/>
                <w:kern w:val="0"/>
                <w:sz w:val="21"/>
                <w:szCs w:val="21"/>
              </w:rPr>
              <w:t>霸州市</w:t>
            </w:r>
          </w:p>
        </w:tc>
        <w:tc>
          <w:tcPr>
            <w:tcW w:w="95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sz w:val="21"/>
                <w:szCs w:val="21"/>
              </w:rPr>
            </w:pPr>
            <w:r>
              <w:rPr>
                <w:rFonts w:eastAsia="仿宋_GB2312" w:cs="Times New Roman"/>
                <w:sz w:val="21"/>
                <w:szCs w:val="21"/>
              </w:rPr>
              <w:t>2018</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文安县政府、霸州市政府</w:t>
            </w:r>
          </w:p>
        </w:tc>
        <w:tc>
          <w:tcPr>
            <w:tcW w:w="2995" w:type="dxa"/>
            <w:gridSpan w:val="2"/>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在大清河干流赵王新河，河道及两岸种植芦苇、荷花、金鱼藻等挺水、浮水和沉水植物，恢复湿地生态系统，大清河安里屯河段建设规模4万吨/天，占地1.2万亩的荷花湿地。</w:t>
            </w:r>
          </w:p>
        </w:tc>
        <w:tc>
          <w:tcPr>
            <w:tcW w:w="1078"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87014</w:t>
            </w:r>
          </w:p>
        </w:tc>
        <w:tc>
          <w:tcPr>
            <w:tcW w:w="1043" w:type="dxa"/>
            <w:gridSpan w:val="2"/>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1436"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流域生态修复与保护</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石沟干渠生态砾石床湿地水体净化工程</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951" w:type="dxa"/>
            <w:tcBorders>
              <w:top w:val="nil"/>
              <w:left w:val="nil"/>
              <w:bottom w:val="single" w:color="auto" w:sz="4" w:space="0"/>
              <w:right w:val="single" w:color="auto" w:sz="4" w:space="0"/>
            </w:tcBorders>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霸州市政府</w:t>
            </w:r>
          </w:p>
        </w:tc>
        <w:tc>
          <w:tcPr>
            <w:tcW w:w="2995" w:type="dxa"/>
            <w:gridSpan w:val="2"/>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针对石沟干渠开展底泥清淤，建设生态床，构建生态浮岛，治理石沟干渠及中亭河来水水质。</w:t>
            </w:r>
          </w:p>
        </w:tc>
        <w:tc>
          <w:tcPr>
            <w:tcW w:w="1078"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4800</w:t>
            </w:r>
          </w:p>
        </w:tc>
        <w:tc>
          <w:tcPr>
            <w:tcW w:w="1043" w:type="dxa"/>
            <w:gridSpan w:val="2"/>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r>
        <w:tblPrEx>
          <w:tblLayout w:type="fixed"/>
          <w:tblCellMar>
            <w:top w:w="0" w:type="dxa"/>
            <w:left w:w="108" w:type="dxa"/>
            <w:bottom w:w="0" w:type="dxa"/>
            <w:right w:w="108" w:type="dxa"/>
          </w:tblCellMar>
        </w:tblPrEx>
        <w:trPr>
          <w:trHeight w:val="20" w:hRule="atLeast"/>
          <w:jc w:val="center"/>
        </w:trPr>
        <w:tc>
          <w:tcPr>
            <w:tcW w:w="13188" w:type="dxa"/>
            <w:gridSpan w:val="1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3</w:t>
            </w:r>
            <w:r>
              <w:rPr>
                <w:rFonts w:hint="eastAsia" w:eastAsia="仿宋_GB2312" w:cs="Times New Roman"/>
                <w:b/>
                <w:kern w:val="0"/>
                <w:sz w:val="21"/>
                <w:szCs w:val="21"/>
              </w:rPr>
              <w:t>-</w:t>
            </w:r>
            <w:r>
              <w:rPr>
                <w:rFonts w:eastAsia="仿宋_GB2312" w:cs="Times New Roman"/>
                <w:b/>
                <w:kern w:val="0"/>
                <w:sz w:val="21"/>
                <w:szCs w:val="21"/>
              </w:rPr>
              <w:t>环境监管能力建设项目小计</w:t>
            </w:r>
          </w:p>
        </w:tc>
      </w:tr>
      <w:tr>
        <w:tblPrEx>
          <w:tblLayout w:type="fixed"/>
          <w:tblCellMar>
            <w:top w:w="0" w:type="dxa"/>
            <w:left w:w="108" w:type="dxa"/>
            <w:bottom w:w="0" w:type="dxa"/>
            <w:right w:w="108" w:type="dxa"/>
          </w:tblCellMar>
        </w:tblPrEx>
        <w:trPr>
          <w:trHeight w:val="2469" w:hRule="atLeast"/>
          <w:jc w:val="center"/>
        </w:trPr>
        <w:tc>
          <w:tcPr>
            <w:tcW w:w="6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8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霸州市、文安县</w:t>
            </w:r>
          </w:p>
        </w:tc>
        <w:tc>
          <w:tcPr>
            <w:tcW w:w="1100"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环境监管能力建设</w:t>
            </w:r>
          </w:p>
        </w:tc>
        <w:tc>
          <w:tcPr>
            <w:tcW w:w="2019"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s="Times New Roman"/>
                <w:kern w:val="0"/>
                <w:sz w:val="21"/>
                <w:szCs w:val="21"/>
              </w:rPr>
            </w:pPr>
            <w:r>
              <w:rPr>
                <w:rFonts w:eastAsia="仿宋_GB2312" w:cs="Times New Roman"/>
                <w:kern w:val="0"/>
                <w:sz w:val="21"/>
                <w:szCs w:val="21"/>
              </w:rPr>
              <w:t>大清河重点监测断面水质监测能力建设项目</w:t>
            </w:r>
          </w:p>
        </w:tc>
        <w:tc>
          <w:tcPr>
            <w:tcW w:w="103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文安县、霸州市</w:t>
            </w:r>
          </w:p>
        </w:tc>
        <w:tc>
          <w:tcPr>
            <w:tcW w:w="95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sz w:val="21"/>
                <w:szCs w:val="21"/>
              </w:rPr>
              <w:t>2017</w:t>
            </w:r>
            <w:r>
              <w:rPr>
                <w:rFonts w:hint="eastAsia" w:eastAsia="仿宋_GB2312" w:cs="Times New Roman"/>
                <w:sz w:val="21"/>
                <w:szCs w:val="21"/>
              </w:rPr>
              <w:t>年</w:t>
            </w:r>
          </w:p>
        </w:tc>
        <w:tc>
          <w:tcPr>
            <w:tcW w:w="144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廊坊市生态环境局</w:t>
            </w:r>
          </w:p>
        </w:tc>
        <w:tc>
          <w:tcPr>
            <w:tcW w:w="2995" w:type="dxa"/>
            <w:gridSpan w:val="2"/>
            <w:tcBorders>
              <w:top w:val="nil"/>
              <w:left w:val="nil"/>
              <w:bottom w:val="single" w:color="auto" w:sz="4" w:space="0"/>
              <w:right w:val="single" w:color="auto" w:sz="4" w:space="0"/>
            </w:tcBorders>
            <w:vAlign w:val="center"/>
          </w:tcPr>
          <w:p>
            <w:pPr>
              <w:widowControl/>
              <w:spacing w:line="320" w:lineRule="exact"/>
              <w:ind w:firstLine="0" w:firstLineChars="0"/>
              <w:rPr>
                <w:rFonts w:eastAsia="仿宋_GB2312" w:cs="Times New Roman"/>
                <w:kern w:val="0"/>
                <w:sz w:val="21"/>
                <w:szCs w:val="21"/>
              </w:rPr>
            </w:pPr>
            <w:r>
              <w:rPr>
                <w:rFonts w:eastAsia="仿宋_GB2312" w:cs="Times New Roman"/>
                <w:kern w:val="0"/>
                <w:sz w:val="21"/>
                <w:szCs w:val="21"/>
              </w:rPr>
              <w:t>在大清河台头断面、石沟干渠扬水站、中亭河胜芳桥断面上游建设自动监测站，台头断面布设流速流向仪，在线监测站数据实时传输至原廊坊市环保局，实施监测预警大清河水质。</w:t>
            </w:r>
          </w:p>
        </w:tc>
        <w:tc>
          <w:tcPr>
            <w:tcW w:w="1078"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900</w:t>
            </w:r>
          </w:p>
        </w:tc>
        <w:tc>
          <w:tcPr>
            <w:tcW w:w="1043" w:type="dxa"/>
            <w:gridSpan w:val="2"/>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kern w:val="0"/>
                <w:sz w:val="21"/>
                <w:szCs w:val="21"/>
              </w:rPr>
            </w:pPr>
          </w:p>
        </w:tc>
      </w:tr>
    </w:tbl>
    <w:p>
      <w:pPr>
        <w:ind w:firstLine="560"/>
        <w:rPr>
          <w:sz w:val="28"/>
          <w:szCs w:val="28"/>
        </w:rPr>
        <w:sectPr>
          <w:footerReference r:id="rId5" w:type="default"/>
          <w:footerReference r:id="rId6" w:type="even"/>
          <w:pgSz w:w="16838" w:h="11906" w:orient="landscape"/>
          <w:pgMar w:top="1531" w:right="2098" w:bottom="1531" w:left="1474" w:header="851" w:footer="851" w:gutter="0"/>
          <w:cols w:space="720" w:num="1"/>
          <w:docGrid w:type="lines" w:linePitch="381" w:charSpace="0"/>
        </w:sectPr>
      </w:pPr>
    </w:p>
    <w:p>
      <w:pPr>
        <w:pStyle w:val="4"/>
        <w:spacing w:line="600" w:lineRule="exact"/>
        <w:ind w:firstLine="643"/>
      </w:pPr>
      <w:bookmarkStart w:id="2" w:name="_Toc26601"/>
      <w:r>
        <w:t>5.3.2</w:t>
      </w:r>
      <w:r>
        <w:rPr>
          <w:rFonts w:hint="eastAsia"/>
        </w:rPr>
        <w:t>未完成工程项目</w:t>
      </w:r>
      <w:bookmarkEnd w:id="2"/>
    </w:p>
    <w:p>
      <w:pPr>
        <w:spacing w:line="600" w:lineRule="exact"/>
        <w:ind w:firstLine="640"/>
        <w:rPr>
          <w:rFonts w:eastAsia="仿宋_GB2312" w:cs="Times New Roman"/>
          <w:sz w:val="32"/>
          <w:szCs w:val="32"/>
        </w:rPr>
      </w:pPr>
      <w:r>
        <w:rPr>
          <w:rFonts w:eastAsia="仿宋_GB2312" w:cs="Times New Roman"/>
          <w:sz w:val="32"/>
          <w:szCs w:val="32"/>
        </w:rPr>
        <w:t>大清河未完成项目主要涉及农村生活污染源治理、河道环境综合整治和水环境监测能力项目。具体项目情况如下：</w:t>
      </w:r>
    </w:p>
    <w:p>
      <w:pPr>
        <w:spacing w:line="600" w:lineRule="exact"/>
        <w:ind w:firstLine="640"/>
        <w:rPr>
          <w:rFonts w:eastAsia="仿宋_GB2312" w:cs="Times New Roman"/>
          <w:sz w:val="32"/>
          <w:szCs w:val="32"/>
        </w:rPr>
      </w:pPr>
      <w:r>
        <w:rPr>
          <w:rFonts w:eastAsia="仿宋_GB2312" w:cs="Times New Roman"/>
          <w:sz w:val="32"/>
          <w:szCs w:val="32"/>
        </w:rPr>
        <w:t>（1）杨管营农村生活污水处理工程。</w:t>
      </w:r>
    </w:p>
    <w:p>
      <w:pPr>
        <w:spacing w:line="600" w:lineRule="exact"/>
        <w:ind w:firstLine="640"/>
        <w:rPr>
          <w:rFonts w:eastAsia="仿宋_GB2312" w:cs="Times New Roman"/>
          <w:sz w:val="32"/>
          <w:szCs w:val="32"/>
        </w:rPr>
      </w:pPr>
      <w:r>
        <w:rPr>
          <w:rFonts w:eastAsia="仿宋_GB2312" w:cs="Times New Roman"/>
          <w:sz w:val="32"/>
          <w:szCs w:val="32"/>
        </w:rPr>
        <w:t>（2）柳河镇3个村庄农村生活污水处理工程项目。</w:t>
      </w:r>
    </w:p>
    <w:p>
      <w:pPr>
        <w:spacing w:line="600" w:lineRule="exact"/>
        <w:ind w:firstLine="640"/>
        <w:rPr>
          <w:rFonts w:eastAsia="仿宋_GB2312" w:cs="Times New Roman"/>
          <w:sz w:val="32"/>
          <w:szCs w:val="32"/>
        </w:rPr>
      </w:pPr>
      <w:r>
        <w:rPr>
          <w:rFonts w:eastAsia="仿宋_GB2312" w:cs="Times New Roman"/>
          <w:sz w:val="32"/>
          <w:szCs w:val="32"/>
        </w:rPr>
        <w:t>（3）史各庄镇生活污染治理项目。</w:t>
      </w:r>
    </w:p>
    <w:p>
      <w:pPr>
        <w:spacing w:line="600" w:lineRule="exact"/>
        <w:ind w:firstLine="640"/>
        <w:rPr>
          <w:rFonts w:eastAsia="仿宋_GB2312" w:cs="Times New Roman"/>
          <w:sz w:val="32"/>
          <w:szCs w:val="32"/>
        </w:rPr>
      </w:pPr>
      <w:r>
        <w:rPr>
          <w:rFonts w:eastAsia="仿宋_GB2312" w:cs="Times New Roman"/>
          <w:sz w:val="32"/>
          <w:szCs w:val="32"/>
        </w:rPr>
        <w:t>（4）滩里镇3个村生活污染治理项目。</w:t>
      </w:r>
    </w:p>
    <w:p>
      <w:pPr>
        <w:spacing w:line="600" w:lineRule="exact"/>
        <w:ind w:firstLine="640"/>
        <w:rPr>
          <w:rFonts w:eastAsia="仿宋_GB2312" w:cs="Times New Roman"/>
          <w:sz w:val="32"/>
          <w:szCs w:val="32"/>
        </w:rPr>
      </w:pPr>
      <w:r>
        <w:rPr>
          <w:rFonts w:eastAsia="仿宋_GB2312" w:cs="Times New Roman"/>
          <w:sz w:val="32"/>
          <w:szCs w:val="32"/>
        </w:rPr>
        <w:t>（5）高头管区生活污染治理项目。</w:t>
      </w:r>
    </w:p>
    <w:p>
      <w:pPr>
        <w:spacing w:line="600" w:lineRule="exact"/>
        <w:ind w:firstLine="640"/>
        <w:rPr>
          <w:rFonts w:eastAsia="仿宋_GB2312" w:cs="Times New Roman"/>
          <w:sz w:val="32"/>
          <w:szCs w:val="32"/>
        </w:rPr>
      </w:pPr>
      <w:r>
        <w:rPr>
          <w:rFonts w:eastAsia="仿宋_GB2312" w:cs="Times New Roman"/>
          <w:sz w:val="32"/>
          <w:szCs w:val="32"/>
        </w:rPr>
        <w:t>（6）南楼村生活污染治理项目。</w:t>
      </w:r>
    </w:p>
    <w:p>
      <w:pPr>
        <w:spacing w:line="600" w:lineRule="exact"/>
        <w:ind w:firstLine="640"/>
        <w:rPr>
          <w:rFonts w:eastAsia="仿宋_GB2312" w:cs="Times New Roman"/>
          <w:sz w:val="32"/>
          <w:szCs w:val="32"/>
        </w:rPr>
      </w:pPr>
      <w:r>
        <w:rPr>
          <w:rFonts w:eastAsia="仿宋_GB2312" w:cs="Times New Roman"/>
          <w:sz w:val="32"/>
          <w:szCs w:val="32"/>
        </w:rPr>
        <w:t>（7）北楼村片区生活污染治理项目。</w:t>
      </w:r>
    </w:p>
    <w:p>
      <w:pPr>
        <w:spacing w:line="600" w:lineRule="exact"/>
        <w:ind w:firstLine="640"/>
        <w:rPr>
          <w:rFonts w:eastAsia="仿宋_GB2312" w:cs="Times New Roman"/>
          <w:sz w:val="32"/>
          <w:szCs w:val="32"/>
        </w:rPr>
      </w:pPr>
      <w:r>
        <w:rPr>
          <w:rFonts w:eastAsia="仿宋_GB2312" w:cs="Times New Roman"/>
          <w:sz w:val="32"/>
          <w:szCs w:val="32"/>
        </w:rPr>
        <w:t>（8）王庄子生活污染治理项目。</w:t>
      </w:r>
    </w:p>
    <w:p>
      <w:pPr>
        <w:spacing w:line="600" w:lineRule="exact"/>
        <w:ind w:firstLine="640"/>
        <w:rPr>
          <w:rFonts w:eastAsia="仿宋_GB2312" w:cs="Times New Roman"/>
          <w:sz w:val="32"/>
          <w:szCs w:val="32"/>
        </w:rPr>
      </w:pPr>
      <w:r>
        <w:rPr>
          <w:rFonts w:eastAsia="仿宋_GB2312" w:cs="Times New Roman"/>
          <w:sz w:val="32"/>
          <w:szCs w:val="32"/>
        </w:rPr>
        <w:t>（9）王泊村生活污染治理项目。</w:t>
      </w:r>
    </w:p>
    <w:p>
      <w:pPr>
        <w:spacing w:line="600" w:lineRule="exact"/>
        <w:ind w:firstLine="640"/>
        <w:rPr>
          <w:rFonts w:eastAsia="仿宋_GB2312" w:cs="Times New Roman"/>
          <w:sz w:val="32"/>
          <w:szCs w:val="32"/>
        </w:rPr>
      </w:pPr>
      <w:r>
        <w:rPr>
          <w:rFonts w:eastAsia="仿宋_GB2312" w:cs="Times New Roman"/>
          <w:sz w:val="32"/>
          <w:szCs w:val="32"/>
        </w:rPr>
        <w:t>（10）中亭河胜芳段底泥污染治理项目。</w:t>
      </w:r>
    </w:p>
    <w:p>
      <w:pPr>
        <w:spacing w:line="600" w:lineRule="exact"/>
        <w:ind w:firstLine="640"/>
        <w:rPr>
          <w:rFonts w:eastAsia="仿宋_GB2312" w:cs="Times New Roman"/>
          <w:sz w:val="32"/>
          <w:szCs w:val="32"/>
        </w:rPr>
      </w:pPr>
      <w:r>
        <w:rPr>
          <w:rFonts w:eastAsia="仿宋_GB2312" w:cs="Times New Roman"/>
          <w:sz w:val="32"/>
          <w:szCs w:val="32"/>
        </w:rPr>
        <w:t>（11）十马干渠、滩里干渠等文安县4条排干渠水环境综合整治工程。</w:t>
      </w:r>
    </w:p>
    <w:p>
      <w:pPr>
        <w:pStyle w:val="2"/>
        <w:ind w:firstLine="560"/>
        <w:jc w:val="center"/>
        <w:rPr>
          <w:rFonts w:eastAsia="仿宋_GB2312"/>
          <w:sz w:val="28"/>
          <w:szCs w:val="28"/>
        </w:rPr>
        <w:sectPr>
          <w:headerReference r:id="rId7" w:type="default"/>
          <w:footerReference r:id="rId8" w:type="default"/>
          <w:pgSz w:w="11906" w:h="16838"/>
          <w:pgMar w:top="2098" w:right="1531" w:bottom="1474" w:left="1531" w:header="851" w:footer="851" w:gutter="0"/>
          <w:cols w:space="720" w:num="1"/>
          <w:docGrid w:type="lines" w:linePitch="442" w:charSpace="0"/>
        </w:sectPr>
      </w:pPr>
    </w:p>
    <w:p>
      <w:pPr>
        <w:pStyle w:val="5"/>
        <w:spacing w:after="217" w:afterLines="50" w:line="600" w:lineRule="exact"/>
        <w:ind w:firstLine="0" w:firstLineChars="0"/>
        <w:jc w:val="center"/>
        <w:rPr>
          <w:rFonts w:ascii="Times New Roman" w:hAnsi="Times New Roman" w:eastAsia="仿宋_GB2312"/>
          <w:b/>
          <w:sz w:val="32"/>
          <w:szCs w:val="32"/>
        </w:rPr>
      </w:pPr>
      <w:r>
        <w:rPr>
          <w:rFonts w:hint="eastAsia" w:ascii="Times New Roman" w:hAnsi="Times New Roman"/>
          <w:bCs/>
          <w:sz w:val="32"/>
          <w:szCs w:val="32"/>
        </w:rPr>
        <w:t>表</w:t>
      </w:r>
      <w:r>
        <w:rPr>
          <w:rFonts w:ascii="Times New Roman" w:hAnsi="Times New Roman"/>
          <w:bCs/>
          <w:sz w:val="32"/>
          <w:szCs w:val="32"/>
        </w:rPr>
        <w:t>5</w:t>
      </w:r>
      <w:r>
        <w:rPr>
          <w:rFonts w:hint="eastAsia" w:ascii="Times New Roman" w:hAnsi="Times New Roman"/>
          <w:bCs/>
          <w:sz w:val="32"/>
          <w:szCs w:val="32"/>
        </w:rPr>
        <w:t>-</w:t>
      </w:r>
      <w:r>
        <w:rPr>
          <w:rFonts w:ascii="Times New Roman" w:hAnsi="Times New Roman"/>
          <w:bCs/>
          <w:sz w:val="32"/>
          <w:szCs w:val="32"/>
        </w:rPr>
        <w:t xml:space="preserve">2  </w:t>
      </w:r>
      <w:r>
        <w:rPr>
          <w:rFonts w:hint="eastAsia" w:ascii="Times New Roman" w:hAnsi="Times New Roman"/>
          <w:bCs/>
          <w:sz w:val="32"/>
          <w:szCs w:val="32"/>
        </w:rPr>
        <w:t>未完成工程项目清单</w:t>
      </w:r>
    </w:p>
    <w:tbl>
      <w:tblPr>
        <w:tblStyle w:val="10"/>
        <w:tblW w:w="13216" w:type="dxa"/>
        <w:jc w:val="center"/>
        <w:tblInd w:w="0" w:type="dxa"/>
        <w:tblLayout w:type="fixed"/>
        <w:tblCellMar>
          <w:top w:w="0" w:type="dxa"/>
          <w:left w:w="108" w:type="dxa"/>
          <w:bottom w:w="0" w:type="dxa"/>
          <w:right w:w="108" w:type="dxa"/>
        </w:tblCellMar>
      </w:tblPr>
      <w:tblGrid>
        <w:gridCol w:w="638"/>
        <w:gridCol w:w="915"/>
        <w:gridCol w:w="1107"/>
        <w:gridCol w:w="1701"/>
        <w:gridCol w:w="1065"/>
        <w:gridCol w:w="919"/>
        <w:gridCol w:w="1565"/>
        <w:gridCol w:w="3422"/>
        <w:gridCol w:w="1140"/>
        <w:gridCol w:w="744"/>
      </w:tblGrid>
      <w:tr>
        <w:tblPrEx>
          <w:tblLayout w:type="fixed"/>
          <w:tblCellMar>
            <w:top w:w="0" w:type="dxa"/>
            <w:left w:w="108" w:type="dxa"/>
            <w:bottom w:w="0" w:type="dxa"/>
            <w:right w:w="108" w:type="dxa"/>
          </w:tblCellMar>
        </w:tblPrEx>
        <w:trPr>
          <w:trHeight w:val="20" w:hRule="atLeast"/>
          <w:tblHeader/>
          <w:jc w:val="center"/>
        </w:trPr>
        <w:tc>
          <w:tcPr>
            <w:tcW w:w="63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序号</w:t>
            </w:r>
          </w:p>
        </w:tc>
        <w:tc>
          <w:tcPr>
            <w:tcW w:w="91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隶属</w:t>
            </w:r>
          </w:p>
          <w:p>
            <w:pPr>
              <w:widowControl/>
              <w:spacing w:line="240" w:lineRule="auto"/>
              <w:ind w:firstLine="0" w:firstLineChars="0"/>
              <w:jc w:val="center"/>
              <w:rPr>
                <w:b/>
                <w:kern w:val="0"/>
                <w:sz w:val="21"/>
                <w:szCs w:val="21"/>
              </w:rPr>
            </w:pPr>
            <w:r>
              <w:rPr>
                <w:rFonts w:hint="eastAsia"/>
                <w:b/>
                <w:kern w:val="0"/>
                <w:sz w:val="21"/>
                <w:szCs w:val="21"/>
              </w:rPr>
              <w:t>关系</w:t>
            </w:r>
          </w:p>
        </w:tc>
        <w:tc>
          <w:tcPr>
            <w:tcW w:w="1107"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项目类型</w:t>
            </w:r>
          </w:p>
        </w:tc>
        <w:tc>
          <w:tcPr>
            <w:tcW w:w="1701"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项目名称</w:t>
            </w:r>
          </w:p>
        </w:tc>
        <w:tc>
          <w:tcPr>
            <w:tcW w:w="106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建设地点</w:t>
            </w:r>
          </w:p>
        </w:tc>
        <w:tc>
          <w:tcPr>
            <w:tcW w:w="919"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建设</w:t>
            </w:r>
          </w:p>
          <w:p>
            <w:pPr>
              <w:widowControl/>
              <w:spacing w:line="240" w:lineRule="auto"/>
              <w:ind w:firstLine="0" w:firstLineChars="0"/>
              <w:jc w:val="center"/>
              <w:rPr>
                <w:b/>
                <w:kern w:val="0"/>
                <w:sz w:val="21"/>
                <w:szCs w:val="21"/>
              </w:rPr>
            </w:pPr>
            <w:r>
              <w:rPr>
                <w:rFonts w:hint="eastAsia"/>
                <w:b/>
                <w:kern w:val="0"/>
                <w:sz w:val="21"/>
                <w:szCs w:val="21"/>
              </w:rPr>
              <w:t>周期</w:t>
            </w:r>
          </w:p>
        </w:tc>
        <w:tc>
          <w:tcPr>
            <w:tcW w:w="1565"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承担单位</w:t>
            </w:r>
          </w:p>
        </w:tc>
        <w:tc>
          <w:tcPr>
            <w:tcW w:w="3422"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项目建设规模与内容</w:t>
            </w:r>
          </w:p>
        </w:tc>
        <w:tc>
          <w:tcPr>
            <w:tcW w:w="114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项目投资</w:t>
            </w:r>
          </w:p>
          <w:p>
            <w:pPr>
              <w:widowControl/>
              <w:spacing w:line="240" w:lineRule="auto"/>
              <w:ind w:firstLine="0" w:firstLineChars="0"/>
              <w:jc w:val="center"/>
              <w:rPr>
                <w:b/>
                <w:kern w:val="0"/>
                <w:sz w:val="21"/>
                <w:szCs w:val="21"/>
              </w:rPr>
            </w:pPr>
            <w:r>
              <w:rPr>
                <w:rFonts w:hint="eastAsia"/>
                <w:b/>
                <w:kern w:val="0"/>
                <w:sz w:val="21"/>
                <w:szCs w:val="21"/>
              </w:rPr>
              <w:t>（万元）</w:t>
            </w:r>
          </w:p>
        </w:tc>
        <w:tc>
          <w:tcPr>
            <w:tcW w:w="744"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rFonts w:hint="eastAsia"/>
                <w:b/>
                <w:kern w:val="0"/>
                <w:sz w:val="21"/>
                <w:szCs w:val="21"/>
              </w:rPr>
              <w:t>备注</w:t>
            </w:r>
          </w:p>
        </w:tc>
      </w:tr>
      <w:tr>
        <w:tblPrEx>
          <w:tblLayout w:type="fixed"/>
          <w:tblCellMar>
            <w:top w:w="0" w:type="dxa"/>
            <w:left w:w="108" w:type="dxa"/>
            <w:bottom w:w="0" w:type="dxa"/>
            <w:right w:w="108" w:type="dxa"/>
          </w:tblCellMar>
        </w:tblPrEx>
        <w:trPr>
          <w:trHeight w:val="20" w:hRule="atLeast"/>
          <w:jc w:val="center"/>
        </w:trPr>
        <w:tc>
          <w:tcPr>
            <w:tcW w:w="13216" w:type="dxa"/>
            <w:gridSpan w:val="10"/>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b/>
                <w:kern w:val="0"/>
                <w:sz w:val="21"/>
                <w:szCs w:val="21"/>
              </w:rPr>
              <w:t>1</w:t>
            </w:r>
            <w:r>
              <w:rPr>
                <w:rFonts w:hint="eastAsia"/>
                <w:b/>
                <w:kern w:val="0"/>
                <w:sz w:val="21"/>
                <w:szCs w:val="21"/>
              </w:rPr>
              <w:t>-流域污染源治理项目小计</w:t>
            </w:r>
          </w:p>
        </w:tc>
      </w:tr>
      <w:tr>
        <w:tblPrEx>
          <w:tblLayout w:type="fixed"/>
          <w:tblCellMar>
            <w:top w:w="0" w:type="dxa"/>
            <w:left w:w="108" w:type="dxa"/>
            <w:bottom w:w="0" w:type="dxa"/>
            <w:right w:w="108" w:type="dxa"/>
          </w:tblCellMar>
        </w:tblPrEx>
        <w:trPr>
          <w:trHeight w:val="1730"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1</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杨管营农村生活污水处理工程</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杨管营</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2017</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滩里镇政府</w:t>
            </w:r>
          </w:p>
        </w:tc>
        <w:tc>
          <w:tcPr>
            <w:tcW w:w="3422" w:type="dxa"/>
            <w:tcBorders>
              <w:top w:val="nil"/>
              <w:left w:val="nil"/>
              <w:bottom w:val="single" w:color="auto" w:sz="4" w:space="0"/>
              <w:right w:val="single" w:color="auto" w:sz="4" w:space="0"/>
            </w:tcBorders>
            <w:vAlign w:val="center"/>
          </w:tcPr>
          <w:p>
            <w:pPr>
              <w:widowControl/>
              <w:spacing w:line="400" w:lineRule="exact"/>
              <w:ind w:firstLine="0" w:firstLineChars="0"/>
              <w:rPr>
                <w:kern w:val="0"/>
                <w:sz w:val="21"/>
                <w:szCs w:val="21"/>
              </w:rPr>
            </w:pPr>
            <w:r>
              <w:rPr>
                <w:rFonts w:hint="eastAsia"/>
                <w:kern w:val="0"/>
                <w:sz w:val="21"/>
                <w:szCs w:val="21"/>
              </w:rPr>
              <w:t>改善大清河水质，新建日处理</w:t>
            </w:r>
            <w:r>
              <w:rPr>
                <w:kern w:val="0"/>
                <w:sz w:val="21"/>
                <w:szCs w:val="21"/>
              </w:rPr>
              <w:t>3000</w:t>
            </w:r>
            <w:r>
              <w:rPr>
                <w:rFonts w:hint="eastAsia"/>
                <w:kern w:val="0"/>
                <w:sz w:val="21"/>
                <w:szCs w:val="21"/>
              </w:rPr>
              <w:t>吨生活污水处理厂，建设配套污水管网</w:t>
            </w:r>
            <w:r>
              <w:rPr>
                <w:kern w:val="0"/>
                <w:sz w:val="21"/>
                <w:szCs w:val="21"/>
              </w:rPr>
              <w:t>2.1</w:t>
            </w:r>
            <w:r>
              <w:rPr>
                <w:rFonts w:hint="eastAsia"/>
                <w:kern w:val="0"/>
                <w:sz w:val="21"/>
                <w:szCs w:val="21"/>
              </w:rPr>
              <w:t>公里，处理滩里镇杨管营村生活污水。</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4100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1394"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400" w:lineRule="exact"/>
              <w:ind w:firstLine="0" w:firstLineChars="0"/>
              <w:rPr>
                <w:kern w:val="0"/>
                <w:sz w:val="21"/>
                <w:szCs w:val="21"/>
              </w:rPr>
            </w:pPr>
            <w:r>
              <w:rPr>
                <w:rFonts w:hint="eastAsia"/>
                <w:kern w:val="0"/>
                <w:sz w:val="21"/>
                <w:szCs w:val="21"/>
              </w:rPr>
              <w:t>柳河镇</w:t>
            </w:r>
            <w:r>
              <w:rPr>
                <w:kern w:val="0"/>
                <w:sz w:val="21"/>
                <w:szCs w:val="21"/>
              </w:rPr>
              <w:t>3</w:t>
            </w:r>
            <w:r>
              <w:rPr>
                <w:rFonts w:hint="eastAsia"/>
                <w:kern w:val="0"/>
                <w:sz w:val="21"/>
                <w:szCs w:val="21"/>
              </w:rPr>
              <w:t>个村庄农村生活污水处理工程项目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大柳河镇</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2017</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大柳河镇政府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柳河镇</w:t>
            </w:r>
            <w:r>
              <w:rPr>
                <w:kern w:val="0"/>
                <w:sz w:val="21"/>
                <w:szCs w:val="21"/>
              </w:rPr>
              <w:t>3</w:t>
            </w:r>
            <w:r>
              <w:rPr>
                <w:rFonts w:hint="eastAsia"/>
                <w:kern w:val="0"/>
                <w:sz w:val="21"/>
                <w:szCs w:val="21"/>
              </w:rPr>
              <w:t>个村生活污染治理。</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300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947"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3</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400" w:lineRule="exact"/>
              <w:ind w:firstLine="0" w:firstLineChars="0"/>
              <w:rPr>
                <w:kern w:val="0"/>
                <w:sz w:val="21"/>
                <w:szCs w:val="21"/>
              </w:rPr>
            </w:pPr>
            <w:r>
              <w:rPr>
                <w:rFonts w:hint="eastAsia"/>
                <w:kern w:val="0"/>
                <w:sz w:val="21"/>
                <w:szCs w:val="21"/>
              </w:rPr>
              <w:t>史各庄镇生活污染治理项目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史各庄</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2019</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史各庄镇政府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kern w:val="0"/>
                <w:sz w:val="21"/>
                <w:szCs w:val="21"/>
              </w:rPr>
              <w:t>10</w:t>
            </w:r>
            <w:r>
              <w:rPr>
                <w:rFonts w:hint="eastAsia"/>
                <w:kern w:val="0"/>
                <w:sz w:val="21"/>
                <w:szCs w:val="21"/>
              </w:rPr>
              <w:t>个村生活污水和垃圾治理。</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1100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1157"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4</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400" w:lineRule="exact"/>
              <w:ind w:firstLine="0" w:firstLineChars="0"/>
              <w:rPr>
                <w:kern w:val="0"/>
                <w:sz w:val="21"/>
                <w:szCs w:val="21"/>
              </w:rPr>
            </w:pPr>
            <w:r>
              <w:rPr>
                <w:rFonts w:hint="eastAsia"/>
                <w:kern w:val="0"/>
                <w:sz w:val="21"/>
                <w:szCs w:val="21"/>
              </w:rPr>
              <w:t>滩里镇</w:t>
            </w:r>
            <w:r>
              <w:rPr>
                <w:kern w:val="0"/>
                <w:sz w:val="21"/>
                <w:szCs w:val="21"/>
              </w:rPr>
              <w:t>3</w:t>
            </w:r>
            <w:r>
              <w:rPr>
                <w:rFonts w:hint="eastAsia"/>
                <w:kern w:val="0"/>
                <w:sz w:val="21"/>
                <w:szCs w:val="21"/>
              </w:rPr>
              <w:t>个村生活污染治理项目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滩里镇</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2017</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滩里镇政府</w:t>
            </w:r>
          </w:p>
        </w:tc>
        <w:tc>
          <w:tcPr>
            <w:tcW w:w="3422" w:type="dxa"/>
            <w:tcBorders>
              <w:top w:val="nil"/>
              <w:left w:val="nil"/>
              <w:bottom w:val="single" w:color="auto" w:sz="4" w:space="0"/>
              <w:right w:val="single" w:color="auto" w:sz="4" w:space="0"/>
            </w:tcBorders>
            <w:vAlign w:val="center"/>
          </w:tcPr>
          <w:p>
            <w:pPr>
              <w:widowControl/>
              <w:spacing w:line="400" w:lineRule="exact"/>
              <w:ind w:firstLine="0" w:firstLineChars="0"/>
              <w:rPr>
                <w:kern w:val="0"/>
                <w:sz w:val="21"/>
                <w:szCs w:val="21"/>
              </w:rPr>
            </w:pPr>
            <w:r>
              <w:rPr>
                <w:rFonts w:hint="eastAsia"/>
                <w:kern w:val="0"/>
                <w:sz w:val="21"/>
                <w:szCs w:val="21"/>
              </w:rPr>
              <w:t>滩里镇东滩里、西滩里和张家营村生活污水和垃圾处理工程。</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350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1393"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5</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高头管区生活污染治理项目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高头管区</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2018</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高头管区政府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改善大清河水质，新建日处理</w:t>
            </w:r>
            <w:r>
              <w:rPr>
                <w:kern w:val="0"/>
                <w:sz w:val="21"/>
                <w:szCs w:val="21"/>
              </w:rPr>
              <w:t>1000</w:t>
            </w:r>
            <w:r>
              <w:rPr>
                <w:rFonts w:hint="eastAsia"/>
                <w:kern w:val="0"/>
                <w:sz w:val="21"/>
                <w:szCs w:val="21"/>
              </w:rPr>
              <w:t>吨生活污水处理站</w:t>
            </w:r>
            <w:r>
              <w:rPr>
                <w:kern w:val="0"/>
                <w:sz w:val="21"/>
                <w:szCs w:val="21"/>
              </w:rPr>
              <w:t>1</w:t>
            </w:r>
            <w:r>
              <w:rPr>
                <w:rFonts w:hint="eastAsia"/>
                <w:kern w:val="0"/>
                <w:sz w:val="21"/>
                <w:szCs w:val="21"/>
              </w:rPr>
              <w:t>座处理高头管区居民生活污水。</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945"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6</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南楼村生活污染治理项目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南楼村</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2018</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新建生活污水处理站，日处理规模</w:t>
            </w:r>
            <w:r>
              <w:rPr>
                <w:kern w:val="0"/>
                <w:sz w:val="21"/>
                <w:szCs w:val="21"/>
              </w:rPr>
              <w:t>176</w:t>
            </w:r>
            <w:r>
              <w:rPr>
                <w:rFonts w:hint="eastAsia"/>
                <w:kern w:val="0"/>
                <w:sz w:val="21"/>
                <w:szCs w:val="21"/>
              </w:rPr>
              <w:t>吨。</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180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990"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7</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北楼村片区生活污染治理项目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北楼村</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2018</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新建生活污水处理站，日处理规模</w:t>
            </w:r>
            <w:r>
              <w:rPr>
                <w:kern w:val="0"/>
                <w:sz w:val="21"/>
                <w:szCs w:val="21"/>
              </w:rPr>
              <w:t>450</w:t>
            </w:r>
            <w:r>
              <w:rPr>
                <w:rFonts w:hint="eastAsia"/>
                <w:kern w:val="0"/>
                <w:sz w:val="21"/>
                <w:szCs w:val="21"/>
              </w:rPr>
              <w:t>吨，保障老大清河支渠水质。</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450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975"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8</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王庄子生活污染治理项目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王庄子</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2017</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新建生活污水处理站，日处理规模</w:t>
            </w:r>
            <w:r>
              <w:rPr>
                <w:kern w:val="0"/>
                <w:sz w:val="21"/>
                <w:szCs w:val="21"/>
              </w:rPr>
              <w:t>800</w:t>
            </w:r>
            <w:r>
              <w:rPr>
                <w:rFonts w:hint="eastAsia"/>
                <w:kern w:val="0"/>
                <w:sz w:val="21"/>
                <w:szCs w:val="21"/>
              </w:rPr>
              <w:t>吨，保障中亭河水质。</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800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1020"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9</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流域污染源治理</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王泊村生活污染治理项目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王泊村</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2017</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新建生活污水处理站</w:t>
            </w:r>
            <w:r>
              <w:rPr>
                <w:kern w:val="0"/>
                <w:sz w:val="21"/>
                <w:szCs w:val="21"/>
              </w:rPr>
              <w:t>800</w:t>
            </w:r>
            <w:r>
              <w:rPr>
                <w:rFonts w:hint="eastAsia"/>
                <w:kern w:val="0"/>
                <w:sz w:val="21"/>
                <w:szCs w:val="21"/>
              </w:rPr>
              <w:t>吨，保障中亭河水质。</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800</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20" w:hRule="atLeast"/>
          <w:jc w:val="center"/>
        </w:trPr>
        <w:tc>
          <w:tcPr>
            <w:tcW w:w="13216" w:type="dxa"/>
            <w:gridSpan w:val="10"/>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b/>
                <w:kern w:val="0"/>
                <w:sz w:val="21"/>
                <w:szCs w:val="21"/>
              </w:rPr>
            </w:pPr>
            <w:r>
              <w:rPr>
                <w:b/>
                <w:kern w:val="0"/>
                <w:sz w:val="21"/>
                <w:szCs w:val="21"/>
              </w:rPr>
              <w:t>2</w:t>
            </w:r>
            <w:r>
              <w:rPr>
                <w:rFonts w:hint="eastAsia"/>
                <w:b/>
                <w:kern w:val="0"/>
                <w:sz w:val="21"/>
                <w:szCs w:val="21"/>
              </w:rPr>
              <w:t>-流域生态修复与保护项目小计</w:t>
            </w:r>
          </w:p>
        </w:tc>
      </w:tr>
      <w:tr>
        <w:tblPrEx>
          <w:tblLayout w:type="fixed"/>
          <w:tblCellMar>
            <w:top w:w="0" w:type="dxa"/>
            <w:left w:w="108" w:type="dxa"/>
            <w:bottom w:w="0" w:type="dxa"/>
            <w:right w:w="108" w:type="dxa"/>
          </w:tblCellMar>
        </w:tblPrEx>
        <w:trPr>
          <w:trHeight w:val="1440"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1</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流域生态修复与保护</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中亭河胜芳段底泥污染治理项目</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胜芳镇</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2019</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霸州市政府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在中亭河崔庄子至廊大路之间的河段开展底泥清淤和修复工程，解决河水泛红现象。</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8877</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r>
        <w:tblPrEx>
          <w:tblLayout w:type="fixed"/>
          <w:tblCellMar>
            <w:top w:w="0" w:type="dxa"/>
            <w:left w:w="108" w:type="dxa"/>
            <w:bottom w:w="0" w:type="dxa"/>
            <w:right w:w="108" w:type="dxa"/>
          </w:tblCellMar>
        </w:tblPrEx>
        <w:trPr>
          <w:trHeight w:val="2054" w:hRule="atLeast"/>
          <w:jc w:val="center"/>
        </w:trPr>
        <w:tc>
          <w:tcPr>
            <w:tcW w:w="6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w:t>
            </w:r>
          </w:p>
        </w:tc>
        <w:tc>
          <w:tcPr>
            <w:tcW w:w="9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w:t>
            </w:r>
          </w:p>
        </w:tc>
        <w:tc>
          <w:tcPr>
            <w:tcW w:w="1107"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流域生态修复与保护</w:t>
            </w:r>
          </w:p>
        </w:tc>
        <w:tc>
          <w:tcPr>
            <w:tcW w:w="1701" w:type="dxa"/>
            <w:tcBorders>
              <w:top w:val="nil"/>
              <w:left w:val="nil"/>
              <w:bottom w:val="single" w:color="auto" w:sz="4" w:space="0"/>
              <w:right w:val="single" w:color="auto" w:sz="4" w:space="0"/>
            </w:tcBorders>
            <w:vAlign w:val="center"/>
          </w:tcPr>
          <w:p>
            <w:pPr>
              <w:widowControl/>
              <w:spacing w:line="240" w:lineRule="auto"/>
              <w:ind w:firstLine="0" w:firstLineChars="0"/>
              <w:rPr>
                <w:kern w:val="0"/>
                <w:sz w:val="21"/>
                <w:szCs w:val="21"/>
              </w:rPr>
            </w:pPr>
            <w:r>
              <w:rPr>
                <w:rFonts w:hint="eastAsia"/>
                <w:kern w:val="0"/>
                <w:sz w:val="21"/>
                <w:szCs w:val="21"/>
              </w:rPr>
              <w:t>十马干渠、滩里干渠等文安县</w:t>
            </w:r>
            <w:r>
              <w:rPr>
                <w:kern w:val="0"/>
                <w:sz w:val="21"/>
                <w:szCs w:val="21"/>
              </w:rPr>
              <w:t>4</w:t>
            </w:r>
            <w:r>
              <w:rPr>
                <w:rFonts w:hint="eastAsia"/>
                <w:kern w:val="0"/>
                <w:sz w:val="21"/>
                <w:szCs w:val="21"/>
              </w:rPr>
              <w:t>条排干渠水环境综合整治工程</w:t>
            </w:r>
          </w:p>
        </w:tc>
        <w:tc>
          <w:tcPr>
            <w:tcW w:w="10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文安县左各庄、滩里镇</w:t>
            </w:r>
          </w:p>
        </w:tc>
        <w:tc>
          <w:tcPr>
            <w:tcW w:w="919"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2018</w:t>
            </w:r>
            <w:r>
              <w:rPr>
                <w:rFonts w:hint="eastAsia" w:eastAsia="仿宋_GB2312" w:cs="Times New Roman"/>
                <w:sz w:val="21"/>
                <w:szCs w:val="21"/>
              </w:rPr>
              <w:t>年</w:t>
            </w:r>
          </w:p>
        </w:tc>
        <w:tc>
          <w:tcPr>
            <w:tcW w:w="1565"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文安县政府</w:t>
            </w:r>
          </w:p>
        </w:tc>
        <w:tc>
          <w:tcPr>
            <w:tcW w:w="3422"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rFonts w:hint="eastAsia"/>
                <w:kern w:val="0"/>
                <w:sz w:val="21"/>
                <w:szCs w:val="21"/>
              </w:rPr>
              <w:t>在十马干渠、滩里干渠开展污水截污治理、河道底泥清淤疏浚，十马干渠等原位水生态修复、岸线生态廊道建设等工程。</w:t>
            </w:r>
          </w:p>
        </w:tc>
        <w:tc>
          <w:tcPr>
            <w:tcW w:w="1140"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r>
              <w:rPr>
                <w:kern w:val="0"/>
                <w:sz w:val="21"/>
                <w:szCs w:val="21"/>
              </w:rPr>
              <w:t>5062</w:t>
            </w:r>
          </w:p>
        </w:tc>
        <w:tc>
          <w:tcPr>
            <w:tcW w:w="744" w:type="dxa"/>
            <w:tcBorders>
              <w:top w:val="nil"/>
              <w:left w:val="nil"/>
              <w:bottom w:val="single" w:color="auto" w:sz="4" w:space="0"/>
              <w:right w:val="single" w:color="auto" w:sz="4" w:space="0"/>
            </w:tcBorders>
            <w:vAlign w:val="center"/>
          </w:tcPr>
          <w:p>
            <w:pPr>
              <w:widowControl/>
              <w:spacing w:line="240" w:lineRule="auto"/>
              <w:ind w:firstLine="0" w:firstLineChars="0"/>
              <w:jc w:val="center"/>
              <w:rPr>
                <w:kern w:val="0"/>
                <w:sz w:val="21"/>
                <w:szCs w:val="21"/>
              </w:rPr>
            </w:pPr>
          </w:p>
        </w:tc>
      </w:tr>
    </w:tbl>
    <w:p>
      <w:pPr>
        <w:ind w:firstLine="560"/>
        <w:rPr>
          <w:sz w:val="28"/>
          <w:szCs w:val="28"/>
        </w:rPr>
        <w:sectPr>
          <w:footerReference r:id="rId9" w:type="default"/>
          <w:footerReference r:id="rId10" w:type="even"/>
          <w:pgSz w:w="16838" w:h="11906" w:orient="landscape"/>
          <w:pgMar w:top="1531" w:right="2098" w:bottom="1531" w:left="1474" w:header="851" w:footer="850" w:gutter="0"/>
          <w:cols w:space="720" w:num="1"/>
          <w:docGrid w:type="lines" w:linePitch="435" w:charSpace="0"/>
        </w:sectPr>
      </w:pPr>
    </w:p>
    <w:p>
      <w:pPr>
        <w:pStyle w:val="4"/>
        <w:adjustRightInd w:val="0"/>
        <w:snapToGrid w:val="0"/>
        <w:spacing w:line="590" w:lineRule="exact"/>
        <w:ind w:firstLine="643"/>
      </w:pPr>
      <w:bookmarkStart w:id="3" w:name="_Toc22000"/>
      <w:r>
        <w:t>5.3.3</w:t>
      </w:r>
      <w:r>
        <w:rPr>
          <w:rFonts w:hint="eastAsia"/>
        </w:rPr>
        <w:t>拟取消工程项目</w:t>
      </w:r>
      <w:bookmarkEnd w:id="3"/>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由于现状因素等条件变化，原达标方案中未完成的部分工程已不具备实施必要性，拟取消未完成4项工程，主要涵盖河道环境综合整治工程，具体项目及原因如下。</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w:t>
      </w:r>
      <w:r>
        <w:rPr>
          <w:rFonts w:hint="eastAsia" w:eastAsia="仿宋_GB2312" w:cs="Times New Roman"/>
          <w:b/>
          <w:sz w:val="32"/>
          <w:szCs w:val="32"/>
        </w:rPr>
        <w:t>）十马干渠、滩里干渠等文安县</w:t>
      </w:r>
      <w:r>
        <w:rPr>
          <w:rFonts w:eastAsia="仿宋_GB2312" w:cs="Times New Roman"/>
          <w:b/>
          <w:sz w:val="32"/>
          <w:szCs w:val="32"/>
        </w:rPr>
        <w:t>4</w:t>
      </w:r>
      <w:r>
        <w:rPr>
          <w:rFonts w:hint="eastAsia" w:eastAsia="仿宋_GB2312" w:cs="Times New Roman"/>
          <w:b/>
          <w:sz w:val="32"/>
          <w:szCs w:val="32"/>
        </w:rPr>
        <w:t>条排干渠水环境综合整治工程：</w:t>
      </w:r>
      <w:r>
        <w:rPr>
          <w:rFonts w:hint="eastAsia" w:eastAsia="仿宋_GB2312" w:cs="Times New Roman"/>
          <w:sz w:val="32"/>
          <w:szCs w:val="32"/>
        </w:rPr>
        <w:t>项目内容主要包括十马干渠、滩里干渠开展污水截污治理、河道底泥清淤疏浚，十马干渠等原位水生态修复、岸线生态廊道建设等。</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十马干渠全长</w:t>
      </w:r>
      <w:r>
        <w:rPr>
          <w:rFonts w:eastAsia="仿宋_GB2312" w:cs="Times New Roman"/>
          <w:sz w:val="32"/>
          <w:szCs w:val="32"/>
        </w:rPr>
        <w:t>8500</w:t>
      </w:r>
      <w:r>
        <w:rPr>
          <w:rFonts w:hint="eastAsia" w:eastAsia="仿宋_GB2312" w:cs="Times New Roman"/>
          <w:sz w:val="32"/>
          <w:szCs w:val="32"/>
        </w:rPr>
        <w:t>米，目前十马干渠水体环境整治主体工程已基本完成，主要包括河道清淤、河道削坡护砌、新建截污管网，并新建一座</w:t>
      </w:r>
      <w:r>
        <w:rPr>
          <w:rFonts w:eastAsia="仿宋_GB2312" w:cs="Times New Roman"/>
          <w:sz w:val="32"/>
          <w:szCs w:val="32"/>
        </w:rPr>
        <w:t>2</w:t>
      </w:r>
      <w:r>
        <w:rPr>
          <w:rFonts w:hint="eastAsia" w:eastAsia="仿宋_GB2312" w:cs="Times New Roman"/>
          <w:sz w:val="32"/>
          <w:szCs w:val="32"/>
        </w:rPr>
        <w:t>万吨污水处理厂，污水处理厂出水执行《城镇污水处理厂污染物排放标准》一级</w:t>
      </w:r>
      <w:r>
        <w:rPr>
          <w:rFonts w:eastAsia="仿宋_GB2312" w:cs="Times New Roman"/>
          <w:sz w:val="32"/>
          <w:szCs w:val="32"/>
        </w:rPr>
        <w:t>A</w:t>
      </w:r>
      <w:r>
        <w:rPr>
          <w:rFonts w:hint="eastAsia" w:eastAsia="仿宋_GB2312" w:cs="Times New Roman"/>
          <w:sz w:val="32"/>
          <w:szCs w:val="32"/>
        </w:rPr>
        <w:t>标准。污水处理厂出水经生态砾石床及人工湿地净化达到《地表水环境质量标准》Ⅴ类排放标准。</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一方面，白洋淀向文安县下放了大量的生态水，滩里干渠、文毕干渠和董西干渠水质已明显好转，不再需要排干渠环境综合整治；另一方面，文安县与大清河直接相关的四条排干渠全部封堵，不再向大清河排水，而十马干渠水环境综合整治工程主体建设已完工，其他三条排干渠无继续整治的必要，因此取消项目滩里干渠、文毕干渠和董西干渠三条排干渠整治任务。</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2</w:t>
      </w:r>
      <w:r>
        <w:rPr>
          <w:rFonts w:hint="eastAsia" w:eastAsia="仿宋_GB2312" w:cs="Times New Roman"/>
          <w:b/>
          <w:sz w:val="32"/>
          <w:szCs w:val="32"/>
        </w:rPr>
        <w:t>）中亭河胜芳段底泥污染治理项目：</w:t>
      </w:r>
      <w:r>
        <w:rPr>
          <w:rFonts w:hint="eastAsia" w:eastAsia="仿宋_GB2312" w:cs="Times New Roman"/>
          <w:sz w:val="32"/>
          <w:szCs w:val="32"/>
        </w:rPr>
        <w:t>项目设计安排目的在于协助解决中亭河河水泛红现象。经过</w:t>
      </w:r>
      <w:r>
        <w:rPr>
          <w:rFonts w:eastAsia="仿宋_GB2312" w:cs="Times New Roman"/>
          <w:sz w:val="32"/>
          <w:szCs w:val="32"/>
        </w:rPr>
        <w:t>2016</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年，中亭河工业园区整治、胜芳镇污水处理厂升级改造、胜芳镇工业园区管网雨污分流改造等项目实施后，中亭河已连续</w:t>
      </w:r>
      <w:r>
        <w:rPr>
          <w:rFonts w:eastAsia="仿宋_GB2312" w:cs="Times New Roman"/>
          <w:sz w:val="32"/>
          <w:szCs w:val="32"/>
        </w:rPr>
        <w:t>3</w:t>
      </w:r>
      <w:r>
        <w:rPr>
          <w:rFonts w:hint="eastAsia" w:eastAsia="仿宋_GB2312" w:cs="Times New Roman"/>
          <w:sz w:val="32"/>
          <w:szCs w:val="32"/>
        </w:rPr>
        <w:t>年未再泛红，解决中亭河泛红现象的目标已经提前实现，因此中亭河胜芳段底泥污染治理项目不再有实施的必要。</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3</w:t>
      </w:r>
      <w:r>
        <w:rPr>
          <w:rFonts w:hint="eastAsia" w:eastAsia="仿宋_GB2312" w:cs="Times New Roman"/>
          <w:b/>
          <w:sz w:val="32"/>
          <w:szCs w:val="32"/>
        </w:rPr>
        <w:t>）南楼村生活污染治理项目和北楼村片区生活污染治理项目</w:t>
      </w:r>
      <w:r>
        <w:rPr>
          <w:rFonts w:eastAsia="仿宋_GB2312" w:cs="Times New Roman"/>
          <w:b/>
          <w:sz w:val="32"/>
          <w:szCs w:val="32"/>
        </w:rPr>
        <w:t>2</w:t>
      </w:r>
      <w:r>
        <w:rPr>
          <w:rFonts w:hint="eastAsia" w:eastAsia="仿宋_GB2312" w:cs="Times New Roman"/>
          <w:b/>
          <w:sz w:val="32"/>
          <w:szCs w:val="32"/>
        </w:rPr>
        <w:t>项：</w:t>
      </w:r>
      <w:r>
        <w:rPr>
          <w:rFonts w:eastAsia="仿宋_GB2312" w:cs="Times New Roman"/>
          <w:sz w:val="32"/>
          <w:szCs w:val="32"/>
        </w:rPr>
        <w:t>2</w:t>
      </w:r>
      <w:r>
        <w:rPr>
          <w:rFonts w:hint="eastAsia" w:eastAsia="仿宋_GB2312" w:cs="Times New Roman"/>
          <w:sz w:val="32"/>
          <w:szCs w:val="32"/>
        </w:rPr>
        <w:t>个项目分别新建两处生活污水处理站，日处理规模分别为</w:t>
      </w:r>
      <w:r>
        <w:rPr>
          <w:rFonts w:eastAsia="仿宋_GB2312" w:cs="Times New Roman"/>
          <w:sz w:val="32"/>
          <w:szCs w:val="32"/>
        </w:rPr>
        <w:t>176</w:t>
      </w:r>
      <w:r>
        <w:rPr>
          <w:rFonts w:hint="eastAsia" w:eastAsia="仿宋_GB2312" w:cs="Times New Roman"/>
          <w:sz w:val="32"/>
          <w:szCs w:val="32"/>
        </w:rPr>
        <w:t>吨和</w:t>
      </w:r>
      <w:r>
        <w:rPr>
          <w:rFonts w:eastAsia="仿宋_GB2312" w:cs="Times New Roman"/>
          <w:sz w:val="32"/>
          <w:szCs w:val="32"/>
        </w:rPr>
        <w:t>450</w:t>
      </w:r>
      <w:r>
        <w:rPr>
          <w:rFonts w:hint="eastAsia" w:eastAsia="仿宋_GB2312" w:cs="Times New Roman"/>
          <w:sz w:val="32"/>
          <w:szCs w:val="32"/>
        </w:rPr>
        <w:t>吨。目前南楼村、北楼村已纳入霸州市污水处理设施及配套管网工程全覆盖项目，该项目能解决全市各乡镇（区、办）、村街及周边地区的污水收集集中处理问题，迅速提高城镇、村街环境综合治理的整体水平。为了避免重复设置，与整体方案不一致，故建议在此方案中取消该项目。</w:t>
      </w:r>
    </w:p>
    <w:p>
      <w:pPr>
        <w:adjustRightInd w:val="0"/>
        <w:snapToGrid w:val="0"/>
        <w:spacing w:line="590" w:lineRule="exact"/>
        <w:ind w:firstLine="643"/>
        <w:rPr>
          <w:rFonts w:eastAsia="仿宋_GB2312" w:cs="Times New Roman"/>
          <w:b/>
          <w:sz w:val="32"/>
          <w:szCs w:val="32"/>
        </w:rPr>
      </w:pPr>
      <w:bookmarkStart w:id="4" w:name="_Toc25876"/>
      <w:r>
        <w:rPr>
          <w:rFonts w:eastAsia="仿宋_GB2312" w:cs="Times New Roman"/>
          <w:b/>
          <w:sz w:val="32"/>
          <w:szCs w:val="32"/>
        </w:rPr>
        <w:t>5.3.4</w:t>
      </w:r>
      <w:r>
        <w:rPr>
          <w:rFonts w:hint="eastAsia" w:eastAsia="仿宋_GB2312" w:cs="Times New Roman"/>
          <w:b/>
          <w:sz w:val="32"/>
          <w:szCs w:val="32"/>
        </w:rPr>
        <w:t>拟调整工程项目</w:t>
      </w:r>
      <w:bookmarkEnd w:id="4"/>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由于现状因素等条件变化，原达标方案中未完成的部分工程需要调整建设内容，主要为农村生活污染治理工程，拟调整</w:t>
      </w:r>
      <w:r>
        <w:rPr>
          <w:rFonts w:eastAsia="仿宋_GB2312" w:cs="Times New Roman"/>
          <w:sz w:val="32"/>
          <w:szCs w:val="32"/>
        </w:rPr>
        <w:t>5</w:t>
      </w:r>
      <w:r>
        <w:rPr>
          <w:rFonts w:hint="eastAsia" w:eastAsia="仿宋_GB2312" w:cs="Times New Roman"/>
          <w:sz w:val="32"/>
          <w:szCs w:val="32"/>
        </w:rPr>
        <w:t>项工程均为文安县负责项目。具体项目如下：</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1</w:t>
      </w:r>
      <w:r>
        <w:rPr>
          <w:rFonts w:hint="eastAsia" w:eastAsia="仿宋_GB2312" w:cs="Times New Roman"/>
          <w:b/>
          <w:sz w:val="32"/>
          <w:szCs w:val="32"/>
        </w:rPr>
        <w:t>）滩里镇</w:t>
      </w:r>
      <w:r>
        <w:rPr>
          <w:rFonts w:eastAsia="仿宋_GB2312" w:cs="Times New Roman"/>
          <w:b/>
          <w:sz w:val="32"/>
          <w:szCs w:val="32"/>
        </w:rPr>
        <w:t>3</w:t>
      </w:r>
      <w:r>
        <w:rPr>
          <w:rFonts w:hint="eastAsia" w:eastAsia="仿宋_GB2312" w:cs="Times New Roman"/>
          <w:b/>
          <w:sz w:val="32"/>
          <w:szCs w:val="32"/>
        </w:rPr>
        <w:t>个村生活污染治理项目：</w:t>
      </w:r>
      <w:r>
        <w:rPr>
          <w:rFonts w:hint="eastAsia" w:eastAsia="仿宋_GB2312" w:cs="Times New Roman"/>
          <w:sz w:val="32"/>
          <w:szCs w:val="32"/>
        </w:rPr>
        <w:t>滩里镇东滩里、西滩里和张家营村生活污水和垃圾处理工程。</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2</w:t>
      </w:r>
      <w:r>
        <w:rPr>
          <w:rFonts w:hint="eastAsia" w:eastAsia="仿宋_GB2312" w:cs="Times New Roman"/>
          <w:b/>
          <w:sz w:val="32"/>
          <w:szCs w:val="32"/>
        </w:rPr>
        <w:t>）高头管区生活污染治理项目：</w:t>
      </w:r>
      <w:r>
        <w:rPr>
          <w:rFonts w:hint="eastAsia" w:eastAsia="仿宋_GB2312" w:cs="Times New Roman"/>
          <w:sz w:val="32"/>
          <w:szCs w:val="32"/>
        </w:rPr>
        <w:t>改善大清河水质，新建日处理</w:t>
      </w:r>
      <w:r>
        <w:rPr>
          <w:rFonts w:eastAsia="仿宋_GB2312" w:cs="Times New Roman"/>
          <w:sz w:val="32"/>
          <w:szCs w:val="32"/>
        </w:rPr>
        <w:t>1000</w:t>
      </w:r>
      <w:r>
        <w:rPr>
          <w:rFonts w:hint="eastAsia" w:eastAsia="仿宋_GB2312" w:cs="Times New Roman"/>
          <w:sz w:val="32"/>
          <w:szCs w:val="32"/>
        </w:rPr>
        <w:t>吨生活污水处理站</w:t>
      </w:r>
      <w:r>
        <w:rPr>
          <w:rFonts w:eastAsia="仿宋_GB2312" w:cs="Times New Roman"/>
          <w:sz w:val="32"/>
          <w:szCs w:val="32"/>
        </w:rPr>
        <w:t>1</w:t>
      </w:r>
      <w:r>
        <w:rPr>
          <w:rFonts w:hint="eastAsia" w:eastAsia="仿宋_GB2312" w:cs="Times New Roman"/>
          <w:sz w:val="32"/>
          <w:szCs w:val="32"/>
        </w:rPr>
        <w:t>座，处理高头管区居民生活污水。</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3</w:t>
      </w:r>
      <w:r>
        <w:rPr>
          <w:rFonts w:hint="eastAsia" w:eastAsia="仿宋_GB2312" w:cs="Times New Roman"/>
          <w:b/>
          <w:sz w:val="32"/>
          <w:szCs w:val="32"/>
        </w:rPr>
        <w:t>）杨管营农村生活污水处理工程：</w:t>
      </w:r>
      <w:r>
        <w:rPr>
          <w:rFonts w:hint="eastAsia" w:eastAsia="仿宋_GB2312" w:cs="Times New Roman"/>
          <w:sz w:val="32"/>
          <w:szCs w:val="32"/>
        </w:rPr>
        <w:t>改善大清河水质，新建日处理</w:t>
      </w:r>
      <w:r>
        <w:rPr>
          <w:rFonts w:eastAsia="仿宋_GB2312" w:cs="Times New Roman"/>
          <w:sz w:val="32"/>
          <w:szCs w:val="32"/>
        </w:rPr>
        <w:t>3000</w:t>
      </w:r>
      <w:r>
        <w:rPr>
          <w:rFonts w:hint="eastAsia" w:eastAsia="仿宋_GB2312" w:cs="Times New Roman"/>
          <w:sz w:val="32"/>
          <w:szCs w:val="32"/>
        </w:rPr>
        <w:t>吨生活污水处理厂，建设配套管网</w:t>
      </w:r>
      <w:r>
        <w:rPr>
          <w:rFonts w:eastAsia="仿宋_GB2312" w:cs="Times New Roman"/>
          <w:sz w:val="32"/>
          <w:szCs w:val="32"/>
        </w:rPr>
        <w:t>2.1</w:t>
      </w:r>
      <w:r>
        <w:rPr>
          <w:rFonts w:hint="eastAsia" w:eastAsia="仿宋_GB2312" w:cs="Times New Roman"/>
          <w:sz w:val="32"/>
          <w:szCs w:val="32"/>
        </w:rPr>
        <w:t>公里，处理杨管营村生活污水。</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4</w:t>
      </w:r>
      <w:r>
        <w:rPr>
          <w:rFonts w:hint="eastAsia" w:eastAsia="仿宋_GB2312" w:cs="Times New Roman"/>
          <w:b/>
          <w:sz w:val="32"/>
          <w:szCs w:val="32"/>
        </w:rPr>
        <w:t>）文安县史各庄镇生活污染治理项目：</w:t>
      </w:r>
      <w:r>
        <w:rPr>
          <w:rFonts w:hint="eastAsia" w:eastAsia="仿宋_GB2312" w:cs="Times New Roman"/>
          <w:sz w:val="32"/>
          <w:szCs w:val="32"/>
        </w:rPr>
        <w:t>史各庄近河的</w:t>
      </w:r>
      <w:r>
        <w:rPr>
          <w:rFonts w:eastAsia="仿宋_GB2312" w:cs="Times New Roman"/>
          <w:sz w:val="32"/>
          <w:szCs w:val="32"/>
        </w:rPr>
        <w:t>10</w:t>
      </w:r>
      <w:r>
        <w:rPr>
          <w:rFonts w:hint="eastAsia" w:eastAsia="仿宋_GB2312" w:cs="Times New Roman"/>
          <w:sz w:val="32"/>
          <w:szCs w:val="32"/>
        </w:rPr>
        <w:t>个村生活污水和垃圾治理。</w:t>
      </w:r>
    </w:p>
    <w:p>
      <w:pPr>
        <w:adjustRightInd w:val="0"/>
        <w:snapToGrid w:val="0"/>
        <w:spacing w:line="590" w:lineRule="exact"/>
        <w:ind w:firstLine="643"/>
        <w:rPr>
          <w:rFonts w:eastAsia="仿宋_GB2312" w:cs="Times New Roman"/>
          <w:sz w:val="32"/>
          <w:szCs w:val="32"/>
        </w:rPr>
      </w:pPr>
      <w:r>
        <w:rPr>
          <w:rFonts w:hint="eastAsia" w:eastAsia="仿宋_GB2312" w:cs="Times New Roman"/>
          <w:b/>
          <w:sz w:val="32"/>
          <w:szCs w:val="32"/>
        </w:rPr>
        <w:t>（</w:t>
      </w:r>
      <w:r>
        <w:rPr>
          <w:rFonts w:eastAsia="仿宋_GB2312" w:cs="Times New Roman"/>
          <w:b/>
          <w:sz w:val="32"/>
          <w:szCs w:val="32"/>
        </w:rPr>
        <w:t>5</w:t>
      </w:r>
      <w:r>
        <w:rPr>
          <w:rFonts w:hint="eastAsia" w:eastAsia="仿宋_GB2312" w:cs="Times New Roman"/>
          <w:b/>
          <w:sz w:val="32"/>
          <w:szCs w:val="32"/>
        </w:rPr>
        <w:t>）柳河镇</w:t>
      </w:r>
      <w:r>
        <w:rPr>
          <w:rFonts w:eastAsia="仿宋_GB2312" w:cs="Times New Roman"/>
          <w:b/>
          <w:sz w:val="32"/>
          <w:szCs w:val="32"/>
        </w:rPr>
        <w:t>3</w:t>
      </w:r>
      <w:r>
        <w:rPr>
          <w:rFonts w:hint="eastAsia" w:eastAsia="仿宋_GB2312" w:cs="Times New Roman"/>
          <w:b/>
          <w:sz w:val="32"/>
          <w:szCs w:val="32"/>
        </w:rPr>
        <w:t>个村庄农村生活污水处理工程项目：</w:t>
      </w:r>
      <w:r>
        <w:rPr>
          <w:rFonts w:hint="eastAsia" w:eastAsia="仿宋_GB2312" w:cs="Times New Roman"/>
          <w:sz w:val="32"/>
          <w:szCs w:val="32"/>
        </w:rPr>
        <w:t>开展柳河镇近大清河的三个村庄农村生活污水处理。</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由于文安县启动了水生态建设</w:t>
      </w:r>
      <w:r>
        <w:rPr>
          <w:rFonts w:eastAsia="仿宋_GB2312" w:cs="Times New Roman"/>
          <w:sz w:val="32"/>
          <w:szCs w:val="32"/>
        </w:rPr>
        <w:t>PPP</w:t>
      </w:r>
      <w:r>
        <w:rPr>
          <w:rFonts w:hint="eastAsia" w:eastAsia="仿宋_GB2312" w:cs="Times New Roman"/>
          <w:sz w:val="32"/>
          <w:szCs w:val="32"/>
        </w:rPr>
        <w:t>项目，目前已经完成史各庄镇两个村庄的试点工作，计划于</w:t>
      </w:r>
      <w:r>
        <w:rPr>
          <w:rFonts w:eastAsia="仿宋_GB2312" w:cs="Times New Roman"/>
          <w:sz w:val="32"/>
          <w:szCs w:val="32"/>
        </w:rPr>
        <w:t>2019</w:t>
      </w:r>
      <w:r>
        <w:rPr>
          <w:rFonts w:hint="eastAsia" w:eastAsia="仿宋_GB2312" w:cs="Times New Roman"/>
          <w:sz w:val="32"/>
          <w:szCs w:val="32"/>
        </w:rPr>
        <w:t>年完成</w:t>
      </w:r>
      <w:r>
        <w:rPr>
          <w:rFonts w:eastAsia="仿宋_GB2312" w:cs="Times New Roman"/>
          <w:sz w:val="32"/>
          <w:szCs w:val="32"/>
        </w:rPr>
        <w:t>88</w:t>
      </w:r>
      <w:r>
        <w:rPr>
          <w:rFonts w:hint="eastAsia" w:eastAsia="仿宋_GB2312" w:cs="Times New Roman"/>
          <w:sz w:val="32"/>
          <w:szCs w:val="32"/>
        </w:rPr>
        <w:t>个行政村的工程建设；</w:t>
      </w:r>
      <w:r>
        <w:rPr>
          <w:rFonts w:eastAsia="仿宋_GB2312" w:cs="Times New Roman"/>
          <w:sz w:val="32"/>
          <w:szCs w:val="32"/>
        </w:rPr>
        <w:t>2020</w:t>
      </w:r>
      <w:r>
        <w:rPr>
          <w:rFonts w:hint="eastAsia" w:eastAsia="仿宋_GB2312" w:cs="Times New Roman"/>
          <w:sz w:val="32"/>
          <w:szCs w:val="32"/>
        </w:rPr>
        <w:t>年完成</w:t>
      </w:r>
      <w:r>
        <w:rPr>
          <w:rFonts w:eastAsia="仿宋_GB2312" w:cs="Times New Roman"/>
          <w:sz w:val="32"/>
          <w:szCs w:val="32"/>
        </w:rPr>
        <w:t>108</w:t>
      </w:r>
      <w:r>
        <w:rPr>
          <w:rFonts w:hint="eastAsia" w:eastAsia="仿宋_GB2312" w:cs="Times New Roman"/>
          <w:sz w:val="32"/>
          <w:szCs w:val="32"/>
        </w:rPr>
        <w:t>个行政村的建设工作；</w:t>
      </w:r>
      <w:r>
        <w:rPr>
          <w:rFonts w:eastAsia="仿宋_GB2312" w:cs="Times New Roman"/>
          <w:sz w:val="32"/>
          <w:szCs w:val="32"/>
        </w:rPr>
        <w:t>2021</w:t>
      </w:r>
      <w:r>
        <w:rPr>
          <w:rFonts w:hint="eastAsia" w:eastAsia="仿宋_GB2312" w:cs="Times New Roman"/>
          <w:sz w:val="32"/>
          <w:szCs w:val="32"/>
        </w:rPr>
        <w:t>年完成</w:t>
      </w:r>
      <w:r>
        <w:rPr>
          <w:rFonts w:eastAsia="仿宋_GB2312" w:cs="Times New Roman"/>
          <w:sz w:val="32"/>
          <w:szCs w:val="32"/>
        </w:rPr>
        <w:t>106</w:t>
      </w:r>
      <w:r>
        <w:rPr>
          <w:rFonts w:hint="eastAsia" w:eastAsia="仿宋_GB2312" w:cs="Times New Roman"/>
          <w:sz w:val="32"/>
          <w:szCs w:val="32"/>
        </w:rPr>
        <w:t>个行政村的建设工作。水生态建设</w:t>
      </w:r>
      <w:r>
        <w:rPr>
          <w:rFonts w:eastAsia="仿宋_GB2312" w:cs="Times New Roman"/>
          <w:sz w:val="32"/>
          <w:szCs w:val="32"/>
        </w:rPr>
        <w:t>PPP</w:t>
      </w:r>
      <w:r>
        <w:rPr>
          <w:rFonts w:hint="eastAsia" w:eastAsia="仿宋_GB2312" w:cs="Times New Roman"/>
          <w:sz w:val="32"/>
          <w:szCs w:val="32"/>
        </w:rPr>
        <w:t>项目已经将史各庄、杨管营村、柳河镇</w:t>
      </w:r>
      <w:r>
        <w:rPr>
          <w:rFonts w:eastAsia="仿宋_GB2312" w:cs="Times New Roman"/>
          <w:sz w:val="32"/>
          <w:szCs w:val="32"/>
        </w:rPr>
        <w:t>3</w:t>
      </w:r>
      <w:r>
        <w:rPr>
          <w:rFonts w:hint="eastAsia" w:eastAsia="仿宋_GB2312" w:cs="Times New Roman"/>
          <w:sz w:val="32"/>
          <w:szCs w:val="32"/>
        </w:rPr>
        <w:t>村庄、滩里镇</w:t>
      </w:r>
      <w:r>
        <w:rPr>
          <w:rFonts w:eastAsia="仿宋_GB2312" w:cs="Times New Roman"/>
          <w:sz w:val="32"/>
          <w:szCs w:val="32"/>
        </w:rPr>
        <w:t>3</w:t>
      </w:r>
      <w:r>
        <w:rPr>
          <w:rFonts w:hint="eastAsia" w:eastAsia="仿宋_GB2312" w:cs="Times New Roman"/>
          <w:sz w:val="32"/>
          <w:szCs w:val="32"/>
        </w:rPr>
        <w:t>个村和高头管区等大清河达标方案内规划的污水处理项目包含在内，这些村庄的污水治理统筹由文安县水生态建设</w:t>
      </w:r>
      <w:r>
        <w:rPr>
          <w:rFonts w:eastAsia="仿宋_GB2312" w:cs="Times New Roman"/>
          <w:sz w:val="32"/>
          <w:szCs w:val="32"/>
        </w:rPr>
        <w:t>PPP</w:t>
      </w:r>
      <w:r>
        <w:rPr>
          <w:rFonts w:hint="eastAsia" w:eastAsia="仿宋_GB2312" w:cs="Times New Roman"/>
          <w:sz w:val="32"/>
          <w:szCs w:val="32"/>
        </w:rPr>
        <w:t>项目推进实施，因此滩里镇</w:t>
      </w:r>
      <w:r>
        <w:rPr>
          <w:rFonts w:eastAsia="仿宋_GB2312" w:cs="Times New Roman"/>
          <w:sz w:val="32"/>
          <w:szCs w:val="32"/>
        </w:rPr>
        <w:t>3</w:t>
      </w:r>
      <w:r>
        <w:rPr>
          <w:rFonts w:hint="eastAsia" w:eastAsia="仿宋_GB2312" w:cs="Times New Roman"/>
          <w:sz w:val="32"/>
          <w:szCs w:val="32"/>
        </w:rPr>
        <w:t>个村生活污水处理工程、高头管区农村生活污水治理项目、杨管营村农村生活污水处理工程、文安县史各庄镇生活污染治理项目和柳河镇</w:t>
      </w:r>
      <w:r>
        <w:rPr>
          <w:rFonts w:eastAsia="仿宋_GB2312" w:cs="Times New Roman"/>
          <w:sz w:val="32"/>
          <w:szCs w:val="32"/>
        </w:rPr>
        <w:t>3</w:t>
      </w:r>
      <w:r>
        <w:rPr>
          <w:rFonts w:hint="eastAsia" w:eastAsia="仿宋_GB2312" w:cs="Times New Roman"/>
          <w:sz w:val="32"/>
          <w:szCs w:val="32"/>
        </w:rPr>
        <w:t>个村庄农村生活污水处理工程不再单独实施。</w:t>
      </w:r>
    </w:p>
    <w:p>
      <w:pPr>
        <w:pStyle w:val="2"/>
        <w:adjustRightInd w:val="0"/>
        <w:snapToGrid w:val="0"/>
        <w:spacing w:line="590" w:lineRule="exact"/>
        <w:ind w:firstLine="640"/>
        <w:rPr>
          <w:szCs w:val="32"/>
        </w:rPr>
      </w:pPr>
      <w:bookmarkStart w:id="5" w:name="_Toc21163"/>
      <w:r>
        <w:rPr>
          <w:rFonts w:hint="eastAsia"/>
          <w:szCs w:val="32"/>
        </w:rPr>
        <w:t>六、水环境重点问题</w:t>
      </w:r>
      <w:bookmarkEnd w:id="5"/>
    </w:p>
    <w:p>
      <w:pPr>
        <w:pStyle w:val="3"/>
        <w:adjustRightInd w:val="0"/>
        <w:snapToGrid w:val="0"/>
        <w:spacing w:line="590" w:lineRule="exact"/>
        <w:ind w:firstLine="643"/>
        <w:rPr>
          <w:rFonts w:eastAsia="楷体_GB2312"/>
        </w:rPr>
      </w:pPr>
      <w:bookmarkStart w:id="6" w:name="_Toc1233"/>
      <w:r>
        <w:rPr>
          <w:rFonts w:eastAsia="楷体_GB2312"/>
        </w:rPr>
        <w:t>6.1</w:t>
      </w:r>
      <w:r>
        <w:rPr>
          <w:rFonts w:hint="eastAsia" w:eastAsia="楷体_GB2312"/>
        </w:rPr>
        <w:t>水资源量短缺，水体自净能力不足</w:t>
      </w:r>
      <w:bookmarkEnd w:id="6"/>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廊坊市水资源量短缺，生态来水不足，上游来水水质基本处于Ⅲ类水质以下状态，河流水质改善困难较大，河流基本已无水环境容量。水资源不足和生态流量缺乏已经成为制约区域水环境改善的重要因素。</w:t>
      </w:r>
    </w:p>
    <w:p>
      <w:pPr>
        <w:pStyle w:val="3"/>
        <w:adjustRightInd w:val="0"/>
        <w:snapToGrid w:val="0"/>
        <w:spacing w:line="590" w:lineRule="exact"/>
        <w:ind w:firstLine="643"/>
        <w:rPr>
          <w:rFonts w:eastAsia="楷体_GB2312"/>
        </w:rPr>
      </w:pPr>
      <w:bookmarkStart w:id="7" w:name="_Toc22993"/>
      <w:r>
        <w:rPr>
          <w:rFonts w:eastAsia="楷体_GB2312"/>
        </w:rPr>
        <w:t>6.2</w:t>
      </w:r>
      <w:r>
        <w:rPr>
          <w:rFonts w:hint="eastAsia" w:eastAsia="楷体_GB2312"/>
        </w:rPr>
        <w:t>水系连通受阻，大清河夏季蓝藻存在爆发风险</w:t>
      </w:r>
      <w:bookmarkEnd w:id="7"/>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大清河流域内沿河建设较多的闸坝，流域内水系受闸坝调节，如牤牛河入霸州境，霸州人为筑土坝拦截永清来水，中亭河上临时坝众多，大清河台头断面下游河北入天津界筑有两道闸坝，闸坝常年闭闸，大清河河流水系连通受阻，水体常年处于不流通状态，影响水体自净，夏季蓝藻数量暴增，存在蓝藻爆发风险。</w:t>
      </w:r>
    </w:p>
    <w:p>
      <w:pPr>
        <w:pStyle w:val="3"/>
        <w:adjustRightInd w:val="0"/>
        <w:snapToGrid w:val="0"/>
        <w:spacing w:line="590" w:lineRule="exact"/>
        <w:ind w:firstLine="643"/>
        <w:rPr>
          <w:rFonts w:eastAsia="楷体_GB2312"/>
        </w:rPr>
      </w:pPr>
      <w:bookmarkStart w:id="8" w:name="_Toc17381"/>
      <w:r>
        <w:rPr>
          <w:rFonts w:eastAsia="楷体_GB2312"/>
        </w:rPr>
        <w:t>6.3</w:t>
      </w:r>
      <w:r>
        <w:rPr>
          <w:rFonts w:hint="eastAsia" w:eastAsia="楷体_GB2312"/>
        </w:rPr>
        <w:t>上游泄洪、下游封闭，台头断面受影响明显</w:t>
      </w:r>
      <w:bookmarkEnd w:id="8"/>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2016</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年，台头断面水质主要超标指标为化学需氧量和氟化物，其中</w:t>
      </w:r>
      <w:r>
        <w:rPr>
          <w:rFonts w:eastAsia="仿宋_GB2312" w:cs="Times New Roman"/>
          <w:sz w:val="32"/>
          <w:szCs w:val="32"/>
        </w:rPr>
        <w:t>2018</w:t>
      </w:r>
      <w:r>
        <w:rPr>
          <w:rFonts w:hint="eastAsia" w:eastAsia="仿宋_GB2312" w:cs="Times New Roman"/>
          <w:sz w:val="32"/>
          <w:szCs w:val="32"/>
        </w:rPr>
        <w:t>年部分月份台头断面水质恶化波动明显。大清河上游连接白洋淀，已多年未向下游大清河输水。</w:t>
      </w:r>
      <w:r>
        <w:rPr>
          <w:rFonts w:eastAsia="仿宋_GB2312" w:cs="Times New Roman"/>
          <w:sz w:val="32"/>
          <w:szCs w:val="32"/>
        </w:rPr>
        <w:t>2018</w:t>
      </w:r>
      <w:r>
        <w:rPr>
          <w:rFonts w:hint="eastAsia" w:eastAsia="仿宋_GB2312" w:cs="Times New Roman"/>
          <w:sz w:val="32"/>
          <w:szCs w:val="32"/>
        </w:rPr>
        <w:t>年汛期，大清河上游白洋淀地区洪水下泄，下泄洪水通过老大清河和赵王新河补充进入大清河，带来较大污染；而下游天津地区节制闸关闭，致使大量污水存积于大清河，导致水质出现严重恶化。</w:t>
      </w:r>
    </w:p>
    <w:p>
      <w:pPr>
        <w:pStyle w:val="3"/>
        <w:adjustRightInd w:val="0"/>
        <w:snapToGrid w:val="0"/>
        <w:spacing w:line="590" w:lineRule="exact"/>
        <w:ind w:firstLine="643"/>
        <w:rPr>
          <w:rFonts w:eastAsia="楷体_GB2312"/>
        </w:rPr>
      </w:pPr>
      <w:bookmarkStart w:id="9" w:name="_Toc2079"/>
      <w:r>
        <w:rPr>
          <w:rFonts w:eastAsia="楷体_GB2312"/>
        </w:rPr>
        <w:t>6.4</w:t>
      </w:r>
      <w:r>
        <w:rPr>
          <w:rFonts w:hint="eastAsia" w:eastAsia="楷体_GB2312"/>
        </w:rPr>
        <w:t>农村生活污水处理率低，成为影响河段水环境质量的主要因素</w:t>
      </w:r>
      <w:bookmarkEnd w:id="9"/>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目前，大清河流域内大多数的农村生活污水基本没有进行收集处理，仅部分农村建有下水道设施，存在随意倾倒现象。部分支流、支渠河段被农村分散面源污染直排。目前，农村污水成为县（市）外河段老大清河、文安县内排干渠、牤牛河入霸州境内河段等水质较差的主要污染因素。</w:t>
      </w:r>
    </w:p>
    <w:p>
      <w:pPr>
        <w:pStyle w:val="3"/>
        <w:adjustRightInd w:val="0"/>
        <w:snapToGrid w:val="0"/>
        <w:spacing w:line="590" w:lineRule="exact"/>
        <w:ind w:firstLine="643"/>
        <w:rPr>
          <w:rFonts w:eastAsia="楷体_GB2312"/>
        </w:rPr>
      </w:pPr>
      <w:bookmarkStart w:id="10" w:name="_Toc15107"/>
      <w:r>
        <w:rPr>
          <w:rFonts w:eastAsia="楷体_GB2312"/>
        </w:rPr>
        <w:t>6.5</w:t>
      </w:r>
      <w:r>
        <w:rPr>
          <w:rFonts w:hint="eastAsia" w:eastAsia="楷体_GB2312"/>
        </w:rPr>
        <w:t>水质受天津河流排水影响仍然存在</w:t>
      </w:r>
      <w:bookmarkEnd w:id="10"/>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2019</w:t>
      </w:r>
      <w:r>
        <w:rPr>
          <w:rFonts w:hint="eastAsia" w:eastAsia="仿宋_GB2312" w:cs="Times New Roman"/>
          <w:sz w:val="32"/>
          <w:szCs w:val="32"/>
        </w:rPr>
        <w:t>年上半年，由于气候干燥，降雨量小、农业灌溉用水量大等因素，大清河水量急剧减少，断面逐渐断流干涸。</w:t>
      </w:r>
      <w:r>
        <w:rPr>
          <w:rFonts w:eastAsia="仿宋_GB2312" w:cs="Times New Roman"/>
          <w:sz w:val="32"/>
          <w:szCs w:val="32"/>
        </w:rPr>
        <w:t>7</w:t>
      </w:r>
      <w:r>
        <w:rPr>
          <w:rFonts w:hint="eastAsia" w:eastAsia="仿宋_GB2312" w:cs="Times New Roman"/>
          <w:sz w:val="32"/>
          <w:szCs w:val="32"/>
        </w:rPr>
        <w:t>月开始，天津市静海区为迎主汛期，进行腾渠增容，各支渠河水流入大清河。因下游西河闸和洪闸常年关闭，河水被截留，下游天津河段河水回流至大清河廊坊市境内，致台头断面水位持续上升。</w:t>
      </w:r>
      <w:r>
        <w:rPr>
          <w:rFonts w:eastAsia="仿宋_GB2312" w:cs="Times New Roman"/>
          <w:sz w:val="32"/>
          <w:szCs w:val="32"/>
        </w:rPr>
        <w:t>8</w:t>
      </w:r>
      <w:r>
        <w:rPr>
          <w:rFonts w:hint="eastAsia" w:eastAsia="仿宋_GB2312" w:cs="Times New Roman"/>
          <w:sz w:val="32"/>
          <w:szCs w:val="32"/>
        </w:rPr>
        <w:t>月，天津市静海区大范围降雨，局部地区降雨量达</w:t>
      </w:r>
      <w:r>
        <w:rPr>
          <w:rFonts w:eastAsia="仿宋_GB2312" w:cs="Times New Roman"/>
          <w:sz w:val="32"/>
          <w:szCs w:val="32"/>
        </w:rPr>
        <w:t>200</w:t>
      </w:r>
      <w:r>
        <w:rPr>
          <w:rFonts w:hint="eastAsia" w:eastAsia="仿宋_GB2312" w:cs="Times New Roman"/>
          <w:sz w:val="32"/>
          <w:szCs w:val="32"/>
        </w:rPr>
        <w:t>毫米以上，各支渠河水汇入流量陡增，累计进水约</w:t>
      </w:r>
      <w:r>
        <w:rPr>
          <w:rFonts w:eastAsia="仿宋_GB2312" w:cs="Times New Roman"/>
          <w:sz w:val="32"/>
          <w:szCs w:val="32"/>
        </w:rPr>
        <w:t>400</w:t>
      </w:r>
      <w:r>
        <w:rPr>
          <w:rFonts w:hint="eastAsia" w:eastAsia="仿宋_GB2312" w:cs="Times New Roman"/>
          <w:sz w:val="32"/>
          <w:szCs w:val="32"/>
        </w:rPr>
        <w:t>万立方米，台头断面监测点水位升高了</w:t>
      </w:r>
      <w:r>
        <w:rPr>
          <w:rFonts w:eastAsia="仿宋_GB2312" w:cs="Times New Roman"/>
          <w:sz w:val="32"/>
          <w:szCs w:val="32"/>
        </w:rPr>
        <w:t>1.84</w:t>
      </w:r>
      <w:r>
        <w:rPr>
          <w:rFonts w:hint="eastAsia" w:eastAsia="仿宋_GB2312" w:cs="Times New Roman"/>
          <w:sz w:val="32"/>
          <w:szCs w:val="32"/>
        </w:rPr>
        <w:t>米。河水上溯淹没文安县安里屯大桥辅桥约</w:t>
      </w:r>
      <w:r>
        <w:rPr>
          <w:rFonts w:eastAsia="仿宋_GB2312" w:cs="Times New Roman"/>
          <w:sz w:val="32"/>
          <w:szCs w:val="32"/>
        </w:rPr>
        <w:t>22</w:t>
      </w:r>
      <w:r>
        <w:rPr>
          <w:rFonts w:hint="eastAsia" w:eastAsia="仿宋_GB2312" w:cs="Times New Roman"/>
          <w:sz w:val="32"/>
          <w:szCs w:val="32"/>
        </w:rPr>
        <w:t>厘米，西码头闸下水位从</w:t>
      </w:r>
      <w:r>
        <w:rPr>
          <w:rFonts w:eastAsia="仿宋_GB2312" w:cs="Times New Roman"/>
          <w:sz w:val="32"/>
          <w:szCs w:val="32"/>
        </w:rPr>
        <w:t>2.01</w:t>
      </w:r>
      <w:r>
        <w:rPr>
          <w:rFonts w:hint="eastAsia" w:eastAsia="仿宋_GB2312" w:cs="Times New Roman"/>
          <w:sz w:val="32"/>
          <w:szCs w:val="32"/>
        </w:rPr>
        <w:t>米涨至</w:t>
      </w:r>
      <w:r>
        <w:rPr>
          <w:rFonts w:eastAsia="仿宋_GB2312" w:cs="Times New Roman"/>
          <w:sz w:val="32"/>
          <w:szCs w:val="32"/>
        </w:rPr>
        <w:t>3.22</w:t>
      </w:r>
      <w:r>
        <w:rPr>
          <w:rFonts w:hint="eastAsia" w:eastAsia="仿宋_GB2312" w:cs="Times New Roman"/>
          <w:sz w:val="32"/>
          <w:szCs w:val="32"/>
        </w:rPr>
        <w:t>米，净抬高</w:t>
      </w:r>
      <w:r>
        <w:rPr>
          <w:rFonts w:eastAsia="仿宋_GB2312" w:cs="Times New Roman"/>
          <w:sz w:val="32"/>
          <w:szCs w:val="32"/>
        </w:rPr>
        <w:t>1.21</w:t>
      </w:r>
      <w:r>
        <w:rPr>
          <w:rFonts w:hint="eastAsia" w:eastAsia="仿宋_GB2312" w:cs="Times New Roman"/>
          <w:sz w:val="32"/>
          <w:szCs w:val="32"/>
        </w:rPr>
        <w:t>米。汛期下游天津河段河水回流对廊坊市台头断面水质造成一定影响。</w:t>
      </w:r>
    </w:p>
    <w:p>
      <w:pPr>
        <w:pStyle w:val="2"/>
        <w:adjustRightInd w:val="0"/>
        <w:snapToGrid w:val="0"/>
        <w:spacing w:line="590" w:lineRule="exact"/>
        <w:ind w:firstLine="640"/>
        <w:rPr>
          <w:szCs w:val="32"/>
        </w:rPr>
      </w:pPr>
      <w:bookmarkStart w:id="11" w:name="_Toc20180"/>
      <w:r>
        <w:rPr>
          <w:rFonts w:hint="eastAsia"/>
          <w:szCs w:val="32"/>
        </w:rPr>
        <w:t>七、重点任务</w:t>
      </w:r>
      <w:bookmarkEnd w:id="11"/>
    </w:p>
    <w:p>
      <w:pPr>
        <w:pStyle w:val="3"/>
        <w:adjustRightInd w:val="0"/>
        <w:snapToGrid w:val="0"/>
        <w:spacing w:line="590" w:lineRule="exact"/>
        <w:ind w:firstLine="643"/>
        <w:rPr>
          <w:rFonts w:eastAsia="楷体_GB2312"/>
        </w:rPr>
      </w:pPr>
      <w:bookmarkStart w:id="12" w:name="_Toc458440244"/>
      <w:bookmarkStart w:id="13" w:name="_Toc19546"/>
      <w:r>
        <w:rPr>
          <w:rFonts w:eastAsia="楷体_GB2312"/>
        </w:rPr>
        <w:t>7.1</w:t>
      </w:r>
      <w:r>
        <w:rPr>
          <w:rFonts w:hint="eastAsia" w:eastAsia="楷体_GB2312"/>
        </w:rPr>
        <w:t>继续推进工业污染源治理</w:t>
      </w:r>
      <w:bookmarkEnd w:id="12"/>
      <w:bookmarkEnd w:id="13"/>
    </w:p>
    <w:p>
      <w:pPr>
        <w:pStyle w:val="4"/>
        <w:adjustRightInd w:val="0"/>
        <w:snapToGrid w:val="0"/>
        <w:spacing w:line="590" w:lineRule="exact"/>
        <w:ind w:firstLine="643"/>
      </w:pPr>
      <w:bookmarkStart w:id="14" w:name="_Toc11660"/>
      <w:r>
        <w:t>7.1.1</w:t>
      </w:r>
      <w:r>
        <w:rPr>
          <w:rFonts w:hint="eastAsia"/>
        </w:rPr>
        <w:t>重污染企业实施强制性清洁生产审核</w:t>
      </w:r>
      <w:bookmarkEnd w:id="14"/>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研究提高霸州市重污染行业地方准入门槛。针对重污染行业污染问题，开展企业排查，严格取缔不符合国家产业政策的小企业，对其余大中型企业实行产业整合。对超标、超总量排污和使用、排放有毒有害物质的企业实施强制性清洁生产审核，扩大自愿性清洁生产审核范围。积极支持企业开展</w:t>
      </w:r>
      <w:r>
        <w:rPr>
          <w:rFonts w:eastAsia="仿宋_GB2312" w:cs="Times New Roman"/>
          <w:sz w:val="32"/>
          <w:szCs w:val="32"/>
        </w:rPr>
        <w:t>ISO14000</w:t>
      </w:r>
      <w:r>
        <w:rPr>
          <w:rFonts w:hint="eastAsia" w:eastAsia="仿宋_GB2312" w:cs="Times New Roman"/>
          <w:sz w:val="32"/>
          <w:szCs w:val="32"/>
        </w:rPr>
        <w:t>环境管理体系、环境标志产品和其他绿色认证。</w:t>
      </w:r>
    </w:p>
    <w:p>
      <w:pPr>
        <w:pStyle w:val="4"/>
        <w:adjustRightInd w:val="0"/>
        <w:snapToGrid w:val="0"/>
        <w:spacing w:line="590" w:lineRule="exact"/>
        <w:ind w:firstLine="643"/>
      </w:pPr>
      <w:bookmarkStart w:id="15" w:name="_Toc11930"/>
      <w:r>
        <w:t>7.1.2</w:t>
      </w:r>
      <w:r>
        <w:rPr>
          <w:rFonts w:hint="eastAsia"/>
        </w:rPr>
        <w:t>开展金属表面处理等涉酸涉重企业清洁化改造</w:t>
      </w:r>
      <w:bookmarkEnd w:id="15"/>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对文安县和霸州市所有涉酸涉重企业逐个进行排查，建立台账，明确废酸去向，所有涉酸运输车均安装</w:t>
      </w:r>
      <w:r>
        <w:rPr>
          <w:rFonts w:eastAsia="仿宋_GB2312" w:cs="Times New Roman"/>
          <w:sz w:val="32"/>
          <w:szCs w:val="32"/>
        </w:rPr>
        <w:t>GPS</w:t>
      </w:r>
      <w:r>
        <w:rPr>
          <w:rFonts w:hint="eastAsia" w:eastAsia="仿宋_GB2312" w:cs="Times New Roman"/>
          <w:sz w:val="32"/>
          <w:szCs w:val="32"/>
        </w:rPr>
        <w:t>监控，对于违法处置酸液或含酸废水的企业加大惩处力度。针对金属表面处理等重污染企业进行节能减排和清洁生产改造，建设污水预处理设施，使出水达到纳管标准。提升工艺装备，金属表面处理企业鼓励使用先进新工艺、新技术和新设备，推广使用酸洗添加剂的应用。酸洗磷化工艺或项目应采取工业污水回用、多级回收、逆流漂洗等节水型清洁生产工艺，禁止采用单级漂洗或直接冲洗等落后工艺，生产线或车间应安装水、电计量装置，污水回用率不得低于</w:t>
      </w:r>
      <w:r>
        <w:rPr>
          <w:rFonts w:eastAsia="仿宋_GB2312" w:cs="Times New Roman"/>
          <w:sz w:val="32"/>
          <w:szCs w:val="32"/>
        </w:rPr>
        <w:t>50%</w:t>
      </w:r>
      <w:r>
        <w:rPr>
          <w:rFonts w:hint="eastAsia" w:eastAsia="仿宋_GB2312" w:cs="Times New Roman"/>
          <w:sz w:val="32"/>
          <w:szCs w:val="32"/>
        </w:rPr>
        <w:t>。</w:t>
      </w:r>
    </w:p>
    <w:p>
      <w:pPr>
        <w:pStyle w:val="4"/>
        <w:adjustRightInd w:val="0"/>
        <w:snapToGrid w:val="0"/>
        <w:spacing w:line="590" w:lineRule="exact"/>
        <w:ind w:firstLine="643"/>
      </w:pPr>
      <w:bookmarkStart w:id="16" w:name="_Toc26546"/>
      <w:r>
        <w:t>7.1.3</w:t>
      </w:r>
      <w:r>
        <w:rPr>
          <w:rFonts w:hint="eastAsia"/>
        </w:rPr>
        <w:t>加强工业污染源排放情况监管</w:t>
      </w:r>
      <w:bookmarkEnd w:id="16"/>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全面排查工业污染源超标排放、偷排偷放等问题，重点排污单位全部安装自动在线监测设备并同生态环境主管部门联网，依法公开排污信息。根据区域污染排放特点与环境质量改善要求，逐步实现所有工业污染源纳入在线监测范围，及时发现超标排放行为。深化网格化监管制度，将监管责任落实到具体责任人，全面落实</w:t>
      </w:r>
      <w:r>
        <w:rPr>
          <w:rFonts w:eastAsia="仿宋_GB2312" w:cs="Times New Roman"/>
          <w:sz w:val="32"/>
          <w:szCs w:val="32"/>
        </w:rPr>
        <w:t>“</w:t>
      </w:r>
      <w:r>
        <w:rPr>
          <w:rFonts w:hint="eastAsia" w:eastAsia="仿宋_GB2312" w:cs="Times New Roman"/>
          <w:sz w:val="32"/>
          <w:szCs w:val="32"/>
        </w:rPr>
        <w:t>双随机</w:t>
      </w:r>
      <w:r>
        <w:rPr>
          <w:rFonts w:eastAsia="仿宋_GB2312" w:cs="Times New Roman"/>
          <w:sz w:val="32"/>
          <w:szCs w:val="32"/>
        </w:rPr>
        <w:t>”</w:t>
      </w:r>
      <w:r>
        <w:rPr>
          <w:rFonts w:hint="eastAsia" w:eastAsia="仿宋_GB2312" w:cs="Times New Roman"/>
          <w:sz w:val="32"/>
          <w:szCs w:val="32"/>
        </w:rPr>
        <w:t>制度，加强日常环境执法工作。</w:t>
      </w:r>
    </w:p>
    <w:p>
      <w:pPr>
        <w:pStyle w:val="3"/>
        <w:adjustRightInd w:val="0"/>
        <w:snapToGrid w:val="0"/>
        <w:spacing w:line="590" w:lineRule="exact"/>
        <w:ind w:firstLine="643"/>
        <w:rPr>
          <w:rFonts w:eastAsia="楷体_GB2312"/>
        </w:rPr>
      </w:pPr>
      <w:bookmarkStart w:id="17" w:name="_Toc458440246"/>
      <w:bookmarkStart w:id="18" w:name="_Toc18707"/>
      <w:r>
        <w:rPr>
          <w:rFonts w:eastAsia="楷体_GB2312"/>
        </w:rPr>
        <w:t>7.2</w:t>
      </w:r>
      <w:bookmarkEnd w:id="17"/>
      <w:r>
        <w:rPr>
          <w:rFonts w:hint="eastAsia" w:eastAsia="楷体_GB2312"/>
        </w:rPr>
        <w:t>夯实城镇生活源治理</w:t>
      </w:r>
      <w:bookmarkEnd w:id="18"/>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推进文安城区污水处理厂新建和管网扩建。为进一步完善文安县城区污水处理系统，以文安城区排水一体化</w:t>
      </w:r>
      <w:r>
        <w:rPr>
          <w:rFonts w:eastAsia="仿宋_GB2312" w:cs="Times New Roman"/>
          <w:sz w:val="32"/>
          <w:szCs w:val="32"/>
        </w:rPr>
        <w:t>PPP</w:t>
      </w:r>
      <w:r>
        <w:rPr>
          <w:rFonts w:hint="eastAsia" w:eastAsia="仿宋_GB2312" w:cs="Times New Roman"/>
          <w:sz w:val="32"/>
          <w:szCs w:val="32"/>
        </w:rPr>
        <w:t>项目为依托，</w:t>
      </w:r>
      <w:r>
        <w:rPr>
          <w:rFonts w:eastAsia="仿宋_GB2312" w:cs="Times New Roman"/>
          <w:sz w:val="32"/>
          <w:szCs w:val="32"/>
        </w:rPr>
        <w:t>2019</w:t>
      </w:r>
      <w:r>
        <w:rPr>
          <w:rFonts w:hint="eastAsia" w:eastAsia="仿宋_GB2312" w:cs="Times New Roman"/>
          <w:sz w:val="32"/>
          <w:szCs w:val="32"/>
        </w:rPr>
        <w:t>年，新建日处理</w:t>
      </w:r>
      <w:r>
        <w:rPr>
          <w:rFonts w:eastAsia="仿宋_GB2312" w:cs="Times New Roman"/>
          <w:sz w:val="32"/>
          <w:szCs w:val="32"/>
        </w:rPr>
        <w:t>2</w:t>
      </w:r>
      <w:r>
        <w:rPr>
          <w:rFonts w:hint="eastAsia" w:eastAsia="仿宋_GB2312" w:cs="Times New Roman"/>
          <w:sz w:val="32"/>
          <w:szCs w:val="32"/>
        </w:rPr>
        <w:t>万吨的第二污水处理厂，出水标准执行《大清河流域水污染物排放标准》（</w:t>
      </w:r>
      <w:r>
        <w:rPr>
          <w:rFonts w:eastAsia="仿宋_GB2312" w:cs="Times New Roman"/>
          <w:sz w:val="32"/>
          <w:szCs w:val="32"/>
        </w:rPr>
        <w:t>DB13/2795</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）一般控制区排放限值。对县城区雨水泵站进行扩建，对雨污管网进行改造，整体工程预计</w:t>
      </w:r>
      <w:r>
        <w:rPr>
          <w:rFonts w:eastAsia="仿宋_GB2312" w:cs="Times New Roman"/>
          <w:sz w:val="32"/>
          <w:szCs w:val="32"/>
        </w:rPr>
        <w:t>2020</w:t>
      </w:r>
      <w:r>
        <w:rPr>
          <w:rFonts w:hint="eastAsia" w:eastAsia="仿宋_GB2312" w:cs="Times New Roman"/>
          <w:sz w:val="32"/>
          <w:szCs w:val="32"/>
        </w:rPr>
        <w:t>年底完成。</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根据《大清河流域水污染物排放标准》要求，流域内新（改、扩）建排污单位向环境水体直接排放污水的五项水污染物排放均执行一般控制区排放限值（见下表）；自</w:t>
      </w:r>
      <w:r>
        <w:rPr>
          <w:rFonts w:eastAsia="仿宋_GB2312" w:cs="Times New Roman"/>
          <w:sz w:val="32"/>
          <w:szCs w:val="32"/>
        </w:rPr>
        <w:t>2021</w:t>
      </w:r>
      <w:r>
        <w:rPr>
          <w:rFonts w:hint="eastAsia" w:eastAsia="仿宋_GB2312" w:cs="Times New Roman"/>
          <w:sz w:val="32"/>
          <w:szCs w:val="32"/>
        </w:rPr>
        <w:t>年</w:t>
      </w:r>
      <w:r>
        <w:rPr>
          <w:rFonts w:eastAsia="仿宋_GB2312" w:cs="Times New Roman"/>
          <w:sz w:val="32"/>
          <w:szCs w:val="32"/>
        </w:rPr>
        <w:t>1</w:t>
      </w:r>
      <w:r>
        <w:rPr>
          <w:rFonts w:hint="eastAsia" w:eastAsia="仿宋_GB2312" w:cs="Times New Roman"/>
          <w:sz w:val="32"/>
          <w:szCs w:val="32"/>
        </w:rPr>
        <w:t>月</w:t>
      </w:r>
      <w:r>
        <w:rPr>
          <w:rFonts w:eastAsia="仿宋_GB2312" w:cs="Times New Roman"/>
          <w:sz w:val="32"/>
          <w:szCs w:val="32"/>
        </w:rPr>
        <w:t>1</w:t>
      </w:r>
      <w:r>
        <w:rPr>
          <w:rFonts w:hint="eastAsia" w:eastAsia="仿宋_GB2312" w:cs="Times New Roman"/>
          <w:sz w:val="32"/>
          <w:szCs w:val="32"/>
        </w:rPr>
        <w:t>日起，现有排污单位的五项水污染物排放限值也按照下表限值规定执行。</w:t>
      </w:r>
    </w:p>
    <w:p>
      <w:pPr>
        <w:pStyle w:val="5"/>
        <w:spacing w:before="221" w:beforeLines="50" w:after="221"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7</w:t>
      </w:r>
      <w:r>
        <w:rPr>
          <w:rFonts w:hint="eastAsia" w:ascii="Times New Roman" w:hAnsi="Times New Roman"/>
          <w:bCs/>
          <w:sz w:val="32"/>
          <w:szCs w:val="32"/>
        </w:rPr>
        <w:t>-</w:t>
      </w:r>
      <w:r>
        <w:rPr>
          <w:rFonts w:ascii="Times New Roman" w:hAnsi="Times New Roman"/>
          <w:bCs/>
          <w:sz w:val="32"/>
          <w:szCs w:val="32"/>
        </w:rPr>
        <w:t xml:space="preserve">1  </w:t>
      </w:r>
      <w:r>
        <w:rPr>
          <w:rFonts w:hint="eastAsia" w:ascii="Times New Roman" w:hAnsi="Times New Roman"/>
          <w:bCs/>
          <w:sz w:val="32"/>
          <w:szCs w:val="32"/>
        </w:rPr>
        <w:t>大清河流域水污染物排放标准（</w:t>
      </w:r>
      <w:r>
        <w:rPr>
          <w:rFonts w:ascii="Times New Roman" w:hAnsi="Times New Roman"/>
          <w:bCs/>
          <w:sz w:val="32"/>
          <w:szCs w:val="32"/>
        </w:rPr>
        <w:t>mg/L</w:t>
      </w:r>
      <w:r>
        <w:rPr>
          <w:rFonts w:hint="eastAsia" w:ascii="Times New Roman" w:hAnsi="Times New Roman"/>
          <w:bCs/>
          <w:sz w:val="32"/>
          <w:szCs w:val="32"/>
        </w:rPr>
        <w:t>）</w:t>
      </w:r>
    </w:p>
    <w:tbl>
      <w:tblPr>
        <w:tblStyle w:val="10"/>
        <w:tblW w:w="86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8"/>
        <w:gridCol w:w="1424"/>
        <w:gridCol w:w="1646"/>
        <w:gridCol w:w="1523"/>
        <w:gridCol w:w="1387"/>
        <w:gridCol w:w="1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36" w:hRule="atLeast"/>
          <w:tblHeader/>
          <w:jc w:val="center"/>
        </w:trPr>
        <w:tc>
          <w:tcPr>
            <w:tcW w:w="1468"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控制项目</w:t>
            </w:r>
          </w:p>
        </w:tc>
        <w:tc>
          <w:tcPr>
            <w:tcW w:w="1424"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化学需氧量</w:t>
            </w:r>
          </w:p>
          <w:p>
            <w:pPr>
              <w:spacing w:line="240" w:lineRule="auto"/>
              <w:ind w:firstLine="0" w:firstLineChars="0"/>
              <w:jc w:val="center"/>
              <w:rPr>
                <w:rFonts w:eastAsia="仿宋_GB2312" w:cs="Times New Roman"/>
                <w:b/>
                <w:sz w:val="21"/>
                <w:szCs w:val="28"/>
              </w:rPr>
            </w:pPr>
            <w:r>
              <w:rPr>
                <w:rFonts w:eastAsia="仿宋_GB2312" w:cs="Times New Roman"/>
                <w:b/>
                <w:sz w:val="21"/>
                <w:szCs w:val="28"/>
              </w:rPr>
              <w:t>（COD）</w:t>
            </w:r>
          </w:p>
        </w:tc>
        <w:tc>
          <w:tcPr>
            <w:tcW w:w="1646"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五日生化需氧量（BOD</w:t>
            </w:r>
            <w:r>
              <w:rPr>
                <w:rFonts w:eastAsia="仿宋_GB2312" w:cs="Times New Roman"/>
                <w:b/>
                <w:sz w:val="21"/>
                <w:szCs w:val="28"/>
                <w:vertAlign w:val="subscript"/>
              </w:rPr>
              <w:t>5</w:t>
            </w:r>
            <w:r>
              <w:rPr>
                <w:rFonts w:eastAsia="仿宋_GB2312" w:cs="Times New Roman"/>
                <w:b/>
                <w:sz w:val="21"/>
                <w:szCs w:val="28"/>
              </w:rPr>
              <w:t>）</w:t>
            </w:r>
          </w:p>
        </w:tc>
        <w:tc>
          <w:tcPr>
            <w:tcW w:w="1523"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氨氮（NH</w:t>
            </w:r>
            <w:r>
              <w:rPr>
                <w:rFonts w:eastAsia="仿宋_GB2312" w:cs="Times New Roman"/>
                <w:b/>
                <w:sz w:val="21"/>
                <w:szCs w:val="28"/>
                <w:vertAlign w:val="subscript"/>
              </w:rPr>
              <w:t>3</w:t>
            </w:r>
            <w:r>
              <w:rPr>
                <w:rFonts w:eastAsia="仿宋_GB2312" w:cs="Times New Roman"/>
                <w:b/>
                <w:sz w:val="21"/>
                <w:szCs w:val="28"/>
              </w:rPr>
              <w:t>-N）</w:t>
            </w:r>
          </w:p>
        </w:tc>
        <w:tc>
          <w:tcPr>
            <w:tcW w:w="1387"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总氮</w:t>
            </w:r>
          </w:p>
          <w:p>
            <w:pPr>
              <w:spacing w:line="240" w:lineRule="auto"/>
              <w:ind w:firstLine="0" w:firstLineChars="0"/>
              <w:jc w:val="center"/>
              <w:rPr>
                <w:rFonts w:eastAsia="仿宋_GB2312" w:cs="Times New Roman"/>
                <w:b/>
                <w:sz w:val="21"/>
                <w:szCs w:val="28"/>
              </w:rPr>
            </w:pPr>
            <w:r>
              <w:rPr>
                <w:rFonts w:eastAsia="仿宋_GB2312" w:cs="Times New Roman"/>
                <w:b/>
                <w:sz w:val="21"/>
                <w:szCs w:val="28"/>
              </w:rPr>
              <w:t>（以N计）</w:t>
            </w:r>
          </w:p>
        </w:tc>
        <w:tc>
          <w:tcPr>
            <w:tcW w:w="1172" w:type="dxa"/>
            <w:vAlign w:val="center"/>
          </w:tcPr>
          <w:p>
            <w:pPr>
              <w:spacing w:line="240" w:lineRule="auto"/>
              <w:ind w:firstLine="0" w:firstLineChars="0"/>
              <w:jc w:val="center"/>
              <w:rPr>
                <w:rFonts w:eastAsia="仿宋_GB2312" w:cs="Times New Roman"/>
                <w:b/>
                <w:sz w:val="21"/>
                <w:szCs w:val="28"/>
              </w:rPr>
            </w:pPr>
            <w:r>
              <w:rPr>
                <w:rFonts w:eastAsia="仿宋_GB2312" w:cs="Times New Roman"/>
                <w:b/>
                <w:sz w:val="21"/>
                <w:szCs w:val="28"/>
              </w:rPr>
              <w:t>总磷</w:t>
            </w:r>
          </w:p>
          <w:p>
            <w:pPr>
              <w:spacing w:line="240" w:lineRule="auto"/>
              <w:ind w:firstLine="0" w:firstLineChars="0"/>
              <w:jc w:val="center"/>
              <w:rPr>
                <w:rFonts w:eastAsia="仿宋_GB2312" w:cs="Times New Roman"/>
                <w:b/>
                <w:sz w:val="21"/>
                <w:szCs w:val="28"/>
              </w:rPr>
            </w:pPr>
            <w:r>
              <w:rPr>
                <w:rFonts w:eastAsia="仿宋_GB2312" w:cs="Times New Roman"/>
                <w:b/>
                <w:sz w:val="21"/>
                <w:szCs w:val="28"/>
              </w:rPr>
              <w:t>（以P计）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80" w:hRule="atLeast"/>
          <w:jc w:val="center"/>
        </w:trPr>
        <w:tc>
          <w:tcPr>
            <w:tcW w:w="1468"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一般控制区排放限值</w:t>
            </w:r>
          </w:p>
        </w:tc>
        <w:tc>
          <w:tcPr>
            <w:tcW w:w="1424"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40</w:t>
            </w:r>
          </w:p>
        </w:tc>
        <w:tc>
          <w:tcPr>
            <w:tcW w:w="1646"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10</w:t>
            </w:r>
          </w:p>
        </w:tc>
        <w:tc>
          <w:tcPr>
            <w:tcW w:w="1523"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2.0（3.5）</w:t>
            </w:r>
          </w:p>
        </w:tc>
        <w:tc>
          <w:tcPr>
            <w:tcW w:w="1387"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15</w:t>
            </w:r>
          </w:p>
        </w:tc>
        <w:tc>
          <w:tcPr>
            <w:tcW w:w="1172" w:type="dxa"/>
            <w:vAlign w:val="center"/>
          </w:tcPr>
          <w:p>
            <w:pPr>
              <w:spacing w:line="240" w:lineRule="auto"/>
              <w:ind w:firstLine="0" w:firstLineChars="0"/>
              <w:jc w:val="center"/>
              <w:rPr>
                <w:rFonts w:eastAsia="仿宋_GB2312" w:cs="Times New Roman"/>
                <w:sz w:val="21"/>
                <w:szCs w:val="28"/>
              </w:rPr>
            </w:pPr>
            <w:r>
              <w:rPr>
                <w:rFonts w:eastAsia="仿宋_GB2312" w:cs="Times New Roman"/>
                <w:sz w:val="21"/>
                <w:szCs w:val="28"/>
              </w:rPr>
              <w:t>0.4</w:t>
            </w:r>
          </w:p>
        </w:tc>
      </w:tr>
    </w:tbl>
    <w:p>
      <w:pPr>
        <w:pStyle w:val="3"/>
        <w:spacing w:line="590" w:lineRule="exact"/>
        <w:ind w:firstLine="643"/>
        <w:rPr>
          <w:rFonts w:eastAsia="楷体_GB2312"/>
          <w:szCs w:val="28"/>
        </w:rPr>
      </w:pPr>
      <w:bookmarkStart w:id="19" w:name="_Toc458440251"/>
      <w:bookmarkStart w:id="20" w:name="_Toc31392"/>
      <w:bookmarkStart w:id="21" w:name="_Toc448913025"/>
      <w:r>
        <w:rPr>
          <w:rFonts w:eastAsia="楷体_GB2312"/>
          <w:szCs w:val="28"/>
        </w:rPr>
        <w:t xml:space="preserve">7.3 </w:t>
      </w:r>
      <w:r>
        <w:rPr>
          <w:rFonts w:hint="eastAsia" w:eastAsia="楷体_GB2312"/>
          <w:szCs w:val="28"/>
        </w:rPr>
        <w:t>分步推进农村生活</w:t>
      </w:r>
      <w:bookmarkEnd w:id="19"/>
      <w:r>
        <w:rPr>
          <w:rFonts w:hint="eastAsia" w:eastAsia="楷体_GB2312"/>
          <w:szCs w:val="28"/>
        </w:rPr>
        <w:t>污水治理</w:t>
      </w:r>
      <w:bookmarkEnd w:id="20"/>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着重选择大清河流域污染严重河段的沿河村庄，对排污村庄进行治污，合理进行选址治污。结合辖区村庄布局、环境敏感区域分布、周边水体水质等状况，以治理农村生活污水、垃圾为重点，因地制宜选择经济实用、维护简便的生活污水处理设施，来重点推进中亭河、大清河沿岸周边村庄污水集中处理。</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根据村庄生活污染治理对大清河水质改善的影响程度，采取适宜模式收集和处理农村生活污水，强化环境卫生整治，提升农村生活污水治理水平。</w:t>
      </w:r>
    </w:p>
    <w:bookmarkEnd w:id="21"/>
    <w:p>
      <w:pPr>
        <w:pStyle w:val="4"/>
        <w:spacing w:line="590" w:lineRule="exact"/>
        <w:ind w:firstLine="643"/>
        <w:rPr>
          <w:szCs w:val="28"/>
        </w:rPr>
      </w:pPr>
      <w:bookmarkStart w:id="22" w:name="_Toc12764"/>
      <w:r>
        <w:rPr>
          <w:szCs w:val="28"/>
        </w:rPr>
        <w:t>7.3.1</w:t>
      </w:r>
      <w:r>
        <w:rPr>
          <w:rFonts w:hint="eastAsia"/>
          <w:szCs w:val="28"/>
        </w:rPr>
        <w:t>治理方案</w:t>
      </w:r>
      <w:bookmarkEnd w:id="22"/>
    </w:p>
    <w:p>
      <w:pPr>
        <w:adjustRightInd w:val="0"/>
        <w:snapToGrid w:val="0"/>
        <w:spacing w:line="590" w:lineRule="exact"/>
        <w:ind w:firstLine="643"/>
        <w:rPr>
          <w:rFonts w:eastAsia="仿宋_GB2312" w:cs="Times New Roman"/>
          <w:b/>
          <w:sz w:val="32"/>
          <w:szCs w:val="32"/>
        </w:rPr>
      </w:pPr>
      <w:r>
        <w:rPr>
          <w:rFonts w:hint="eastAsia" w:eastAsia="仿宋_GB2312" w:cs="Times New Roman"/>
          <w:b/>
          <w:sz w:val="32"/>
          <w:szCs w:val="32"/>
        </w:rPr>
        <w:t>（</w:t>
      </w:r>
      <w:r>
        <w:rPr>
          <w:rFonts w:eastAsia="仿宋_GB2312" w:cs="Times New Roman"/>
          <w:b/>
          <w:sz w:val="32"/>
          <w:szCs w:val="32"/>
        </w:rPr>
        <w:t>1</w:t>
      </w:r>
      <w:r>
        <w:rPr>
          <w:rFonts w:hint="eastAsia" w:eastAsia="仿宋_GB2312" w:cs="Times New Roman"/>
          <w:b/>
          <w:sz w:val="32"/>
          <w:szCs w:val="32"/>
        </w:rPr>
        <w:t>）霸州市</w:t>
      </w:r>
    </w:p>
    <w:p>
      <w:pPr>
        <w:adjustRightInd w:val="0"/>
        <w:snapToGrid w:val="0"/>
        <w:spacing w:line="590" w:lineRule="exact"/>
        <w:ind w:firstLine="640"/>
        <w:rPr>
          <w:b/>
          <w:szCs w:val="28"/>
        </w:rPr>
      </w:pPr>
      <w:r>
        <w:rPr>
          <w:rFonts w:hint="eastAsia" w:eastAsia="仿宋_GB2312" w:cs="Times New Roman"/>
          <w:sz w:val="32"/>
          <w:szCs w:val="32"/>
        </w:rPr>
        <w:t>中亭河流域内沿河村庄王庄子村、王泊村等村庄居民居住集中，片区内已有部分管网，拟采用铺设管网，在村庄建设污水处理站的方式开展生活污水治理，新增农村污水处理能力</w:t>
      </w:r>
      <w:r>
        <w:rPr>
          <w:rFonts w:eastAsia="仿宋_GB2312" w:cs="Times New Roman"/>
          <w:sz w:val="32"/>
          <w:szCs w:val="32"/>
        </w:rPr>
        <w:t>1600</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日。</w:t>
      </w:r>
    </w:p>
    <w:p>
      <w:pPr>
        <w:pStyle w:val="5"/>
        <w:spacing w:before="221" w:beforeLines="50" w:after="221"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7</w:t>
      </w:r>
      <w:r>
        <w:rPr>
          <w:rFonts w:hint="eastAsia" w:ascii="Times New Roman" w:hAnsi="Times New Roman"/>
          <w:bCs/>
          <w:sz w:val="32"/>
          <w:szCs w:val="32"/>
        </w:rPr>
        <w:t>-</w:t>
      </w:r>
      <w:r>
        <w:rPr>
          <w:rFonts w:ascii="Times New Roman" w:hAnsi="Times New Roman"/>
          <w:bCs/>
          <w:sz w:val="32"/>
          <w:szCs w:val="32"/>
        </w:rPr>
        <w:t xml:space="preserve">2  </w:t>
      </w:r>
      <w:r>
        <w:rPr>
          <w:rFonts w:hint="eastAsia" w:ascii="Times New Roman" w:hAnsi="Times New Roman"/>
          <w:bCs/>
          <w:sz w:val="32"/>
          <w:szCs w:val="32"/>
        </w:rPr>
        <w:t>农村生活污水设施建设信息</w:t>
      </w:r>
    </w:p>
    <w:tbl>
      <w:tblPr>
        <w:tblStyle w:val="10"/>
        <w:tblW w:w="87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2"/>
        <w:gridCol w:w="4713"/>
        <w:gridCol w:w="2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7" w:hRule="atLeast"/>
          <w:tblHeader/>
          <w:jc w:val="center"/>
        </w:trPr>
        <w:tc>
          <w:tcPr>
            <w:tcW w:w="1792" w:type="dxa"/>
            <w:vAlign w:val="center"/>
          </w:tcPr>
          <w:p>
            <w:pPr>
              <w:pStyle w:val="11"/>
              <w:spacing w:line="240" w:lineRule="auto"/>
              <w:rPr>
                <w:rFonts w:eastAsia="仿宋_GB2312"/>
                <w:b/>
                <w:bCs/>
                <w:szCs w:val="28"/>
              </w:rPr>
            </w:pPr>
            <w:r>
              <w:rPr>
                <w:rFonts w:hint="eastAsia" w:eastAsia="仿宋_GB2312"/>
                <w:b/>
                <w:bCs/>
                <w:szCs w:val="28"/>
              </w:rPr>
              <w:t>村名</w:t>
            </w:r>
          </w:p>
        </w:tc>
        <w:tc>
          <w:tcPr>
            <w:tcW w:w="4713" w:type="dxa"/>
            <w:vAlign w:val="center"/>
          </w:tcPr>
          <w:p>
            <w:pPr>
              <w:pStyle w:val="11"/>
              <w:spacing w:line="240" w:lineRule="auto"/>
              <w:rPr>
                <w:rFonts w:eastAsia="仿宋_GB2312"/>
                <w:b/>
                <w:bCs/>
                <w:szCs w:val="28"/>
              </w:rPr>
            </w:pPr>
            <w:r>
              <w:rPr>
                <w:rFonts w:hint="eastAsia" w:eastAsia="仿宋_GB2312"/>
                <w:b/>
                <w:bCs/>
                <w:szCs w:val="28"/>
              </w:rPr>
              <w:t>建设内容</w:t>
            </w:r>
          </w:p>
        </w:tc>
        <w:tc>
          <w:tcPr>
            <w:tcW w:w="2275" w:type="dxa"/>
            <w:vAlign w:val="center"/>
          </w:tcPr>
          <w:p>
            <w:pPr>
              <w:pStyle w:val="11"/>
              <w:spacing w:line="240" w:lineRule="auto"/>
              <w:rPr>
                <w:rFonts w:eastAsia="仿宋_GB2312"/>
                <w:b/>
                <w:bCs/>
                <w:szCs w:val="28"/>
              </w:rPr>
            </w:pPr>
            <w:r>
              <w:rPr>
                <w:rFonts w:hint="eastAsia" w:eastAsia="仿宋_GB2312"/>
                <w:b/>
                <w:bCs/>
                <w:szCs w:val="28"/>
              </w:rPr>
              <w:t>出水标准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4" w:hRule="atLeast"/>
          <w:jc w:val="center"/>
        </w:trPr>
        <w:tc>
          <w:tcPr>
            <w:tcW w:w="1792" w:type="dxa"/>
            <w:vAlign w:val="center"/>
          </w:tcPr>
          <w:p>
            <w:pPr>
              <w:pStyle w:val="11"/>
              <w:spacing w:line="360" w:lineRule="exact"/>
              <w:rPr>
                <w:rFonts w:eastAsia="仿宋_GB2312"/>
                <w:szCs w:val="28"/>
              </w:rPr>
            </w:pPr>
            <w:r>
              <w:rPr>
                <w:rFonts w:hint="eastAsia" w:eastAsia="仿宋_GB2312"/>
                <w:szCs w:val="28"/>
              </w:rPr>
              <w:t>王庄子乡</w:t>
            </w:r>
          </w:p>
          <w:p>
            <w:pPr>
              <w:pStyle w:val="11"/>
              <w:spacing w:line="360" w:lineRule="exact"/>
              <w:rPr>
                <w:rFonts w:eastAsia="仿宋_GB2312"/>
                <w:szCs w:val="28"/>
              </w:rPr>
            </w:pPr>
            <w:r>
              <w:rPr>
                <w:rFonts w:hint="eastAsia" w:eastAsia="仿宋_GB2312"/>
                <w:szCs w:val="28"/>
              </w:rPr>
              <w:t>王庄子村</w:t>
            </w:r>
          </w:p>
        </w:tc>
        <w:tc>
          <w:tcPr>
            <w:tcW w:w="4713" w:type="dxa"/>
            <w:vAlign w:val="center"/>
          </w:tcPr>
          <w:p>
            <w:pPr>
              <w:pStyle w:val="11"/>
              <w:spacing w:line="360" w:lineRule="exact"/>
              <w:jc w:val="both"/>
              <w:rPr>
                <w:rFonts w:eastAsia="仿宋_GB2312"/>
                <w:szCs w:val="28"/>
              </w:rPr>
            </w:pPr>
            <w:r>
              <w:rPr>
                <w:rFonts w:hint="eastAsia" w:eastAsia="仿宋_GB2312"/>
                <w:szCs w:val="28"/>
              </w:rPr>
              <w:t>新建日处理能力</w:t>
            </w:r>
            <w:r>
              <w:rPr>
                <w:rFonts w:eastAsia="仿宋_GB2312"/>
                <w:szCs w:val="28"/>
              </w:rPr>
              <w:t>800</w:t>
            </w:r>
            <w:r>
              <w:rPr>
                <w:rFonts w:hint="eastAsia" w:eastAsia="仿宋_GB2312"/>
                <w:szCs w:val="28"/>
              </w:rPr>
              <w:t>吨生活污水处理设施，处理王庄子村生活污水</w:t>
            </w:r>
          </w:p>
        </w:tc>
        <w:tc>
          <w:tcPr>
            <w:tcW w:w="2275" w:type="dxa"/>
            <w:vMerge w:val="restart"/>
            <w:vAlign w:val="center"/>
          </w:tcPr>
          <w:p>
            <w:pPr>
              <w:pStyle w:val="11"/>
              <w:spacing w:line="240" w:lineRule="auto"/>
              <w:rPr>
                <w:rFonts w:eastAsia="仿宋_GB2312"/>
                <w:szCs w:val="28"/>
              </w:rPr>
            </w:pPr>
            <w:r>
              <w:rPr>
                <w:rFonts w:hint="eastAsia" w:eastAsia="仿宋_GB2312"/>
                <w:szCs w:val="28"/>
              </w:rPr>
              <w:t>《大清河流域水污染物排放标准》（</w:t>
            </w:r>
            <w:r>
              <w:rPr>
                <w:rFonts w:eastAsia="仿宋_GB2312"/>
                <w:szCs w:val="28"/>
              </w:rPr>
              <w:t>DB13/2795—2018</w:t>
            </w:r>
            <w:r>
              <w:rPr>
                <w:rFonts w:hint="eastAsia" w:eastAsia="仿宋_GB231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6" w:hRule="atLeast"/>
          <w:jc w:val="center"/>
        </w:trPr>
        <w:tc>
          <w:tcPr>
            <w:tcW w:w="1792" w:type="dxa"/>
            <w:vAlign w:val="center"/>
          </w:tcPr>
          <w:p>
            <w:pPr>
              <w:pStyle w:val="11"/>
              <w:spacing w:line="360" w:lineRule="exact"/>
              <w:rPr>
                <w:rFonts w:eastAsia="仿宋_GB2312"/>
                <w:szCs w:val="28"/>
              </w:rPr>
            </w:pPr>
            <w:r>
              <w:rPr>
                <w:rFonts w:hint="eastAsia" w:eastAsia="仿宋_GB2312"/>
                <w:szCs w:val="28"/>
              </w:rPr>
              <w:t>王庄子乡王泊村</w:t>
            </w:r>
          </w:p>
        </w:tc>
        <w:tc>
          <w:tcPr>
            <w:tcW w:w="4713" w:type="dxa"/>
            <w:vAlign w:val="center"/>
          </w:tcPr>
          <w:p>
            <w:pPr>
              <w:pStyle w:val="11"/>
              <w:spacing w:line="360" w:lineRule="exact"/>
              <w:jc w:val="both"/>
              <w:rPr>
                <w:rFonts w:eastAsia="仿宋_GB2312"/>
                <w:szCs w:val="28"/>
              </w:rPr>
            </w:pPr>
            <w:r>
              <w:rPr>
                <w:rFonts w:hint="eastAsia" w:eastAsia="仿宋_GB2312"/>
                <w:szCs w:val="28"/>
              </w:rPr>
              <w:t>新建日处理能力</w:t>
            </w:r>
            <w:r>
              <w:rPr>
                <w:rFonts w:eastAsia="仿宋_GB2312"/>
                <w:szCs w:val="28"/>
              </w:rPr>
              <w:t>800</w:t>
            </w:r>
            <w:r>
              <w:rPr>
                <w:rFonts w:hint="eastAsia" w:eastAsia="仿宋_GB2312"/>
                <w:szCs w:val="28"/>
              </w:rPr>
              <w:t>吨污水处理设施，解决石沟干渠沿岸生活污染问题</w:t>
            </w:r>
          </w:p>
        </w:tc>
        <w:tc>
          <w:tcPr>
            <w:tcW w:w="2275" w:type="dxa"/>
            <w:vMerge w:val="continue"/>
            <w:vAlign w:val="center"/>
          </w:tcPr>
          <w:p>
            <w:pPr>
              <w:pStyle w:val="11"/>
              <w:spacing w:line="240" w:lineRule="auto"/>
              <w:rPr>
                <w:rFonts w:eastAsia="仿宋_GB2312"/>
                <w:szCs w:val="28"/>
              </w:rPr>
            </w:pPr>
          </w:p>
        </w:tc>
      </w:tr>
    </w:tbl>
    <w:p>
      <w:pPr>
        <w:adjustRightInd w:val="0"/>
        <w:snapToGrid w:val="0"/>
        <w:spacing w:before="132" w:beforeLines="30" w:line="590" w:lineRule="exact"/>
        <w:ind w:firstLine="643"/>
        <w:rPr>
          <w:rFonts w:eastAsia="仿宋_GB2312" w:cs="Times New Roman"/>
          <w:b/>
          <w:sz w:val="32"/>
          <w:szCs w:val="32"/>
        </w:rPr>
      </w:pPr>
      <w:r>
        <w:rPr>
          <w:rFonts w:hint="eastAsia" w:eastAsia="仿宋_GB2312" w:cs="Times New Roman"/>
          <w:b/>
          <w:sz w:val="32"/>
          <w:szCs w:val="32"/>
        </w:rPr>
        <w:t>（</w:t>
      </w:r>
      <w:r>
        <w:rPr>
          <w:rFonts w:eastAsia="仿宋_GB2312" w:cs="Times New Roman"/>
          <w:b/>
          <w:sz w:val="32"/>
          <w:szCs w:val="32"/>
        </w:rPr>
        <w:t>2</w:t>
      </w:r>
      <w:r>
        <w:rPr>
          <w:rFonts w:hint="eastAsia" w:eastAsia="仿宋_GB2312" w:cs="Times New Roman"/>
          <w:b/>
          <w:sz w:val="32"/>
          <w:szCs w:val="32"/>
        </w:rPr>
        <w:t>）文安县</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根据《河北省农村生活污水治理行动计划》（冀水领办〔</w:t>
      </w:r>
      <w:r>
        <w:rPr>
          <w:rFonts w:eastAsia="仿宋_GB2312" w:cs="Times New Roman"/>
          <w:sz w:val="32"/>
          <w:szCs w:val="32"/>
        </w:rPr>
        <w:t>2019</w:t>
      </w: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号）要求，文安县大清河沿线村庄为</w:t>
      </w:r>
      <w:r>
        <w:rPr>
          <w:rFonts w:eastAsia="仿宋_GB2312" w:cs="Times New Roman"/>
          <w:sz w:val="32"/>
          <w:szCs w:val="32"/>
        </w:rPr>
        <w:t>28</w:t>
      </w:r>
      <w:r>
        <w:rPr>
          <w:rFonts w:hint="eastAsia" w:eastAsia="仿宋_GB2312" w:cs="Times New Roman"/>
          <w:sz w:val="32"/>
          <w:szCs w:val="32"/>
        </w:rPr>
        <w:t>个村，设立省级河长制赵王新河责任范围内的村庄为</w:t>
      </w:r>
      <w:r>
        <w:rPr>
          <w:rFonts w:eastAsia="仿宋_GB2312" w:cs="Times New Roman"/>
          <w:sz w:val="32"/>
          <w:szCs w:val="32"/>
        </w:rPr>
        <w:t>48</w:t>
      </w:r>
      <w:r>
        <w:rPr>
          <w:rFonts w:hint="eastAsia" w:eastAsia="仿宋_GB2312" w:cs="Times New Roman"/>
          <w:sz w:val="32"/>
          <w:szCs w:val="32"/>
        </w:rPr>
        <w:t>个。沿河村庄共计</w:t>
      </w:r>
      <w:r>
        <w:rPr>
          <w:rFonts w:eastAsia="仿宋_GB2312" w:cs="Times New Roman"/>
          <w:sz w:val="32"/>
          <w:szCs w:val="32"/>
        </w:rPr>
        <w:t>76</w:t>
      </w:r>
      <w:r>
        <w:rPr>
          <w:rFonts w:hint="eastAsia" w:eastAsia="仿宋_GB2312" w:cs="Times New Roman"/>
          <w:sz w:val="32"/>
          <w:szCs w:val="32"/>
        </w:rPr>
        <w:t>个，其中</w:t>
      </w:r>
      <w:r>
        <w:rPr>
          <w:rFonts w:eastAsia="仿宋_GB2312" w:cs="Times New Roman"/>
          <w:sz w:val="32"/>
          <w:szCs w:val="32"/>
        </w:rPr>
        <w:t>16</w:t>
      </w:r>
      <w:r>
        <w:rPr>
          <w:rFonts w:hint="eastAsia" w:eastAsia="仿宋_GB2312" w:cs="Times New Roman"/>
          <w:sz w:val="32"/>
          <w:szCs w:val="32"/>
        </w:rPr>
        <w:t>个村庄已纳入现有城镇污水处理厂收集处理，剩余</w:t>
      </w:r>
      <w:r>
        <w:rPr>
          <w:rFonts w:eastAsia="仿宋_GB2312" w:cs="Times New Roman"/>
          <w:sz w:val="32"/>
          <w:szCs w:val="32"/>
        </w:rPr>
        <w:t>60</w:t>
      </w:r>
      <w:r>
        <w:rPr>
          <w:rFonts w:hint="eastAsia" w:eastAsia="仿宋_GB2312" w:cs="Times New Roman"/>
          <w:sz w:val="32"/>
          <w:szCs w:val="32"/>
        </w:rPr>
        <w:t>个村有计划采取分类实施的办法，其中</w:t>
      </w:r>
      <w:r>
        <w:rPr>
          <w:rFonts w:eastAsia="仿宋_GB2312" w:cs="Times New Roman"/>
          <w:sz w:val="32"/>
          <w:szCs w:val="32"/>
        </w:rPr>
        <w:t>26</w:t>
      </w:r>
      <w:r>
        <w:rPr>
          <w:rFonts w:hint="eastAsia" w:eastAsia="仿宋_GB2312" w:cs="Times New Roman"/>
          <w:sz w:val="32"/>
          <w:szCs w:val="32"/>
        </w:rPr>
        <w:t>个村采取建设集中式污水处理设施治理农村污水，剩余村采取生活污水有效管控。涉及农村人口</w:t>
      </w:r>
      <w:r>
        <w:rPr>
          <w:rFonts w:eastAsia="仿宋_GB2312" w:cs="Times New Roman"/>
          <w:sz w:val="32"/>
          <w:szCs w:val="32"/>
        </w:rPr>
        <w:t>91525</w:t>
      </w:r>
      <w:r>
        <w:rPr>
          <w:rFonts w:hint="eastAsia" w:eastAsia="仿宋_GB2312" w:cs="Times New Roman"/>
          <w:sz w:val="32"/>
          <w:szCs w:val="32"/>
        </w:rPr>
        <w:t>人，新增农村污水处理规模</w:t>
      </w:r>
      <w:r>
        <w:rPr>
          <w:rFonts w:eastAsia="仿宋_GB2312" w:cs="Times New Roman"/>
          <w:sz w:val="32"/>
          <w:szCs w:val="32"/>
        </w:rPr>
        <w:t>3860</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天，新增各口径配套管网</w:t>
      </w:r>
      <w:r>
        <w:rPr>
          <w:rFonts w:eastAsia="仿宋_GB2312" w:cs="Times New Roman"/>
          <w:sz w:val="32"/>
          <w:szCs w:val="32"/>
        </w:rPr>
        <w:t>238.388</w:t>
      </w:r>
      <w:r>
        <w:rPr>
          <w:rFonts w:hint="eastAsia" w:eastAsia="仿宋_GB2312" w:cs="Times New Roman"/>
          <w:sz w:val="32"/>
          <w:szCs w:val="32"/>
        </w:rPr>
        <w:t>公里，总投资</w:t>
      </w:r>
      <w:r>
        <w:rPr>
          <w:rFonts w:eastAsia="仿宋_GB2312" w:cs="Times New Roman"/>
          <w:sz w:val="32"/>
          <w:szCs w:val="32"/>
        </w:rPr>
        <w:t>13487.15</w:t>
      </w:r>
      <w:r>
        <w:rPr>
          <w:rFonts w:hint="eastAsia" w:eastAsia="仿宋_GB2312" w:cs="Times New Roman"/>
          <w:sz w:val="32"/>
          <w:szCs w:val="32"/>
        </w:rPr>
        <w:t>万元。</w:t>
      </w:r>
    </w:p>
    <w:p>
      <w:pPr>
        <w:adjustRightInd w:val="0"/>
        <w:snapToGrid w:val="0"/>
        <w:spacing w:after="221" w:afterLines="50" w:line="590" w:lineRule="exact"/>
        <w:ind w:firstLine="480"/>
        <w:jc w:val="center"/>
        <w:rPr>
          <w:rFonts w:ascii="黑体" w:hAnsi="黑体" w:eastAsia="黑体"/>
          <w:sz w:val="32"/>
          <w:szCs w:val="32"/>
        </w:rPr>
      </w:pPr>
      <w:r>
        <w:rPr>
          <w:rFonts w:eastAsia="仿宋_GB2312" w:cs="Times New Roman"/>
        </w:rPr>
        <w:br w:type="page"/>
      </w:r>
      <w:r>
        <w:rPr>
          <w:rFonts w:hint="eastAsia" w:ascii="黑体" w:hAnsi="黑体" w:eastAsia="黑体"/>
          <w:sz w:val="32"/>
          <w:szCs w:val="32"/>
        </w:rPr>
        <w:t>表</w:t>
      </w:r>
      <w:r>
        <w:rPr>
          <w:rFonts w:ascii="黑体" w:hAnsi="黑体" w:eastAsia="黑体"/>
          <w:sz w:val="32"/>
          <w:szCs w:val="32"/>
        </w:rPr>
        <w:t>7</w:t>
      </w:r>
      <w:r>
        <w:rPr>
          <w:rFonts w:hint="eastAsia"/>
          <w:bCs/>
          <w:sz w:val="32"/>
          <w:szCs w:val="32"/>
        </w:rPr>
        <w:t>-</w:t>
      </w:r>
      <w:r>
        <w:rPr>
          <w:rFonts w:ascii="黑体" w:hAnsi="黑体" w:eastAsia="黑体"/>
          <w:sz w:val="32"/>
          <w:szCs w:val="32"/>
        </w:rPr>
        <w:t xml:space="preserve">3  </w:t>
      </w:r>
      <w:r>
        <w:rPr>
          <w:rFonts w:hint="eastAsia" w:ascii="黑体" w:hAnsi="黑体" w:eastAsia="黑体"/>
          <w:sz w:val="32"/>
          <w:szCs w:val="32"/>
        </w:rPr>
        <w:t>文安县大清河沿线农村生活污水治理方案</w:t>
      </w:r>
    </w:p>
    <w:tbl>
      <w:tblPr>
        <w:tblStyle w:val="10"/>
        <w:tblW w:w="887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153"/>
        <w:gridCol w:w="1105"/>
        <w:gridCol w:w="991"/>
        <w:gridCol w:w="1258"/>
        <w:gridCol w:w="1055"/>
        <w:gridCol w:w="1258"/>
        <w:gridCol w:w="12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atLeast"/>
          <w:tblHeader/>
          <w:jc w:val="center"/>
        </w:trPr>
        <w:tc>
          <w:tcPr>
            <w:tcW w:w="828"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序号</w:t>
            </w:r>
          </w:p>
        </w:tc>
        <w:tc>
          <w:tcPr>
            <w:tcW w:w="1153"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乡镇</w:t>
            </w:r>
          </w:p>
        </w:tc>
        <w:tc>
          <w:tcPr>
            <w:tcW w:w="1105"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村名</w:t>
            </w:r>
          </w:p>
        </w:tc>
        <w:tc>
          <w:tcPr>
            <w:tcW w:w="991"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常住人口（人）</w:t>
            </w:r>
          </w:p>
        </w:tc>
        <w:tc>
          <w:tcPr>
            <w:tcW w:w="1258"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污水处理站设计规模（吨/日）</w:t>
            </w:r>
          </w:p>
        </w:tc>
        <w:tc>
          <w:tcPr>
            <w:tcW w:w="1055"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新建管网长度（米）</w:t>
            </w:r>
          </w:p>
        </w:tc>
        <w:tc>
          <w:tcPr>
            <w:tcW w:w="1258"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污水排放有效管控</w:t>
            </w:r>
          </w:p>
        </w:tc>
        <w:tc>
          <w:tcPr>
            <w:tcW w:w="1223" w:type="dxa"/>
            <w:vAlign w:val="center"/>
          </w:tcPr>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总投资</w:t>
            </w:r>
          </w:p>
          <w:p>
            <w:pPr>
              <w:widowControl/>
              <w:spacing w:line="340" w:lineRule="exact"/>
              <w:ind w:firstLine="0" w:firstLineChars="0"/>
              <w:jc w:val="center"/>
              <w:rPr>
                <w:rFonts w:eastAsia="仿宋_GB2312" w:cs="Times New Roman"/>
                <w:b/>
                <w:kern w:val="0"/>
                <w:sz w:val="21"/>
                <w:szCs w:val="21"/>
              </w:rPr>
            </w:pPr>
            <w:r>
              <w:rPr>
                <w:rFonts w:eastAsia="仿宋_GB2312" w:cs="Times New Roman"/>
                <w:b/>
                <w:kern w:val="0"/>
                <w:sz w:val="21"/>
                <w:szCs w:val="21"/>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兴隆宫镇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河北庄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890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沙窝</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1134</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小郭庄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1591</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781</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1016.11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大郭庄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2512</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13860.5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continue"/>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夏村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3840</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27427</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回回营</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478</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4632</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540.27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兴隆宫镇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北斗村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988</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7026</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continue"/>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朱何村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2274</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210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22763</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810.71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四合村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1614</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10500</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879.82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付王店</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1521</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10700</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continue"/>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兴隆宫</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2965</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16921.5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921.95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小龙华</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2290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13</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张村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983</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8800</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563.92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宋家牌</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1046</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7900</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Merge w:val="continue"/>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贾村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1088</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大龙华</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3043</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350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17827</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791.13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17</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店子</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1197</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18</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温庄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1138</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19</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新镇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1757</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10232.5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597.5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北舍兴</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1394</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21</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芦阜庄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1216</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3560.5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509.75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口头村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1874</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8852</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23</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太保庄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2305</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2805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595.24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西洋町</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2025</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西庄头</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303</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w:t>
            </w: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26</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新镇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王庄子</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770</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362</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258.24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27</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孔家务</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1510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28</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史各庄</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二合庄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722</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6621</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298.63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29</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南町</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2232</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潘庄子</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427</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31</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秦各庄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1645</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471.63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王村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3033</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16073.5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33</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史各庄</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杨庄子</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张各庄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948</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7518</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口上</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2836</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19668</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811.47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36</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韩各庄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978</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w:t>
            </w: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369.33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37</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890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38</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二村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1033</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39</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武各庄村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681</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4602.5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293.73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北辛庄村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1291</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8805</w:t>
            </w:r>
          </w:p>
        </w:tc>
        <w:tc>
          <w:tcPr>
            <w:tcW w:w="1258" w:type="dxa"/>
            <w:vAlign w:val="top"/>
          </w:tcPr>
          <w:p>
            <w:pPr>
              <w:widowControl/>
              <w:spacing w:line="240" w:lineRule="auto"/>
              <w:ind w:firstLine="0" w:firstLineChars="0"/>
              <w:jc w:val="center"/>
              <w:rPr>
                <w:rFonts w:eastAsia="仿宋_GB2312" w:cs="Times New Roman"/>
                <w:kern w:val="0"/>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557.88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41</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大围河乡（含原高头管区）</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东羊町村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1560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蔡头村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1051</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43</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韩头村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464</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李头村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1206</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胡头村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1178</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46</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赖头村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695</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47</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高头村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838</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48</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贾头村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786</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49</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毕家坊村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1214</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w:t>
            </w:r>
          </w:p>
        </w:tc>
        <w:tc>
          <w:tcPr>
            <w:tcW w:w="115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大柳河镇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西码头</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4112</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51</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苏桥镇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南留寨</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1772</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52</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崔家坊</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4000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53</w:t>
            </w:r>
          </w:p>
        </w:tc>
        <w:tc>
          <w:tcPr>
            <w:tcW w:w="1153" w:type="dxa"/>
            <w:vMerge w:val="restart"/>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苏桥镇</w:t>
            </w: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团结村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1960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54</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民生村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1650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55</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民主村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2039</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56</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农工村</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711</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57</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苑  口</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1475</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58</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下武各庄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2010</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59</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善来营</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1248</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60</w:t>
            </w:r>
          </w:p>
        </w:tc>
        <w:tc>
          <w:tcPr>
            <w:tcW w:w="1153" w:type="dxa"/>
            <w:vMerge w:val="continue"/>
            <w:vAlign w:val="center"/>
          </w:tcPr>
          <w:p>
            <w:pPr>
              <w:widowControl/>
              <w:spacing w:line="240" w:lineRule="auto"/>
              <w:ind w:firstLine="0" w:firstLineChars="0"/>
              <w:jc w:val="center"/>
              <w:rPr>
                <w:rFonts w:eastAsia="仿宋_GB2312" w:cs="Times New Roman"/>
                <w:kern w:val="0"/>
                <w:sz w:val="21"/>
                <w:szCs w:val="21"/>
              </w:rPr>
            </w:pPr>
          </w:p>
        </w:tc>
        <w:tc>
          <w:tcPr>
            <w:tcW w:w="110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王庄</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594</w:t>
            </w:r>
          </w:p>
        </w:tc>
        <w:tc>
          <w:tcPr>
            <w:tcW w:w="1258" w:type="dxa"/>
            <w:vAlign w:val="center"/>
          </w:tcPr>
          <w:p>
            <w:pPr>
              <w:widowControl/>
              <w:spacing w:line="240" w:lineRule="auto"/>
              <w:ind w:firstLine="0" w:firstLineChars="0"/>
              <w:jc w:val="center"/>
              <w:rPr>
                <w:rFonts w:eastAsia="仿宋_GB2312" w:cs="Times New Roman"/>
                <w:kern w:val="0"/>
                <w:sz w:val="21"/>
                <w:szCs w:val="21"/>
              </w:rPr>
            </w:pPr>
          </w:p>
        </w:tc>
        <w:tc>
          <w:tcPr>
            <w:tcW w:w="1055" w:type="dxa"/>
            <w:vAlign w:val="center"/>
          </w:tcPr>
          <w:p>
            <w:pPr>
              <w:widowControl/>
              <w:spacing w:line="240" w:lineRule="auto"/>
              <w:ind w:firstLine="0" w:firstLineChars="0"/>
              <w:jc w:val="center"/>
              <w:rPr>
                <w:rFonts w:eastAsia="仿宋_GB2312" w:cs="Times New Roman"/>
                <w:kern w:val="0"/>
                <w:sz w:val="21"/>
                <w:szCs w:val="21"/>
              </w:rPr>
            </w:pPr>
          </w:p>
        </w:tc>
        <w:tc>
          <w:tcPr>
            <w:tcW w:w="1258" w:type="dxa"/>
            <w:vAlign w:val="top"/>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有效管控</w:t>
            </w:r>
          </w:p>
        </w:tc>
        <w:tc>
          <w:tcPr>
            <w:tcW w:w="1223"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2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61</w:t>
            </w:r>
          </w:p>
        </w:tc>
        <w:tc>
          <w:tcPr>
            <w:tcW w:w="2258" w:type="dxa"/>
            <w:gridSpan w:val="2"/>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总计</w:t>
            </w:r>
          </w:p>
        </w:tc>
        <w:tc>
          <w:tcPr>
            <w:tcW w:w="99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sz w:val="21"/>
                <w:szCs w:val="21"/>
              </w:rPr>
              <w:t>91525</w:t>
            </w:r>
          </w:p>
        </w:tc>
        <w:tc>
          <w:tcPr>
            <w:tcW w:w="1258"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sz w:val="21"/>
                <w:szCs w:val="21"/>
              </w:rPr>
              <w:t>3860</w:t>
            </w:r>
          </w:p>
        </w:tc>
        <w:tc>
          <w:tcPr>
            <w:tcW w:w="1055"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sz w:val="21"/>
                <w:szCs w:val="21"/>
              </w:rPr>
              <w:t>238388</w:t>
            </w:r>
          </w:p>
        </w:tc>
        <w:tc>
          <w:tcPr>
            <w:tcW w:w="1258" w:type="dxa"/>
            <w:vAlign w:val="top"/>
          </w:tcPr>
          <w:p>
            <w:pPr>
              <w:widowControl/>
              <w:spacing w:line="240" w:lineRule="auto"/>
              <w:ind w:firstLine="0" w:firstLineChars="0"/>
              <w:jc w:val="center"/>
              <w:rPr>
                <w:rFonts w:eastAsia="仿宋_GB2312" w:cs="Times New Roman"/>
                <w:sz w:val="21"/>
                <w:szCs w:val="21"/>
              </w:rPr>
            </w:pPr>
          </w:p>
        </w:tc>
        <w:tc>
          <w:tcPr>
            <w:tcW w:w="122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sz w:val="21"/>
                <w:szCs w:val="21"/>
              </w:rPr>
              <w:t>13487.15</w:t>
            </w:r>
          </w:p>
        </w:tc>
      </w:tr>
    </w:tbl>
    <w:p>
      <w:pPr>
        <w:pStyle w:val="4"/>
        <w:spacing w:line="580" w:lineRule="exact"/>
        <w:ind w:firstLine="643"/>
        <w:rPr>
          <w:szCs w:val="28"/>
        </w:rPr>
      </w:pPr>
      <w:bookmarkStart w:id="23" w:name="_Toc428"/>
      <w:bookmarkStart w:id="24" w:name="_Toc2700899"/>
      <w:r>
        <w:rPr>
          <w:szCs w:val="28"/>
        </w:rPr>
        <w:t>7.3.2</w:t>
      </w:r>
      <w:r>
        <w:rPr>
          <w:rFonts w:hint="eastAsia"/>
          <w:szCs w:val="28"/>
        </w:rPr>
        <w:t>出水标准</w:t>
      </w:r>
      <w:bookmarkEnd w:id="23"/>
      <w:bookmarkEnd w:id="24"/>
    </w:p>
    <w:p>
      <w:pPr>
        <w:spacing w:line="580" w:lineRule="exact"/>
        <w:ind w:firstLine="640"/>
        <w:rPr>
          <w:rFonts w:eastAsia="仿宋_GB2312" w:cs="Times New Roman"/>
          <w:sz w:val="32"/>
          <w:szCs w:val="32"/>
        </w:rPr>
      </w:pPr>
      <w:r>
        <w:rPr>
          <w:rFonts w:eastAsia="仿宋_GB2312" w:cs="Times New Roman"/>
          <w:sz w:val="32"/>
          <w:szCs w:val="32"/>
        </w:rPr>
        <w:t>按照《大清河流域水污染物排放标准》（DB13/2795</w:t>
      </w:r>
      <w:r>
        <w:rPr>
          <w:rFonts w:hint="eastAsia" w:eastAsia="仿宋_GB2312" w:cs="Times New Roman"/>
          <w:sz w:val="32"/>
          <w:szCs w:val="32"/>
        </w:rPr>
        <w:t>—</w:t>
      </w:r>
      <w:r>
        <w:rPr>
          <w:rFonts w:eastAsia="仿宋_GB2312" w:cs="Times New Roman"/>
          <w:sz w:val="32"/>
          <w:szCs w:val="32"/>
        </w:rPr>
        <w:t>2018）要求，流域内农村集中式污水处理设施出水水质执行《大清河流域水污染物排放标准》（DB13/2795</w:t>
      </w:r>
      <w:r>
        <w:rPr>
          <w:rFonts w:hint="eastAsia" w:eastAsia="仿宋_GB2312" w:cs="Times New Roman"/>
          <w:sz w:val="32"/>
          <w:szCs w:val="32"/>
        </w:rPr>
        <w:t>—</w:t>
      </w:r>
      <w:r>
        <w:rPr>
          <w:rFonts w:eastAsia="仿宋_GB2312" w:cs="Times New Roman"/>
          <w:sz w:val="32"/>
          <w:szCs w:val="32"/>
        </w:rPr>
        <w:t>2018）表1中一般控制区排放限值标准要求。</w:t>
      </w:r>
    </w:p>
    <w:p>
      <w:pPr>
        <w:pStyle w:val="3"/>
        <w:spacing w:line="580" w:lineRule="exact"/>
        <w:ind w:firstLine="643"/>
        <w:rPr>
          <w:rFonts w:eastAsia="楷体_GB2312"/>
          <w:szCs w:val="28"/>
        </w:rPr>
      </w:pPr>
      <w:bookmarkStart w:id="25" w:name="_Toc26148"/>
      <w:bookmarkStart w:id="26" w:name="_Toc2700904"/>
      <w:r>
        <w:rPr>
          <w:rFonts w:eastAsia="楷体_GB2312"/>
          <w:szCs w:val="28"/>
        </w:rPr>
        <w:t>7.4</w:t>
      </w:r>
      <w:r>
        <w:rPr>
          <w:rFonts w:hint="eastAsia" w:eastAsia="楷体_GB2312"/>
          <w:szCs w:val="28"/>
        </w:rPr>
        <w:t>河道两岸垃圾治理</w:t>
      </w:r>
      <w:bookmarkEnd w:id="25"/>
      <w:bookmarkEnd w:id="26"/>
    </w:p>
    <w:p>
      <w:pPr>
        <w:spacing w:line="580" w:lineRule="exact"/>
        <w:ind w:firstLine="640"/>
        <w:rPr>
          <w:rFonts w:eastAsia="仿宋_GB2312" w:cs="Times New Roman"/>
          <w:sz w:val="32"/>
          <w:szCs w:val="32"/>
        </w:rPr>
      </w:pPr>
      <w:r>
        <w:rPr>
          <w:rFonts w:hint="eastAsia" w:eastAsia="仿宋_GB2312" w:cs="Times New Roman"/>
          <w:sz w:val="32"/>
          <w:szCs w:val="32"/>
        </w:rPr>
        <w:t>加强河道两岸垃圾打捞和治理。主要河流河道区域，尤其是中亭河村庄密集地带沿河开展垃圾打捞整治工作。清理沿河地带已有生活垃圾堆放点。杜绝垃圾随意堆放，防止河道垃圾对河流水质造成影响。</w:t>
      </w:r>
    </w:p>
    <w:p>
      <w:pPr>
        <w:spacing w:line="580" w:lineRule="exact"/>
        <w:ind w:firstLine="640"/>
        <w:rPr>
          <w:rFonts w:eastAsia="仿宋_GB2312" w:cs="Times New Roman"/>
          <w:sz w:val="32"/>
          <w:szCs w:val="32"/>
        </w:rPr>
      </w:pPr>
      <w:r>
        <w:rPr>
          <w:rFonts w:hint="eastAsia" w:eastAsia="仿宋_GB2312" w:cs="Times New Roman"/>
          <w:sz w:val="32"/>
          <w:szCs w:val="32"/>
        </w:rPr>
        <w:t>稳步推进农村环境综合整治。以赵王新河沿线村庄为重点，完善村庄垃圾收集转运设施，河道沿线重点村镇要配齐购置垃圾压缩运输车、收集专用车等设备设施，组建乡村环卫保洁队伍。各乡镇要进一步完善城乡环境卫生保洁、收集、清运和处理网络，城乡生活垃圾要实现日产日清，建立起村收集、镇转运、县处理的垃圾处理模式。完善左各庄镇生活垃圾处理场配套设施，收集处理左各庄镇域及周边生活垃圾污染。同时，要定期组织开展河道垃圾清理、清查，防止汛期时大量垃圾随雨水汇入河道，确保农村污水、垃圾得到有效处理处置。深化</w:t>
      </w:r>
      <w:r>
        <w:rPr>
          <w:rFonts w:eastAsia="仿宋_GB2312" w:cs="Times New Roman"/>
          <w:sz w:val="32"/>
          <w:szCs w:val="32"/>
        </w:rPr>
        <w:t>“</w:t>
      </w:r>
      <w:r>
        <w:rPr>
          <w:rFonts w:hint="eastAsia" w:eastAsia="仿宋_GB2312" w:cs="Times New Roman"/>
          <w:sz w:val="32"/>
          <w:szCs w:val="32"/>
        </w:rPr>
        <w:t>以奖促治</w:t>
      </w:r>
      <w:r>
        <w:rPr>
          <w:rFonts w:eastAsia="仿宋_GB2312" w:cs="Times New Roman"/>
          <w:sz w:val="32"/>
          <w:szCs w:val="32"/>
        </w:rPr>
        <w:t>”</w:t>
      </w:r>
      <w:r>
        <w:rPr>
          <w:rFonts w:hint="eastAsia" w:eastAsia="仿宋_GB2312" w:cs="Times New Roman"/>
          <w:sz w:val="32"/>
          <w:szCs w:val="32"/>
        </w:rPr>
        <w:t>，推进农村环境连片整治，到</w:t>
      </w:r>
      <w:r>
        <w:rPr>
          <w:rFonts w:eastAsia="仿宋_GB2312" w:cs="Times New Roman"/>
          <w:sz w:val="32"/>
          <w:szCs w:val="32"/>
        </w:rPr>
        <w:t>2020</w:t>
      </w:r>
      <w:r>
        <w:rPr>
          <w:rFonts w:hint="eastAsia" w:eastAsia="仿宋_GB2312" w:cs="Times New Roman"/>
          <w:sz w:val="32"/>
          <w:szCs w:val="32"/>
        </w:rPr>
        <w:t>年，全面完成建制村环境综合整治工作。</w:t>
      </w:r>
    </w:p>
    <w:p>
      <w:pPr>
        <w:pStyle w:val="3"/>
        <w:spacing w:line="580" w:lineRule="exact"/>
        <w:ind w:firstLine="643"/>
        <w:rPr>
          <w:rFonts w:eastAsia="楷体_GB2312"/>
          <w:szCs w:val="28"/>
        </w:rPr>
      </w:pPr>
      <w:bookmarkStart w:id="27" w:name="_Toc24496"/>
      <w:r>
        <w:rPr>
          <w:rFonts w:eastAsia="楷体_GB2312"/>
          <w:szCs w:val="28"/>
        </w:rPr>
        <w:t>7.5</w:t>
      </w:r>
      <w:r>
        <w:rPr>
          <w:rFonts w:hint="eastAsia" w:eastAsia="楷体_GB2312"/>
          <w:szCs w:val="28"/>
        </w:rPr>
        <w:t>开展水系连通和河道生态系统恢复工程</w:t>
      </w:r>
      <w:bookmarkEnd w:id="27"/>
    </w:p>
    <w:p>
      <w:pPr>
        <w:pStyle w:val="4"/>
        <w:spacing w:line="580" w:lineRule="exact"/>
        <w:ind w:firstLine="643"/>
        <w:rPr>
          <w:szCs w:val="28"/>
        </w:rPr>
      </w:pPr>
      <w:bookmarkStart w:id="28" w:name="_Toc22045"/>
      <w:r>
        <w:rPr>
          <w:szCs w:val="28"/>
        </w:rPr>
        <w:t>7.5.1</w:t>
      </w:r>
      <w:r>
        <w:rPr>
          <w:rFonts w:hint="eastAsia"/>
          <w:szCs w:val="28"/>
        </w:rPr>
        <w:t>推进文安排干渠水系连通和再生水回用</w:t>
      </w:r>
      <w:bookmarkEnd w:id="28"/>
    </w:p>
    <w:p>
      <w:pPr>
        <w:spacing w:line="580" w:lineRule="exact"/>
        <w:ind w:firstLine="640"/>
        <w:rPr>
          <w:rFonts w:eastAsia="仿宋_GB2312" w:cs="Times New Roman"/>
          <w:sz w:val="32"/>
          <w:szCs w:val="32"/>
        </w:rPr>
      </w:pPr>
      <w:r>
        <w:rPr>
          <w:rFonts w:hint="eastAsia" w:eastAsia="仿宋_GB2312" w:cs="Times New Roman"/>
          <w:sz w:val="32"/>
          <w:szCs w:val="32"/>
        </w:rPr>
        <w:t>按人与自然和谐共处的治水思路，综合考虑水资源综合利用、水生态与水环境保护，实现有效控制涝水、保护防洪安全、合理利用水资源、改善水生态环境等目标，结合文安县域内排干渠体系分布，提出水系循环连通方案。</w:t>
      </w:r>
    </w:p>
    <w:p>
      <w:pPr>
        <w:spacing w:line="580" w:lineRule="exact"/>
        <w:ind w:firstLine="640"/>
        <w:rPr>
          <w:rFonts w:eastAsia="仿宋_GB2312" w:cs="Times New Roman"/>
          <w:sz w:val="32"/>
          <w:szCs w:val="32"/>
        </w:rPr>
      </w:pPr>
      <w:r>
        <w:rPr>
          <w:rFonts w:hint="eastAsia" w:eastAsia="仿宋_GB2312" w:cs="Times New Roman"/>
          <w:sz w:val="32"/>
          <w:szCs w:val="32"/>
        </w:rPr>
        <w:t>中部水系循环方案：中部循环水系涉及西毕干渠、文毕干渠、小白河、小堡支渠、任文干渠、赵么支渠、排干二渠、董西干渠等</w:t>
      </w:r>
      <w:r>
        <w:rPr>
          <w:rFonts w:eastAsia="仿宋_GB2312" w:cs="Times New Roman"/>
          <w:sz w:val="32"/>
          <w:szCs w:val="32"/>
        </w:rPr>
        <w:t>8</w:t>
      </w:r>
      <w:r>
        <w:rPr>
          <w:rFonts w:hint="eastAsia" w:eastAsia="仿宋_GB2312" w:cs="Times New Roman"/>
          <w:sz w:val="32"/>
          <w:szCs w:val="32"/>
        </w:rPr>
        <w:t>条河段，涉及河道长度</w:t>
      </w:r>
      <w:r>
        <w:rPr>
          <w:rFonts w:eastAsia="仿宋_GB2312" w:cs="Times New Roman"/>
          <w:sz w:val="32"/>
          <w:szCs w:val="32"/>
        </w:rPr>
        <w:t>63.89km</w:t>
      </w:r>
      <w:r>
        <w:rPr>
          <w:rFonts w:hint="eastAsia" w:eastAsia="仿宋_GB2312" w:cs="Times New Roman"/>
          <w:sz w:val="32"/>
          <w:szCs w:val="32"/>
        </w:rPr>
        <w:t>。中部水体循环路径利用西码头扬水站提水，实现水体的逆向循环，水体循环路径如下：西码头扬水站</w:t>
      </w:r>
      <w:r>
        <w:rPr>
          <w:rFonts w:eastAsia="仿宋_GB2312" w:cs="Times New Roman"/>
          <w:sz w:val="32"/>
          <w:szCs w:val="32"/>
        </w:rPr>
        <w:t>→</w:t>
      </w:r>
      <w:r>
        <w:rPr>
          <w:rFonts w:hint="eastAsia" w:eastAsia="仿宋_GB2312" w:cs="Times New Roman"/>
          <w:sz w:val="32"/>
          <w:szCs w:val="32"/>
        </w:rPr>
        <w:t>西毕干渠</w:t>
      </w:r>
      <w:r>
        <w:rPr>
          <w:rFonts w:eastAsia="仿宋_GB2312" w:cs="Times New Roman"/>
          <w:sz w:val="32"/>
          <w:szCs w:val="32"/>
        </w:rPr>
        <w:t>→</w:t>
      </w:r>
      <w:r>
        <w:rPr>
          <w:rFonts w:hint="eastAsia" w:eastAsia="仿宋_GB2312" w:cs="Times New Roman"/>
          <w:sz w:val="32"/>
          <w:szCs w:val="32"/>
        </w:rPr>
        <w:t>文毕干渠</w:t>
      </w:r>
      <w:r>
        <w:rPr>
          <w:rFonts w:eastAsia="仿宋_GB2312" w:cs="Times New Roman"/>
          <w:sz w:val="32"/>
          <w:szCs w:val="32"/>
        </w:rPr>
        <w:t>→</w:t>
      </w:r>
      <w:r>
        <w:rPr>
          <w:rFonts w:hint="eastAsia" w:eastAsia="仿宋_GB2312" w:cs="Times New Roman"/>
          <w:sz w:val="32"/>
          <w:szCs w:val="32"/>
        </w:rPr>
        <w:t>小白河</w:t>
      </w:r>
      <w:r>
        <w:rPr>
          <w:rFonts w:eastAsia="仿宋_GB2312" w:cs="Times New Roman"/>
          <w:sz w:val="32"/>
          <w:szCs w:val="32"/>
        </w:rPr>
        <w:t>→</w:t>
      </w:r>
      <w:r>
        <w:rPr>
          <w:rFonts w:hint="eastAsia" w:eastAsia="仿宋_GB2312" w:cs="Times New Roman"/>
          <w:sz w:val="32"/>
          <w:szCs w:val="32"/>
        </w:rPr>
        <w:t>小堡支渠</w:t>
      </w:r>
      <w:r>
        <w:rPr>
          <w:rFonts w:eastAsia="仿宋_GB2312" w:cs="Times New Roman"/>
          <w:sz w:val="32"/>
          <w:szCs w:val="32"/>
        </w:rPr>
        <w:t>→</w:t>
      </w:r>
      <w:r>
        <w:rPr>
          <w:rFonts w:hint="eastAsia" w:eastAsia="仿宋_GB2312" w:cs="Times New Roman"/>
          <w:sz w:val="32"/>
          <w:szCs w:val="32"/>
        </w:rPr>
        <w:t>任文干渠</w:t>
      </w:r>
      <w:r>
        <w:rPr>
          <w:rFonts w:eastAsia="仿宋_GB2312" w:cs="Times New Roman"/>
          <w:sz w:val="32"/>
          <w:szCs w:val="32"/>
        </w:rPr>
        <w:t>→</w:t>
      </w:r>
      <w:r>
        <w:rPr>
          <w:rFonts w:hint="eastAsia" w:eastAsia="仿宋_GB2312" w:cs="Times New Roman"/>
          <w:sz w:val="32"/>
          <w:szCs w:val="32"/>
        </w:rPr>
        <w:t>赵么支渠</w:t>
      </w:r>
      <w:r>
        <w:rPr>
          <w:rFonts w:eastAsia="仿宋_GB2312" w:cs="Times New Roman"/>
          <w:sz w:val="32"/>
          <w:szCs w:val="32"/>
        </w:rPr>
        <w:t>→</w:t>
      </w:r>
      <w:r>
        <w:rPr>
          <w:rFonts w:hint="eastAsia" w:eastAsia="仿宋_GB2312" w:cs="Times New Roman"/>
          <w:sz w:val="32"/>
          <w:szCs w:val="32"/>
        </w:rPr>
        <w:t>排干二渠</w:t>
      </w:r>
      <w:r>
        <w:rPr>
          <w:rFonts w:eastAsia="仿宋_GB2312" w:cs="Times New Roman"/>
          <w:sz w:val="32"/>
          <w:szCs w:val="32"/>
        </w:rPr>
        <w:t>→</w:t>
      </w:r>
      <w:r>
        <w:rPr>
          <w:rFonts w:hint="eastAsia" w:eastAsia="仿宋_GB2312" w:cs="Times New Roman"/>
          <w:sz w:val="32"/>
          <w:szCs w:val="32"/>
        </w:rPr>
        <w:t>董西干渠。</w:t>
      </w:r>
    </w:p>
    <w:p>
      <w:pPr>
        <w:widowControl/>
        <w:spacing w:line="240" w:lineRule="auto"/>
        <w:ind w:firstLine="0" w:firstLineChars="0"/>
        <w:jc w:val="center"/>
        <w:rPr>
          <w:kern w:val="0"/>
          <w:sz w:val="28"/>
          <w:szCs w:val="28"/>
        </w:rPr>
      </w:pPr>
      <w:r>
        <w:rPr>
          <w:rFonts w:hint="eastAsia"/>
          <w:kern w:val="0"/>
          <w:sz w:val="28"/>
          <w:szCs w:val="28"/>
        </w:rPr>
        <w:drawing>
          <wp:inline distT="0" distB="0" distL="114300" distR="114300">
            <wp:extent cx="5485765" cy="6055360"/>
            <wp:effectExtent l="0" t="0" r="635" b="2540"/>
            <wp:docPr id="25" name="图片 22" descr="C:\Users\dell\AppData\Roaming\Tencent\Users\447617404\QQ\WinTemp\RichOle\0((P{8W({(KN7O1216P{B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2" descr="C:\Users\dell\AppData\Roaming\Tencent\Users\447617404\QQ\WinTemp\RichOle\0((P{8W({(KN7O1216P{BP9.png"/>
                    <pic:cNvPicPr>
                      <a:picLocks noChangeAspect="1"/>
                    </pic:cNvPicPr>
                  </pic:nvPicPr>
                  <pic:blipFill>
                    <a:blip r:embed="rId31"/>
                    <a:stretch>
                      <a:fillRect/>
                    </a:stretch>
                  </pic:blipFill>
                  <pic:spPr>
                    <a:xfrm>
                      <a:off x="0" y="0"/>
                      <a:ext cx="5485765" cy="6055360"/>
                    </a:xfrm>
                    <a:prstGeom prst="rect">
                      <a:avLst/>
                    </a:prstGeom>
                    <a:noFill/>
                    <a:ln w="9525">
                      <a:noFill/>
                    </a:ln>
                  </pic:spPr>
                </pic:pic>
              </a:graphicData>
            </a:graphic>
          </wp:inline>
        </w:drawing>
      </w:r>
    </w:p>
    <w:p>
      <w:pPr>
        <w:pStyle w:val="5"/>
        <w:spacing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7</w:t>
      </w:r>
      <w:r>
        <w:rPr>
          <w:rFonts w:hint="eastAsia" w:eastAsia="仿宋_GB2312"/>
          <w:sz w:val="32"/>
          <w:szCs w:val="32"/>
        </w:rPr>
        <w:t>-</w:t>
      </w:r>
      <w:r>
        <w:rPr>
          <w:rFonts w:ascii="Times New Roman" w:hAnsi="Times New Roman" w:eastAsia="仿宋_GB2312"/>
          <w:b/>
          <w:sz w:val="24"/>
          <w:szCs w:val="24"/>
        </w:rPr>
        <w:t>1</w:t>
      </w:r>
      <w:r>
        <w:rPr>
          <w:rFonts w:hint="eastAsia" w:ascii="Times New Roman" w:hAnsi="Times New Roman" w:eastAsia="仿宋_GB2312"/>
          <w:b/>
          <w:sz w:val="24"/>
          <w:szCs w:val="24"/>
        </w:rPr>
        <w:t>　文安中部水系循环方案</w:t>
      </w:r>
    </w:p>
    <w:p>
      <w:pPr>
        <w:spacing w:line="580" w:lineRule="exact"/>
        <w:ind w:firstLine="640"/>
        <w:rPr>
          <w:rFonts w:eastAsia="仿宋_GB2312" w:cs="Times New Roman"/>
          <w:sz w:val="32"/>
          <w:szCs w:val="32"/>
        </w:rPr>
      </w:pPr>
      <w:r>
        <w:rPr>
          <w:rFonts w:hint="eastAsia" w:eastAsia="仿宋_GB2312" w:cs="Times New Roman"/>
          <w:sz w:val="32"/>
          <w:szCs w:val="32"/>
        </w:rPr>
        <w:t>东部水系循环方案：东部循环水系涉及滩里干渠、排干一渠、滩里新渠、东十六米渠、陈口子支渠、滩德干渠、西新桥支渠、运料渠等河段，涉及河道长度</w:t>
      </w:r>
      <w:r>
        <w:rPr>
          <w:rFonts w:eastAsia="仿宋_GB2312" w:cs="Times New Roman"/>
          <w:sz w:val="32"/>
          <w:szCs w:val="32"/>
        </w:rPr>
        <w:t>76.51km</w:t>
      </w:r>
      <w:r>
        <w:rPr>
          <w:rFonts w:hint="eastAsia" w:eastAsia="仿宋_GB2312" w:cs="Times New Roman"/>
          <w:sz w:val="32"/>
          <w:szCs w:val="32"/>
        </w:rPr>
        <w:t>。东部水系循环利用新建泵站自大清河南岸湿地向滩里干渠提水，通过滩里干渠规划倒虹吸向上游壅水实现水循环。水体循环路径如下：大清河南岸湿地</w:t>
      </w:r>
      <w:r>
        <w:rPr>
          <w:rFonts w:eastAsia="仿宋_GB2312" w:cs="Times New Roman"/>
          <w:sz w:val="32"/>
          <w:szCs w:val="32"/>
        </w:rPr>
        <w:t>→</w:t>
      </w:r>
      <w:r>
        <w:rPr>
          <w:rFonts w:hint="eastAsia" w:eastAsia="仿宋_GB2312" w:cs="Times New Roman"/>
          <w:sz w:val="32"/>
          <w:szCs w:val="32"/>
        </w:rPr>
        <w:t>湿地南侧斗毛渠</w:t>
      </w:r>
      <w:r>
        <w:rPr>
          <w:rFonts w:eastAsia="仿宋_GB2312" w:cs="Times New Roman"/>
          <w:sz w:val="32"/>
          <w:szCs w:val="32"/>
        </w:rPr>
        <w:t>→</w:t>
      </w:r>
      <w:r>
        <w:rPr>
          <w:rFonts w:hint="eastAsia" w:eastAsia="仿宋_GB2312" w:cs="Times New Roman"/>
          <w:sz w:val="32"/>
          <w:szCs w:val="32"/>
        </w:rPr>
        <w:t>隔淀堤北侧渠道</w:t>
      </w:r>
      <w:r>
        <w:rPr>
          <w:rFonts w:eastAsia="仿宋_GB2312" w:cs="Times New Roman"/>
          <w:sz w:val="32"/>
          <w:szCs w:val="32"/>
        </w:rPr>
        <w:t>→</w:t>
      </w:r>
      <w:r>
        <w:rPr>
          <w:rFonts w:hint="eastAsia" w:eastAsia="仿宋_GB2312" w:cs="Times New Roman"/>
          <w:sz w:val="32"/>
          <w:szCs w:val="32"/>
        </w:rPr>
        <w:t>运料渠</w:t>
      </w:r>
      <w:r>
        <w:rPr>
          <w:rFonts w:eastAsia="仿宋_GB2312" w:cs="Times New Roman"/>
          <w:sz w:val="32"/>
          <w:szCs w:val="32"/>
        </w:rPr>
        <w:t>→</w:t>
      </w:r>
      <w:r>
        <w:rPr>
          <w:rFonts w:hint="eastAsia" w:eastAsia="仿宋_GB2312" w:cs="Times New Roman"/>
          <w:sz w:val="32"/>
          <w:szCs w:val="32"/>
        </w:rPr>
        <w:t>滩里干渠</w:t>
      </w:r>
      <w:r>
        <w:rPr>
          <w:rFonts w:eastAsia="仿宋_GB2312" w:cs="Times New Roman"/>
          <w:sz w:val="32"/>
          <w:szCs w:val="32"/>
        </w:rPr>
        <w:t>→</w:t>
      </w:r>
      <w:r>
        <w:rPr>
          <w:rFonts w:hint="eastAsia" w:eastAsia="仿宋_GB2312" w:cs="Times New Roman"/>
          <w:sz w:val="32"/>
          <w:szCs w:val="32"/>
        </w:rPr>
        <w:t>排干一渠</w:t>
      </w:r>
      <w:r>
        <w:rPr>
          <w:rFonts w:eastAsia="仿宋_GB2312" w:cs="Times New Roman"/>
          <w:sz w:val="32"/>
          <w:szCs w:val="32"/>
        </w:rPr>
        <w:t>→</w:t>
      </w:r>
      <w:r>
        <w:rPr>
          <w:rFonts w:hint="eastAsia" w:eastAsia="仿宋_GB2312" w:cs="Times New Roman"/>
          <w:sz w:val="32"/>
          <w:szCs w:val="32"/>
        </w:rPr>
        <w:t>滩里新渠</w:t>
      </w:r>
      <w:r>
        <w:rPr>
          <w:rFonts w:eastAsia="仿宋_GB2312" w:cs="Times New Roman"/>
          <w:sz w:val="32"/>
          <w:szCs w:val="32"/>
        </w:rPr>
        <w:t>→</w:t>
      </w:r>
      <w:r>
        <w:rPr>
          <w:rFonts w:hint="eastAsia" w:eastAsia="仿宋_GB2312" w:cs="Times New Roman"/>
          <w:sz w:val="32"/>
          <w:szCs w:val="32"/>
        </w:rPr>
        <w:t>东十六米渠</w:t>
      </w:r>
      <w:r>
        <w:rPr>
          <w:rFonts w:eastAsia="仿宋_GB2312" w:cs="Times New Roman"/>
          <w:sz w:val="32"/>
          <w:szCs w:val="32"/>
        </w:rPr>
        <w:t>→</w:t>
      </w:r>
      <w:r>
        <w:rPr>
          <w:rFonts w:hint="eastAsia" w:eastAsia="仿宋_GB2312" w:cs="Times New Roman"/>
          <w:sz w:val="32"/>
          <w:szCs w:val="32"/>
        </w:rPr>
        <w:t>陈口子支渠</w:t>
      </w:r>
      <w:r>
        <w:rPr>
          <w:rFonts w:eastAsia="仿宋_GB2312" w:cs="Times New Roman"/>
          <w:sz w:val="32"/>
          <w:szCs w:val="32"/>
        </w:rPr>
        <w:t>→</w:t>
      </w:r>
      <w:r>
        <w:rPr>
          <w:rFonts w:hint="eastAsia" w:eastAsia="仿宋_GB2312" w:cs="Times New Roman"/>
          <w:sz w:val="32"/>
          <w:szCs w:val="32"/>
        </w:rPr>
        <w:t>滩德干渠</w:t>
      </w:r>
      <w:r>
        <w:rPr>
          <w:rFonts w:eastAsia="仿宋_GB2312" w:cs="Times New Roman"/>
          <w:sz w:val="32"/>
          <w:szCs w:val="32"/>
        </w:rPr>
        <w:t>→</w:t>
      </w:r>
      <w:r>
        <w:rPr>
          <w:rFonts w:hint="eastAsia" w:eastAsia="仿宋_GB2312" w:cs="Times New Roman"/>
          <w:sz w:val="32"/>
          <w:szCs w:val="32"/>
        </w:rPr>
        <w:t>西新桥支渠</w:t>
      </w:r>
      <w:r>
        <w:rPr>
          <w:rFonts w:eastAsia="仿宋_GB2312" w:cs="Times New Roman"/>
          <w:sz w:val="32"/>
          <w:szCs w:val="32"/>
        </w:rPr>
        <w:t>→</w:t>
      </w:r>
      <w:r>
        <w:rPr>
          <w:rFonts w:hint="eastAsia" w:eastAsia="仿宋_GB2312" w:cs="Times New Roman"/>
          <w:sz w:val="32"/>
          <w:szCs w:val="32"/>
        </w:rPr>
        <w:t>滩里新渠</w:t>
      </w:r>
      <w:r>
        <w:rPr>
          <w:rFonts w:eastAsia="仿宋_GB2312" w:cs="Times New Roman"/>
          <w:sz w:val="32"/>
          <w:szCs w:val="32"/>
        </w:rPr>
        <w:t>→</w:t>
      </w:r>
      <w:r>
        <w:rPr>
          <w:rFonts w:hint="eastAsia" w:eastAsia="仿宋_GB2312" w:cs="Times New Roman"/>
          <w:sz w:val="32"/>
          <w:szCs w:val="32"/>
        </w:rPr>
        <w:t>运料渠</w:t>
      </w:r>
      <w:r>
        <w:rPr>
          <w:rFonts w:eastAsia="仿宋_GB2312" w:cs="Times New Roman"/>
          <w:sz w:val="32"/>
          <w:szCs w:val="32"/>
        </w:rPr>
        <w:t>→</w:t>
      </w:r>
      <w:r>
        <w:rPr>
          <w:rFonts w:hint="eastAsia" w:eastAsia="仿宋_GB2312" w:cs="Times New Roman"/>
          <w:sz w:val="32"/>
          <w:szCs w:val="32"/>
        </w:rPr>
        <w:t>湿地西侧斗毛渠</w:t>
      </w:r>
      <w:r>
        <w:rPr>
          <w:rFonts w:eastAsia="仿宋_GB2312" w:cs="Times New Roman"/>
          <w:sz w:val="32"/>
          <w:szCs w:val="32"/>
        </w:rPr>
        <w:t>→</w:t>
      </w:r>
      <w:r>
        <w:rPr>
          <w:rFonts w:hint="eastAsia" w:eastAsia="仿宋_GB2312" w:cs="Times New Roman"/>
          <w:sz w:val="32"/>
          <w:szCs w:val="32"/>
        </w:rPr>
        <w:t>大清河南岸湿地。</w:t>
      </w:r>
    </w:p>
    <w:p>
      <w:pPr>
        <w:widowControl/>
        <w:spacing w:line="240" w:lineRule="auto"/>
        <w:ind w:firstLine="0" w:firstLineChars="0"/>
        <w:jc w:val="left"/>
        <w:rPr>
          <w:kern w:val="0"/>
          <w:sz w:val="28"/>
          <w:szCs w:val="28"/>
        </w:rPr>
      </w:pPr>
      <w:r>
        <w:rPr>
          <w:rFonts w:hint="eastAsia"/>
          <w:kern w:val="0"/>
          <w:sz w:val="28"/>
          <w:szCs w:val="28"/>
        </w:rPr>
        <w:drawing>
          <wp:inline distT="0" distB="0" distL="114300" distR="114300">
            <wp:extent cx="5397500" cy="4169410"/>
            <wp:effectExtent l="0" t="0" r="12700" b="2540"/>
            <wp:docPr id="26" name="图片 23" descr="C:\Users\dell\AppData\Roaming\Tencent\Users\447617404\QQ\WinTemp\RichOle\BS)IT_ZEDXOV2(_LR5IO]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descr="C:\Users\dell\AppData\Roaming\Tencent\Users\447617404\QQ\WinTemp\RichOle\BS)IT_ZEDXOV2(_LR5IO]CM.png"/>
                    <pic:cNvPicPr>
                      <a:picLocks noChangeAspect="1"/>
                    </pic:cNvPicPr>
                  </pic:nvPicPr>
                  <pic:blipFill>
                    <a:blip r:embed="rId32"/>
                    <a:stretch>
                      <a:fillRect/>
                    </a:stretch>
                  </pic:blipFill>
                  <pic:spPr>
                    <a:xfrm>
                      <a:off x="0" y="0"/>
                      <a:ext cx="5397500" cy="4169410"/>
                    </a:xfrm>
                    <a:prstGeom prst="rect">
                      <a:avLst/>
                    </a:prstGeom>
                    <a:noFill/>
                    <a:ln w="9525">
                      <a:noFill/>
                    </a:ln>
                  </pic:spPr>
                </pic:pic>
              </a:graphicData>
            </a:graphic>
          </wp:inline>
        </w:drawing>
      </w:r>
    </w:p>
    <w:p>
      <w:pPr>
        <w:pStyle w:val="5"/>
        <w:spacing w:before="132" w:beforeLines="3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7</w:t>
      </w:r>
      <w:r>
        <w:rPr>
          <w:rFonts w:hint="eastAsia" w:eastAsia="仿宋_GB2312"/>
          <w:sz w:val="32"/>
          <w:szCs w:val="32"/>
        </w:rPr>
        <w:t>-</w:t>
      </w:r>
      <w:r>
        <w:rPr>
          <w:rFonts w:ascii="Times New Roman" w:hAnsi="Times New Roman" w:eastAsia="仿宋_GB2312"/>
          <w:b/>
          <w:sz w:val="24"/>
          <w:szCs w:val="24"/>
        </w:rPr>
        <w:t>2</w:t>
      </w:r>
      <w:r>
        <w:rPr>
          <w:rFonts w:hint="eastAsia" w:ascii="Times New Roman" w:hAnsi="Times New Roman" w:eastAsia="仿宋_GB2312"/>
          <w:b/>
          <w:sz w:val="24"/>
          <w:szCs w:val="24"/>
        </w:rPr>
        <w:t>　文安东部水系循环方案</w:t>
      </w:r>
    </w:p>
    <w:p>
      <w:pPr>
        <w:spacing w:line="580" w:lineRule="exact"/>
        <w:ind w:firstLine="640"/>
        <w:rPr>
          <w:rFonts w:eastAsia="仿宋_GB2312" w:cs="Times New Roman"/>
          <w:sz w:val="32"/>
          <w:szCs w:val="32"/>
        </w:rPr>
      </w:pPr>
      <w:r>
        <w:rPr>
          <w:rFonts w:hint="eastAsia" w:eastAsia="仿宋_GB2312" w:cs="Times New Roman"/>
          <w:sz w:val="32"/>
          <w:szCs w:val="32"/>
        </w:rPr>
        <w:t>为保证水系能够形成水体循环流动，需要对水系进行及时补充水源。根据文安水文资料，文安县降雨主要集中在汛期，大部分河道仅在汛期（</w:t>
      </w:r>
      <w:r>
        <w:rPr>
          <w:rFonts w:eastAsia="仿宋_GB2312" w:cs="Times New Roman"/>
          <w:sz w:val="32"/>
          <w:szCs w:val="32"/>
        </w:rPr>
        <w:t>7</w:t>
      </w:r>
      <w:r>
        <w:rPr>
          <w:rFonts w:hint="eastAsia" w:eastAsia="仿宋_GB2312" w:cs="Times New Roman"/>
          <w:sz w:val="32"/>
          <w:szCs w:val="32"/>
        </w:rPr>
        <w:t>—</w:t>
      </w:r>
      <w:r>
        <w:rPr>
          <w:rFonts w:eastAsia="仿宋_GB2312" w:cs="Times New Roman"/>
          <w:sz w:val="32"/>
          <w:szCs w:val="32"/>
        </w:rPr>
        <w:t>9</w:t>
      </w:r>
      <w:r>
        <w:rPr>
          <w:rFonts w:hint="eastAsia" w:eastAsia="仿宋_GB2312" w:cs="Times New Roman"/>
          <w:sz w:val="32"/>
          <w:szCs w:val="32"/>
        </w:rPr>
        <w:t>月）依靠降雨形成水体流动，平时处于静止状态。因此，设计通过以下途径补充水源：（</w:t>
      </w:r>
      <w:r>
        <w:rPr>
          <w:rFonts w:eastAsia="仿宋_GB2312" w:cs="Times New Roman"/>
          <w:sz w:val="32"/>
          <w:szCs w:val="32"/>
        </w:rPr>
        <w:t>1</w:t>
      </w:r>
      <w:r>
        <w:rPr>
          <w:rFonts w:hint="eastAsia" w:eastAsia="仿宋_GB2312" w:cs="Times New Roman"/>
          <w:sz w:val="32"/>
          <w:szCs w:val="32"/>
        </w:rPr>
        <w:t>）河道、湿地引水，非汛期通过从赵王新河、大清河南岸人工湿地引水补给河道水体；（</w:t>
      </w:r>
      <w:r>
        <w:rPr>
          <w:rFonts w:eastAsia="仿宋_GB2312" w:cs="Times New Roman"/>
          <w:sz w:val="32"/>
          <w:szCs w:val="32"/>
        </w:rPr>
        <w:t>2</w:t>
      </w:r>
      <w:r>
        <w:rPr>
          <w:rFonts w:hint="eastAsia" w:eastAsia="仿宋_GB2312" w:cs="Times New Roman"/>
          <w:sz w:val="32"/>
          <w:szCs w:val="32"/>
        </w:rPr>
        <w:t>）污水处理厂补水，利用文安县污水处理厂处理后的再生水对河道进行补水。文安县现状已投入使用的污水处理厂，再生水出水量按照污水量的</w:t>
      </w:r>
      <w:r>
        <w:rPr>
          <w:rFonts w:eastAsia="仿宋_GB2312" w:cs="Times New Roman"/>
          <w:sz w:val="32"/>
          <w:szCs w:val="32"/>
        </w:rPr>
        <w:t>90%</w:t>
      </w:r>
      <w:r>
        <w:rPr>
          <w:rFonts w:hint="eastAsia" w:eastAsia="仿宋_GB2312" w:cs="Times New Roman"/>
          <w:sz w:val="32"/>
          <w:szCs w:val="32"/>
        </w:rPr>
        <w:t>计算，满负荷运行条件下，每天可提供再生水</w:t>
      </w:r>
      <w:r>
        <w:rPr>
          <w:rFonts w:eastAsia="仿宋_GB2312" w:cs="Times New Roman"/>
          <w:sz w:val="32"/>
          <w:szCs w:val="32"/>
        </w:rPr>
        <w:t>3.51</w:t>
      </w:r>
      <w:r>
        <w:rPr>
          <w:rFonts w:hint="eastAsia" w:eastAsia="仿宋_GB2312" w:cs="Times New Roman"/>
          <w:sz w:val="32"/>
          <w:szCs w:val="32"/>
        </w:rPr>
        <w:t>万吨。</w:t>
      </w:r>
    </w:p>
    <w:p>
      <w:pPr>
        <w:spacing w:line="580" w:lineRule="exact"/>
        <w:ind w:firstLine="640"/>
        <w:rPr>
          <w:rFonts w:eastAsia="仿宋_GB2312" w:cs="Times New Roman"/>
          <w:sz w:val="32"/>
          <w:szCs w:val="32"/>
        </w:rPr>
      </w:pPr>
      <w:r>
        <w:rPr>
          <w:rFonts w:hint="eastAsia" w:eastAsia="仿宋_GB2312" w:cs="Times New Roman"/>
          <w:sz w:val="32"/>
          <w:szCs w:val="32"/>
        </w:rPr>
        <w:t>实施文安县中部水系循环、东部水系循环，对中部水系、东部水系循环涉及的西毕干渠、赵么支渠、排干二渠、滩里干渠、董西干渠等排干渠进行河道清淤和深挖，建设必要的水系循环的新建建筑物，涉及深挖、清淤河道</w:t>
      </w:r>
      <w:r>
        <w:rPr>
          <w:rFonts w:eastAsia="仿宋_GB2312" w:cs="Times New Roman"/>
          <w:sz w:val="32"/>
          <w:szCs w:val="32"/>
        </w:rPr>
        <w:t>19.89km</w:t>
      </w:r>
      <w:r>
        <w:rPr>
          <w:rFonts w:hint="eastAsia" w:eastAsia="仿宋_GB2312" w:cs="Times New Roman"/>
          <w:sz w:val="32"/>
          <w:szCs w:val="32"/>
        </w:rPr>
        <w:t>，新建建筑物</w:t>
      </w:r>
      <w:r>
        <w:rPr>
          <w:rFonts w:eastAsia="仿宋_GB2312" w:cs="Times New Roman"/>
          <w:sz w:val="32"/>
          <w:szCs w:val="32"/>
        </w:rPr>
        <w:t>11</w:t>
      </w:r>
      <w:r>
        <w:rPr>
          <w:rFonts w:hint="eastAsia" w:eastAsia="仿宋_GB2312" w:cs="Times New Roman"/>
          <w:sz w:val="32"/>
          <w:szCs w:val="32"/>
        </w:rPr>
        <w:t>座。</w:t>
      </w:r>
    </w:p>
    <w:p>
      <w:pPr>
        <w:pStyle w:val="5"/>
        <w:spacing w:before="221" w:beforeLines="50" w:after="221" w:afterLines="50" w:line="240" w:lineRule="auto"/>
        <w:ind w:firstLine="0" w:firstLineChars="0"/>
        <w:jc w:val="center"/>
        <w:rPr>
          <w:rFonts w:ascii="黑体" w:cs="黑体"/>
          <w:bCs/>
          <w:sz w:val="32"/>
          <w:szCs w:val="32"/>
        </w:rPr>
      </w:pPr>
      <w:r>
        <w:rPr>
          <w:rFonts w:hint="eastAsia" w:ascii="黑体" w:hAnsi="黑体" w:cs="黑体"/>
          <w:bCs/>
          <w:sz w:val="32"/>
          <w:szCs w:val="32"/>
        </w:rPr>
        <w:t>表</w:t>
      </w:r>
      <w:r>
        <w:rPr>
          <w:rFonts w:ascii="黑体" w:hAnsi="黑体" w:cs="黑体"/>
          <w:bCs/>
          <w:sz w:val="32"/>
          <w:szCs w:val="32"/>
        </w:rPr>
        <w:t>7</w:t>
      </w:r>
      <w:r>
        <w:rPr>
          <w:rFonts w:hint="eastAsia" w:eastAsia="仿宋_GB2312"/>
          <w:sz w:val="32"/>
          <w:szCs w:val="32"/>
        </w:rPr>
        <w:t>-</w:t>
      </w:r>
      <w:r>
        <w:rPr>
          <w:rFonts w:ascii="黑体" w:hAnsi="黑体" w:cs="黑体"/>
          <w:bCs/>
          <w:sz w:val="32"/>
          <w:szCs w:val="32"/>
        </w:rPr>
        <w:t xml:space="preserve">4  </w:t>
      </w:r>
      <w:r>
        <w:rPr>
          <w:rFonts w:hint="eastAsia" w:ascii="黑体" w:hAnsi="黑体" w:cs="黑体"/>
          <w:bCs/>
          <w:sz w:val="32"/>
          <w:szCs w:val="32"/>
        </w:rPr>
        <w:t>实施工程计划表</w:t>
      </w:r>
    </w:p>
    <w:tbl>
      <w:tblPr>
        <w:tblStyle w:val="10"/>
        <w:tblW w:w="88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3"/>
        <w:gridCol w:w="2850"/>
        <w:gridCol w:w="2850"/>
        <w:gridCol w:w="2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 w:hRule="atLeast"/>
          <w:tblHeader/>
        </w:trPr>
        <w:tc>
          <w:tcPr>
            <w:tcW w:w="1073" w:type="dxa"/>
            <w:vMerge w:val="restart"/>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序号</w:t>
            </w:r>
          </w:p>
        </w:tc>
        <w:tc>
          <w:tcPr>
            <w:tcW w:w="2850" w:type="dxa"/>
            <w:vMerge w:val="restart"/>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项目名称</w:t>
            </w:r>
          </w:p>
        </w:tc>
        <w:tc>
          <w:tcPr>
            <w:tcW w:w="4897" w:type="dxa"/>
            <w:gridSpan w:val="2"/>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工程内容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7" w:hRule="atLeast"/>
          <w:tblHeader/>
        </w:trPr>
        <w:tc>
          <w:tcPr>
            <w:tcW w:w="1073" w:type="dxa"/>
            <w:vMerge w:val="continue"/>
            <w:vAlign w:val="center"/>
          </w:tcPr>
          <w:p>
            <w:pPr>
              <w:widowControl/>
              <w:spacing w:line="240" w:lineRule="auto"/>
              <w:ind w:firstLine="0" w:firstLineChars="0"/>
              <w:jc w:val="center"/>
              <w:rPr>
                <w:rFonts w:eastAsia="仿宋_GB2312" w:cs="Times New Roman"/>
                <w:b/>
                <w:bCs/>
                <w:kern w:val="0"/>
                <w:sz w:val="21"/>
                <w:szCs w:val="21"/>
              </w:rPr>
            </w:pPr>
          </w:p>
        </w:tc>
        <w:tc>
          <w:tcPr>
            <w:tcW w:w="2850" w:type="dxa"/>
            <w:vMerge w:val="continue"/>
            <w:vAlign w:val="center"/>
          </w:tcPr>
          <w:p>
            <w:pPr>
              <w:widowControl/>
              <w:spacing w:line="240" w:lineRule="auto"/>
              <w:ind w:firstLine="0" w:firstLineChars="0"/>
              <w:jc w:val="center"/>
              <w:rPr>
                <w:rFonts w:eastAsia="仿宋_GB2312" w:cs="Times New Roman"/>
                <w:b/>
                <w:bCs/>
                <w:kern w:val="0"/>
                <w:sz w:val="21"/>
                <w:szCs w:val="21"/>
              </w:rPr>
            </w:pPr>
          </w:p>
        </w:tc>
        <w:tc>
          <w:tcPr>
            <w:tcW w:w="2850"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深挖、清淤河道（公里）</w:t>
            </w:r>
          </w:p>
        </w:tc>
        <w:tc>
          <w:tcPr>
            <w:tcW w:w="2047"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新建建筑物（座）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一</w:t>
            </w:r>
          </w:p>
        </w:tc>
        <w:tc>
          <w:tcPr>
            <w:tcW w:w="2850" w:type="dxa"/>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中部水系循环</w:t>
            </w:r>
          </w:p>
        </w:tc>
        <w:tc>
          <w:tcPr>
            <w:tcW w:w="2850" w:type="dxa"/>
            <w:vAlign w:val="center"/>
          </w:tcPr>
          <w:p>
            <w:pPr>
              <w:widowControl/>
              <w:spacing w:line="240" w:lineRule="auto"/>
              <w:ind w:firstLine="0" w:firstLineChars="0"/>
              <w:jc w:val="center"/>
              <w:rPr>
                <w:rFonts w:eastAsia="仿宋_GB2312" w:cs="Times New Roman"/>
                <w:b/>
                <w:kern w:val="0"/>
                <w:sz w:val="21"/>
                <w:szCs w:val="21"/>
              </w:rPr>
            </w:pPr>
          </w:p>
        </w:tc>
        <w:tc>
          <w:tcPr>
            <w:tcW w:w="2047" w:type="dxa"/>
            <w:vAlign w:val="center"/>
          </w:tcPr>
          <w:p>
            <w:pPr>
              <w:widowControl/>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排二干渠马庄闸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李村干渠北口闸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西毕干渠西码头闸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0"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董西干渠与西毕干渠交汇口西码头过水头涵闸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二</w:t>
            </w:r>
          </w:p>
        </w:tc>
        <w:tc>
          <w:tcPr>
            <w:tcW w:w="2850"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东部水系循环</w:t>
            </w:r>
          </w:p>
        </w:tc>
        <w:tc>
          <w:tcPr>
            <w:tcW w:w="2850" w:type="dxa"/>
            <w:vAlign w:val="center"/>
          </w:tcPr>
          <w:p>
            <w:pPr>
              <w:widowControl/>
              <w:spacing w:line="240" w:lineRule="auto"/>
              <w:ind w:firstLine="0" w:firstLineChars="0"/>
              <w:jc w:val="center"/>
              <w:rPr>
                <w:rFonts w:eastAsia="仿宋_GB2312" w:cs="Times New Roman"/>
                <w:b/>
                <w:bCs/>
                <w:kern w:val="0"/>
                <w:sz w:val="21"/>
                <w:szCs w:val="21"/>
              </w:rPr>
            </w:pPr>
          </w:p>
        </w:tc>
        <w:tc>
          <w:tcPr>
            <w:tcW w:w="2047"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滩里干渠和滩德干渠之间东滩提水泵站</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滩德干渠西新桥节制闸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滩里新渠西长田节制闸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滩里新渠和滩里排干渠交叉口滩里倒虹吸（含2闸）</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赵么支渠清淤</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4.06</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董西干渠清淤</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4.55</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湿地南侧斗毛渠</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1.69</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湿地西侧斗毛渠</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2.64</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隔淀堤北侧渠道</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3.25</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西新桥支渠清淤</w:t>
            </w: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3.7</w:t>
            </w:r>
          </w:p>
        </w:tc>
        <w:tc>
          <w:tcPr>
            <w:tcW w:w="2047" w:type="dxa"/>
            <w:vAlign w:val="center"/>
          </w:tcPr>
          <w:p>
            <w:pPr>
              <w:widowControl/>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atLeast"/>
        </w:trPr>
        <w:tc>
          <w:tcPr>
            <w:tcW w:w="1073"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三</w:t>
            </w:r>
          </w:p>
        </w:tc>
        <w:tc>
          <w:tcPr>
            <w:tcW w:w="2850"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赵王新渠西洋町引水闸</w:t>
            </w:r>
          </w:p>
        </w:tc>
        <w:tc>
          <w:tcPr>
            <w:tcW w:w="2850" w:type="dxa"/>
            <w:vAlign w:val="center"/>
          </w:tcPr>
          <w:p>
            <w:pPr>
              <w:widowControl/>
              <w:spacing w:line="240" w:lineRule="auto"/>
              <w:ind w:firstLine="0" w:firstLineChars="0"/>
              <w:jc w:val="center"/>
              <w:rPr>
                <w:rFonts w:eastAsia="仿宋_GB2312" w:cs="Times New Roman"/>
                <w:b/>
                <w:bCs/>
                <w:kern w:val="0"/>
                <w:sz w:val="21"/>
                <w:szCs w:val="21"/>
              </w:rPr>
            </w:pPr>
          </w:p>
        </w:tc>
        <w:tc>
          <w:tcPr>
            <w:tcW w:w="2047" w:type="dxa"/>
            <w:vAlign w:val="center"/>
          </w:tcPr>
          <w:p>
            <w:pPr>
              <w:widowControl/>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9" w:hRule="atLeast"/>
        </w:trPr>
        <w:tc>
          <w:tcPr>
            <w:tcW w:w="107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合计</w:t>
            </w:r>
          </w:p>
        </w:tc>
        <w:tc>
          <w:tcPr>
            <w:tcW w:w="2850" w:type="dxa"/>
            <w:vAlign w:val="center"/>
          </w:tcPr>
          <w:p>
            <w:pPr>
              <w:widowControl/>
              <w:spacing w:line="240" w:lineRule="auto"/>
              <w:ind w:firstLine="0" w:firstLineChars="0"/>
              <w:jc w:val="center"/>
              <w:rPr>
                <w:rFonts w:eastAsia="仿宋_GB2312" w:cs="Times New Roman"/>
                <w:kern w:val="0"/>
                <w:sz w:val="21"/>
                <w:szCs w:val="21"/>
              </w:rPr>
            </w:pPr>
          </w:p>
        </w:tc>
        <w:tc>
          <w:tcPr>
            <w:tcW w:w="285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19.89</w:t>
            </w:r>
          </w:p>
        </w:tc>
        <w:tc>
          <w:tcPr>
            <w:tcW w:w="2047"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w:t>
            </w:r>
          </w:p>
        </w:tc>
      </w:tr>
    </w:tbl>
    <w:p>
      <w:pPr>
        <w:pStyle w:val="4"/>
        <w:adjustRightInd w:val="0"/>
        <w:snapToGrid w:val="0"/>
        <w:spacing w:line="590" w:lineRule="exact"/>
        <w:ind w:firstLine="643"/>
      </w:pPr>
      <w:bookmarkStart w:id="29" w:name="_Toc471"/>
      <w:r>
        <w:t>7.5.2</w:t>
      </w:r>
      <w:r>
        <w:rPr>
          <w:rFonts w:hint="eastAsia"/>
        </w:rPr>
        <w:t>加强河道内藻类防控与处置</w:t>
      </w:r>
      <w:bookmarkEnd w:id="29"/>
    </w:p>
    <w:p>
      <w:pPr>
        <w:spacing w:line="590" w:lineRule="exact"/>
        <w:ind w:firstLine="640"/>
        <w:rPr>
          <w:rFonts w:eastAsia="仿宋_GB2312" w:cs="Times New Roman"/>
          <w:sz w:val="32"/>
          <w:szCs w:val="32"/>
        </w:rPr>
      </w:pPr>
      <w:r>
        <w:rPr>
          <w:rFonts w:hint="eastAsia" w:eastAsia="仿宋_GB2312" w:cs="Times New Roman"/>
          <w:sz w:val="32"/>
          <w:szCs w:val="32"/>
        </w:rPr>
        <w:t>加强河道内藻类生长控制。在台头断面上下游设置</w:t>
      </w:r>
      <w:r>
        <w:rPr>
          <w:rFonts w:eastAsia="仿宋_GB2312" w:cs="Times New Roman"/>
          <w:sz w:val="32"/>
          <w:szCs w:val="32"/>
        </w:rPr>
        <w:t>2</w:t>
      </w:r>
      <w:r>
        <w:rPr>
          <w:rFonts w:hint="eastAsia" w:eastAsia="仿宋_GB2312" w:cs="Times New Roman"/>
          <w:sz w:val="32"/>
          <w:szCs w:val="32"/>
        </w:rPr>
        <w:t>道拦藻设施，阻隔上游藻类和下游天津市河道内水体回水。在台头断面上下游河道适宜区域内栽种苦草、黑藻、芦苇、香蒲等植物，提高水生生态系统物种多样性，抑制藻类爆发性生长。</w:t>
      </w:r>
    </w:p>
    <w:p>
      <w:pPr>
        <w:spacing w:line="590" w:lineRule="exact"/>
        <w:ind w:firstLine="640"/>
        <w:rPr>
          <w:rFonts w:eastAsia="仿宋_GB2312" w:cs="Times New Roman"/>
          <w:sz w:val="32"/>
          <w:szCs w:val="32"/>
        </w:rPr>
      </w:pPr>
      <w:r>
        <w:rPr>
          <w:rFonts w:hint="eastAsia" w:eastAsia="仿宋_GB2312" w:cs="Times New Roman"/>
          <w:sz w:val="32"/>
          <w:szCs w:val="32"/>
        </w:rPr>
        <w:t>春夏藻类易发期，可采用加压控藻船或投加改性土壤、抑藻剂等多种临时措施，控制夏季藻类爆发性生长，聘请第三方打捞公司，及时对河道内过量生长的藻类进行打捞。</w:t>
      </w:r>
    </w:p>
    <w:p>
      <w:pPr>
        <w:spacing w:line="590" w:lineRule="exact"/>
        <w:ind w:firstLine="640"/>
        <w:rPr>
          <w:rFonts w:eastAsia="仿宋_GB2312" w:cs="Times New Roman"/>
          <w:sz w:val="32"/>
          <w:szCs w:val="32"/>
        </w:rPr>
      </w:pPr>
      <w:r>
        <w:rPr>
          <w:rFonts w:hint="eastAsia" w:eastAsia="仿宋_GB2312" w:cs="Times New Roman"/>
          <w:sz w:val="32"/>
          <w:szCs w:val="32"/>
        </w:rPr>
        <w:t>在常规污染指标监测的基础上，加强考核断面藻类、透明度和叶绿素等指标的监测，为考核断面水质达标预警提供科学依据。</w:t>
      </w:r>
    </w:p>
    <w:p>
      <w:pPr>
        <w:pStyle w:val="4"/>
        <w:adjustRightInd w:val="0"/>
        <w:snapToGrid w:val="0"/>
        <w:spacing w:line="590" w:lineRule="exact"/>
        <w:ind w:firstLine="643"/>
      </w:pPr>
      <w:bookmarkStart w:id="30" w:name="_Toc26906"/>
      <w:r>
        <w:t>7.5.3</w:t>
      </w:r>
      <w:r>
        <w:rPr>
          <w:rFonts w:hint="eastAsia"/>
        </w:rPr>
        <w:t>加强河道生态补水</w:t>
      </w:r>
      <w:bookmarkEnd w:id="30"/>
    </w:p>
    <w:p>
      <w:pPr>
        <w:spacing w:line="590" w:lineRule="exact"/>
        <w:ind w:firstLine="640"/>
        <w:rPr>
          <w:rFonts w:eastAsia="仿宋_GB2312" w:cs="Times New Roman"/>
          <w:sz w:val="32"/>
          <w:szCs w:val="32"/>
        </w:rPr>
      </w:pPr>
      <w:r>
        <w:rPr>
          <w:rFonts w:hint="eastAsia" w:eastAsia="仿宋_GB2312" w:cs="Times New Roman"/>
          <w:sz w:val="32"/>
          <w:szCs w:val="32"/>
        </w:rPr>
        <w:t>借助南水北调工程分配水量，通过建设泵站等，向大清河文安段以及霸州市中亭河补充河道生态用水，保障河流活水循环，霸州市补水规模</w:t>
      </w:r>
      <w:r>
        <w:rPr>
          <w:rFonts w:eastAsia="仿宋_GB2312" w:cs="Times New Roman"/>
          <w:sz w:val="32"/>
          <w:szCs w:val="32"/>
        </w:rPr>
        <w:t>6000</w:t>
      </w:r>
      <w:r>
        <w:rPr>
          <w:rFonts w:hint="eastAsia" w:eastAsia="仿宋_GB2312" w:cs="Times New Roman"/>
          <w:sz w:val="32"/>
          <w:szCs w:val="32"/>
        </w:rPr>
        <w:t>万立方米，文安县补水规模</w:t>
      </w:r>
      <w:r>
        <w:rPr>
          <w:rFonts w:eastAsia="仿宋_GB2312" w:cs="Times New Roman"/>
          <w:sz w:val="32"/>
          <w:szCs w:val="32"/>
        </w:rPr>
        <w:t>8000</w:t>
      </w:r>
      <w:r>
        <w:rPr>
          <w:rFonts w:hint="eastAsia" w:eastAsia="仿宋_GB2312" w:cs="Times New Roman"/>
          <w:sz w:val="32"/>
          <w:szCs w:val="32"/>
        </w:rPr>
        <w:t>万立方米。</w:t>
      </w:r>
    </w:p>
    <w:p>
      <w:pPr>
        <w:pStyle w:val="4"/>
        <w:adjustRightInd w:val="0"/>
        <w:snapToGrid w:val="0"/>
        <w:spacing w:line="590" w:lineRule="exact"/>
        <w:ind w:firstLine="643"/>
      </w:pPr>
      <w:bookmarkStart w:id="31" w:name="_Toc28075"/>
      <w:r>
        <w:t>7.5.4</w:t>
      </w:r>
      <w:r>
        <w:rPr>
          <w:rFonts w:hint="eastAsia"/>
        </w:rPr>
        <w:t>推进河道综合治理与生态修复</w:t>
      </w:r>
      <w:bookmarkEnd w:id="31"/>
    </w:p>
    <w:p>
      <w:pPr>
        <w:spacing w:line="590" w:lineRule="exact"/>
        <w:ind w:firstLine="640"/>
        <w:rPr>
          <w:rFonts w:eastAsia="仿宋_GB2312" w:cs="Times New Roman"/>
          <w:sz w:val="32"/>
          <w:szCs w:val="32"/>
        </w:rPr>
      </w:pPr>
      <w:r>
        <w:rPr>
          <w:rFonts w:hint="eastAsia" w:eastAsia="仿宋_GB2312" w:cs="Times New Roman"/>
          <w:sz w:val="32"/>
          <w:szCs w:val="32"/>
        </w:rPr>
        <w:t>开展石沟干渠综合治理，对渠道开展河道清淤，建设表流人工湿地，种植水生植物，开展两岸生态岸坡绿化，建设范围北起砾石床出口，南至石沟扬水站。在大清河台头断面上下游通过往河道投加一定厚度碎石等，开展河道污染底质原位修复，治理污染底泥释放。在台头断面上下游通过种植水生植物、建设表流人工湿地等，开展大清河文安段自然生态系统建设工程，恢复大清河文安段水生态系统。加强大清河文安段河道中芦苇等的冬季收割，避免枯死的芦苇影响大清河水质。</w:t>
      </w:r>
    </w:p>
    <w:p>
      <w:pPr>
        <w:pStyle w:val="3"/>
        <w:adjustRightInd w:val="0"/>
        <w:snapToGrid w:val="0"/>
        <w:spacing w:line="590" w:lineRule="exact"/>
        <w:ind w:firstLine="643"/>
        <w:rPr>
          <w:rFonts w:eastAsia="楷体_GB2312"/>
        </w:rPr>
      </w:pPr>
      <w:bookmarkStart w:id="32" w:name="_Toc992"/>
      <w:bookmarkStart w:id="33" w:name="_Toc15757"/>
      <w:r>
        <w:rPr>
          <w:rFonts w:eastAsia="楷体_GB2312"/>
        </w:rPr>
        <w:t>7.6</w:t>
      </w:r>
      <w:r>
        <w:rPr>
          <w:rFonts w:hAnsi="楷体_GB2312" w:eastAsia="楷体_GB2312"/>
        </w:rPr>
        <w:t>建立水环境监管方案</w:t>
      </w:r>
      <w:bookmarkEnd w:id="32"/>
      <w:bookmarkEnd w:id="33"/>
    </w:p>
    <w:p>
      <w:pPr>
        <w:pStyle w:val="4"/>
        <w:adjustRightInd w:val="0"/>
        <w:snapToGrid w:val="0"/>
        <w:spacing w:line="590" w:lineRule="exact"/>
        <w:ind w:firstLine="643"/>
      </w:pPr>
      <w:bookmarkStart w:id="34" w:name="_Toc16384"/>
      <w:bookmarkStart w:id="35" w:name="_Toc7352"/>
      <w:r>
        <w:t>7.6.1</w:t>
      </w:r>
      <w:r>
        <w:rPr>
          <w:rFonts w:hint="eastAsia"/>
        </w:rPr>
        <w:t>全面发挥</w:t>
      </w:r>
      <w:r>
        <w:t>“</w:t>
      </w:r>
      <w:r>
        <w:rPr>
          <w:rFonts w:hint="eastAsia"/>
        </w:rPr>
        <w:t>河（段）长制</w:t>
      </w:r>
      <w:r>
        <w:t>”</w:t>
      </w:r>
      <w:r>
        <w:rPr>
          <w:rFonts w:hint="eastAsia"/>
        </w:rPr>
        <w:t>管理制度</w:t>
      </w:r>
      <w:bookmarkEnd w:id="34"/>
      <w:r>
        <w:rPr>
          <w:rFonts w:hint="eastAsia"/>
        </w:rPr>
        <w:t>效能</w:t>
      </w:r>
      <w:bookmarkEnd w:id="35"/>
    </w:p>
    <w:p>
      <w:pPr>
        <w:spacing w:line="590" w:lineRule="exact"/>
        <w:ind w:firstLine="640"/>
        <w:rPr>
          <w:rFonts w:eastAsia="仿宋_GB2312" w:cs="Times New Roman"/>
          <w:sz w:val="32"/>
          <w:szCs w:val="32"/>
        </w:rPr>
      </w:pPr>
      <w:r>
        <w:rPr>
          <w:rFonts w:hint="eastAsia" w:eastAsia="仿宋_GB2312" w:cs="Times New Roman"/>
          <w:sz w:val="32"/>
          <w:szCs w:val="32"/>
        </w:rPr>
        <w:t>健全河（段）长制的巡查、信息报告、应急处置、督查督办、考核激励等工作机制，落实河（段）长的水环境治理责任，发挥其管理制度效能。</w:t>
      </w:r>
    </w:p>
    <w:p>
      <w:pPr>
        <w:pStyle w:val="4"/>
        <w:adjustRightInd w:val="0"/>
        <w:snapToGrid w:val="0"/>
        <w:spacing w:line="590" w:lineRule="exact"/>
        <w:ind w:firstLine="643"/>
      </w:pPr>
      <w:bookmarkStart w:id="36" w:name="_Toc10809"/>
      <w:bookmarkStart w:id="37" w:name="_Toc5269"/>
      <w:r>
        <w:t>7.6.2</w:t>
      </w:r>
      <w:r>
        <w:rPr>
          <w:rFonts w:hint="eastAsia"/>
        </w:rPr>
        <w:t>强化工业企业监管</w:t>
      </w:r>
      <w:bookmarkEnd w:id="36"/>
      <w:bookmarkEnd w:id="37"/>
    </w:p>
    <w:p>
      <w:pPr>
        <w:spacing w:line="590" w:lineRule="exact"/>
        <w:ind w:firstLine="640"/>
        <w:rPr>
          <w:rFonts w:eastAsia="仿宋_GB2312" w:cs="Times New Roman"/>
          <w:sz w:val="32"/>
          <w:szCs w:val="32"/>
        </w:rPr>
      </w:pPr>
      <w:r>
        <w:rPr>
          <w:rFonts w:hint="eastAsia" w:eastAsia="仿宋_GB2312" w:cs="Times New Roman"/>
          <w:sz w:val="32"/>
          <w:szCs w:val="32"/>
        </w:rPr>
        <w:t>全面排查工业企业，完善管理档案。对工业区的企业进行逐个排查，摸清家底，掌握其实际情况，建立和完善档案资料，实行一企一档，分类管理。</w:t>
      </w:r>
    </w:p>
    <w:p>
      <w:pPr>
        <w:spacing w:line="590" w:lineRule="exact"/>
        <w:ind w:firstLine="640"/>
        <w:rPr>
          <w:rFonts w:eastAsia="仿宋_GB2312" w:cs="Times New Roman"/>
          <w:sz w:val="32"/>
          <w:szCs w:val="32"/>
        </w:rPr>
      </w:pPr>
      <w:r>
        <w:rPr>
          <w:rFonts w:hint="eastAsia" w:eastAsia="仿宋_GB2312" w:cs="Times New Roman"/>
          <w:sz w:val="32"/>
          <w:szCs w:val="32"/>
        </w:rPr>
        <w:t>落实污染治理措施。加大对工业区企业污水排放情况的检查力度，对污水不能稳定达标排放的，责令限期治理，督促工业企业废水污染物浓度达到污水处理厂的纳管要求。达标企业应采取措施确保稳定达标。</w:t>
      </w:r>
    </w:p>
    <w:p>
      <w:pPr>
        <w:spacing w:line="590" w:lineRule="exact"/>
        <w:ind w:firstLine="640"/>
        <w:rPr>
          <w:rFonts w:eastAsia="仿宋_GB2312" w:cs="Times New Roman"/>
          <w:sz w:val="32"/>
          <w:szCs w:val="32"/>
        </w:rPr>
      </w:pPr>
      <w:r>
        <w:rPr>
          <w:rFonts w:hint="eastAsia" w:eastAsia="仿宋_GB2312" w:cs="Times New Roman"/>
          <w:sz w:val="32"/>
          <w:szCs w:val="32"/>
        </w:rPr>
        <w:t>强化企业日常环境监管。工业有毒废水必须进行预处理并开展自我监测。生态环境部门定期抽查工业排污达标排放情况，结果定期向社会公布。</w:t>
      </w:r>
    </w:p>
    <w:p>
      <w:pPr>
        <w:spacing w:line="590" w:lineRule="exact"/>
        <w:ind w:firstLine="643"/>
        <w:rPr>
          <w:rFonts w:eastAsia="仿宋_GB2312" w:cs="Times New Roman"/>
          <w:b/>
          <w:sz w:val="32"/>
          <w:szCs w:val="32"/>
        </w:rPr>
      </w:pPr>
      <w:bookmarkStart w:id="38" w:name="_Toc20861"/>
      <w:bookmarkStart w:id="39" w:name="_Toc31308"/>
      <w:r>
        <w:rPr>
          <w:rFonts w:eastAsia="仿宋_GB2312" w:cs="Times New Roman"/>
          <w:b/>
          <w:sz w:val="32"/>
          <w:szCs w:val="32"/>
        </w:rPr>
        <w:t>7.6.3</w:t>
      </w:r>
      <w:r>
        <w:rPr>
          <w:rFonts w:hint="eastAsia" w:eastAsia="仿宋_GB2312" w:cs="Times New Roman"/>
          <w:b/>
          <w:sz w:val="32"/>
          <w:szCs w:val="32"/>
        </w:rPr>
        <w:t>提升水环境监管能力和水平</w:t>
      </w:r>
      <w:bookmarkEnd w:id="38"/>
      <w:bookmarkEnd w:id="39"/>
    </w:p>
    <w:p>
      <w:pPr>
        <w:spacing w:line="590" w:lineRule="exact"/>
        <w:ind w:firstLine="640"/>
        <w:rPr>
          <w:rFonts w:eastAsia="仿宋_GB2312" w:cs="Times New Roman"/>
          <w:sz w:val="32"/>
          <w:szCs w:val="32"/>
        </w:rPr>
      </w:pPr>
      <w:r>
        <w:rPr>
          <w:rFonts w:hint="eastAsia" w:eastAsia="仿宋_GB2312" w:cs="Times New Roman"/>
          <w:sz w:val="32"/>
          <w:szCs w:val="32"/>
        </w:rPr>
        <w:t>完善水质自动监测站和污染源在线监测、视频监控等自动化监测能力建设。采取手工监测和自动站监测相结合的方式监控重点水质断面和重点污染源，全面掌控污水处理厂和污染源动态。手工监测每月</w:t>
      </w:r>
      <w:r>
        <w:rPr>
          <w:rFonts w:eastAsia="仿宋_GB2312" w:cs="Times New Roman"/>
          <w:sz w:val="32"/>
          <w:szCs w:val="32"/>
        </w:rPr>
        <w:t>1</w:t>
      </w:r>
      <w:r>
        <w:rPr>
          <w:rFonts w:hint="eastAsia" w:eastAsia="仿宋_GB2312" w:cs="Times New Roman"/>
          <w:sz w:val="32"/>
          <w:szCs w:val="32"/>
        </w:rPr>
        <w:t>次，针对大清河超标指标（</w:t>
      </w:r>
      <w:r>
        <w:rPr>
          <w:rFonts w:eastAsia="仿宋_GB2312" w:cs="Times New Roman"/>
          <w:sz w:val="32"/>
          <w:szCs w:val="32"/>
        </w:rPr>
        <w:t>COD</w:t>
      </w:r>
      <w:r>
        <w:rPr>
          <w:rFonts w:hint="eastAsia" w:eastAsia="仿宋_GB2312" w:cs="Times New Roman"/>
          <w:sz w:val="32"/>
          <w:szCs w:val="32"/>
        </w:rPr>
        <w:t>），中亭河常规超标指标（</w:t>
      </w:r>
      <w:r>
        <w:rPr>
          <w:rFonts w:eastAsia="仿宋_GB2312" w:cs="Times New Roman"/>
          <w:sz w:val="32"/>
          <w:szCs w:val="32"/>
        </w:rPr>
        <w:t>COD</w:t>
      </w:r>
      <w:r>
        <w:rPr>
          <w:rFonts w:hint="eastAsia" w:eastAsia="仿宋_GB2312" w:cs="Times New Roman"/>
          <w:sz w:val="32"/>
          <w:szCs w:val="32"/>
        </w:rPr>
        <w:t>、氨氮和总磷）和特征指标（铁、氯离子）开展监测，同时每年</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10</w:t>
      </w:r>
      <w:r>
        <w:rPr>
          <w:rFonts w:hint="eastAsia" w:eastAsia="仿宋_GB2312" w:cs="Times New Roman"/>
          <w:sz w:val="32"/>
          <w:szCs w:val="32"/>
        </w:rPr>
        <w:t>月增加河流水体内蓝藻等藻类监测。大清河台头断面布设流速流向仪，记录台头断面水流方向及研究流向规律。手工采样时同步记录流速流向，并记录采样现场视频。</w:t>
      </w:r>
    </w:p>
    <w:p>
      <w:pPr>
        <w:spacing w:line="590" w:lineRule="exact"/>
        <w:ind w:firstLine="640"/>
        <w:rPr>
          <w:rFonts w:eastAsia="仿宋_GB2312" w:cs="Times New Roman"/>
          <w:sz w:val="32"/>
          <w:szCs w:val="32"/>
        </w:rPr>
      </w:pPr>
      <w:r>
        <w:rPr>
          <w:rFonts w:hint="eastAsia" w:eastAsia="仿宋_GB2312" w:cs="Times New Roman"/>
          <w:sz w:val="32"/>
          <w:szCs w:val="32"/>
        </w:rPr>
        <w:t>严格水环境执法。坚持日常监管和专项整治相结合，深入开展各类环保专项行动，重点打击重污染行业企业、污水处理厂等存在的环境违法现象。执行</w:t>
      </w:r>
      <w:r>
        <w:rPr>
          <w:rFonts w:eastAsia="仿宋_GB2312" w:cs="Times New Roman"/>
          <w:sz w:val="32"/>
          <w:szCs w:val="32"/>
        </w:rPr>
        <w:t>“</w:t>
      </w:r>
      <w:r>
        <w:rPr>
          <w:rFonts w:hint="eastAsia" w:eastAsia="仿宋_GB2312" w:cs="Times New Roman"/>
          <w:sz w:val="32"/>
          <w:szCs w:val="32"/>
        </w:rPr>
        <w:t>红黄牌</w:t>
      </w:r>
      <w:r>
        <w:rPr>
          <w:rFonts w:eastAsia="仿宋_GB2312" w:cs="Times New Roman"/>
          <w:sz w:val="32"/>
          <w:szCs w:val="32"/>
        </w:rPr>
        <w:t>”</w:t>
      </w:r>
      <w:r>
        <w:rPr>
          <w:rFonts w:hint="eastAsia" w:eastAsia="仿宋_GB2312" w:cs="Times New Roman"/>
          <w:sz w:val="32"/>
          <w:szCs w:val="32"/>
        </w:rPr>
        <w:t>警示制度，对超标和超总量的企业予以</w:t>
      </w:r>
      <w:r>
        <w:rPr>
          <w:rFonts w:eastAsia="仿宋_GB2312" w:cs="Times New Roman"/>
          <w:sz w:val="32"/>
          <w:szCs w:val="32"/>
        </w:rPr>
        <w:t>“</w:t>
      </w:r>
      <w:r>
        <w:rPr>
          <w:rFonts w:hint="eastAsia" w:eastAsia="仿宋_GB2312" w:cs="Times New Roman"/>
          <w:sz w:val="32"/>
          <w:szCs w:val="32"/>
        </w:rPr>
        <w:t>黄牌</w:t>
      </w:r>
      <w:r>
        <w:rPr>
          <w:rFonts w:eastAsia="仿宋_GB2312" w:cs="Times New Roman"/>
          <w:sz w:val="32"/>
          <w:szCs w:val="32"/>
        </w:rPr>
        <w:t>”</w:t>
      </w:r>
      <w:r>
        <w:rPr>
          <w:rFonts w:hint="eastAsia" w:eastAsia="仿宋_GB2312" w:cs="Times New Roman"/>
          <w:sz w:val="32"/>
          <w:szCs w:val="32"/>
        </w:rPr>
        <w:t>警示，一律限制生产或停产整治；对整治仍不能达到要求且情节严重的企业和列入环保违法黑名单的企业予以</w:t>
      </w:r>
      <w:r>
        <w:rPr>
          <w:rFonts w:eastAsia="仿宋_GB2312" w:cs="Times New Roman"/>
          <w:sz w:val="32"/>
          <w:szCs w:val="32"/>
        </w:rPr>
        <w:t>“</w:t>
      </w:r>
      <w:r>
        <w:rPr>
          <w:rFonts w:hint="eastAsia" w:eastAsia="仿宋_GB2312" w:cs="Times New Roman"/>
          <w:sz w:val="32"/>
          <w:szCs w:val="32"/>
        </w:rPr>
        <w:t>红牌</w:t>
      </w:r>
      <w:r>
        <w:rPr>
          <w:rFonts w:eastAsia="仿宋_GB2312" w:cs="Times New Roman"/>
          <w:sz w:val="32"/>
          <w:szCs w:val="32"/>
        </w:rPr>
        <w:t>”</w:t>
      </w:r>
      <w:r>
        <w:rPr>
          <w:rFonts w:hint="eastAsia" w:eastAsia="仿宋_GB2312" w:cs="Times New Roman"/>
          <w:sz w:val="32"/>
          <w:szCs w:val="32"/>
        </w:rPr>
        <w:t>处罚，一律停业、关闭。定期抽查排污单位达标排放情况，结果向社会公布。</w:t>
      </w:r>
      <w:bookmarkStart w:id="40" w:name="_Toc24128"/>
    </w:p>
    <w:p>
      <w:pPr>
        <w:adjustRightInd w:val="0"/>
        <w:snapToGrid w:val="0"/>
        <w:spacing w:line="590" w:lineRule="exact"/>
        <w:ind w:firstLine="640"/>
        <w:rPr>
          <w:rFonts w:ascii="黑体" w:hAnsi="黑体" w:eastAsia="黑体" w:cs="黑体"/>
          <w:sz w:val="32"/>
          <w:szCs w:val="32"/>
        </w:rPr>
      </w:pPr>
      <w:r>
        <w:rPr>
          <w:rFonts w:hint="eastAsia" w:ascii="黑体" w:hAnsi="黑体" w:eastAsia="黑体" w:cs="黑体"/>
          <w:sz w:val="32"/>
          <w:szCs w:val="32"/>
        </w:rPr>
        <w:t>八、重点工程项目投资及效益分析</w:t>
      </w:r>
      <w:bookmarkEnd w:id="40"/>
    </w:p>
    <w:p>
      <w:pPr>
        <w:pStyle w:val="3"/>
        <w:adjustRightInd w:val="0"/>
        <w:snapToGrid w:val="0"/>
        <w:spacing w:line="590" w:lineRule="exact"/>
        <w:ind w:firstLine="643"/>
        <w:rPr>
          <w:rFonts w:eastAsia="楷体_GB2312"/>
        </w:rPr>
      </w:pPr>
      <w:bookmarkStart w:id="41" w:name="_Toc15376"/>
      <w:r>
        <w:rPr>
          <w:rFonts w:eastAsia="楷体_GB2312"/>
        </w:rPr>
        <w:t>8.1</w:t>
      </w:r>
      <w:r>
        <w:rPr>
          <w:rFonts w:hAnsi="楷体_GB2312" w:eastAsia="楷体_GB2312"/>
        </w:rPr>
        <w:t>工程投资</w:t>
      </w:r>
      <w:bookmarkEnd w:id="41"/>
    </w:p>
    <w:p>
      <w:pPr>
        <w:spacing w:line="590" w:lineRule="exact"/>
        <w:ind w:firstLine="640"/>
        <w:rPr>
          <w:rFonts w:eastAsia="仿宋_GB2312" w:cs="Times New Roman"/>
          <w:sz w:val="32"/>
          <w:szCs w:val="32"/>
        </w:rPr>
      </w:pPr>
      <w:r>
        <w:rPr>
          <w:rFonts w:hint="eastAsia" w:eastAsia="仿宋_GB2312" w:cs="Times New Roman"/>
          <w:sz w:val="32"/>
          <w:szCs w:val="32"/>
        </w:rPr>
        <w:t>根据本方案重点任务，大清河及其支流水系的治理工程主要分为流域污染源治理和流域河道综合治理与生态修复两大类项目，具体项目内容涉及农村污水处理设施建设、水系连通、河道综合治理、自然生态系统建设、藻类治理与综合管控、生态补水、底泥修复等方面，工程项目总数</w:t>
      </w:r>
      <w:r>
        <w:rPr>
          <w:rFonts w:eastAsia="仿宋_GB2312" w:cs="Times New Roman"/>
          <w:sz w:val="32"/>
          <w:szCs w:val="32"/>
        </w:rPr>
        <w:t>12</w:t>
      </w:r>
      <w:r>
        <w:rPr>
          <w:rFonts w:hint="eastAsia" w:eastAsia="仿宋_GB2312" w:cs="Times New Roman"/>
          <w:sz w:val="32"/>
          <w:szCs w:val="32"/>
        </w:rPr>
        <w:t>个，总投资约</w:t>
      </w:r>
      <w:r>
        <w:rPr>
          <w:rFonts w:eastAsia="仿宋_GB2312" w:cs="Times New Roman"/>
          <w:sz w:val="32"/>
          <w:szCs w:val="32"/>
        </w:rPr>
        <w:t>3.21</w:t>
      </w:r>
      <w:r>
        <w:rPr>
          <w:rFonts w:hint="eastAsia" w:eastAsia="仿宋_GB2312" w:cs="Times New Roman"/>
          <w:sz w:val="32"/>
          <w:szCs w:val="32"/>
        </w:rPr>
        <w:t>亿元。其中，流域污染源治理类项目</w:t>
      </w:r>
      <w:r>
        <w:rPr>
          <w:rFonts w:eastAsia="仿宋_GB2312" w:cs="Times New Roman"/>
          <w:sz w:val="32"/>
          <w:szCs w:val="32"/>
        </w:rPr>
        <w:t>3</w:t>
      </w:r>
      <w:r>
        <w:rPr>
          <w:rFonts w:hint="eastAsia" w:eastAsia="仿宋_GB2312" w:cs="Times New Roman"/>
          <w:sz w:val="32"/>
          <w:szCs w:val="32"/>
        </w:rPr>
        <w:t>个，投资约</w:t>
      </w:r>
      <w:r>
        <w:rPr>
          <w:rFonts w:eastAsia="仿宋_GB2312" w:cs="Times New Roman"/>
          <w:sz w:val="32"/>
          <w:szCs w:val="32"/>
        </w:rPr>
        <w:t>1.51</w:t>
      </w:r>
      <w:r>
        <w:rPr>
          <w:rFonts w:hint="eastAsia" w:eastAsia="仿宋_GB2312" w:cs="Times New Roman"/>
          <w:sz w:val="32"/>
          <w:szCs w:val="32"/>
        </w:rPr>
        <w:t>亿元；流域河道综合治理与生态修复类项目</w:t>
      </w:r>
      <w:r>
        <w:rPr>
          <w:rFonts w:eastAsia="仿宋_GB2312" w:cs="Times New Roman"/>
          <w:sz w:val="32"/>
          <w:szCs w:val="32"/>
        </w:rPr>
        <w:t>9</w:t>
      </w:r>
      <w:r>
        <w:rPr>
          <w:rFonts w:hint="eastAsia" w:eastAsia="仿宋_GB2312" w:cs="Times New Roman"/>
          <w:sz w:val="32"/>
          <w:szCs w:val="32"/>
        </w:rPr>
        <w:t>个，投资约</w:t>
      </w:r>
      <w:r>
        <w:rPr>
          <w:rFonts w:eastAsia="仿宋_GB2312" w:cs="Times New Roman"/>
          <w:sz w:val="32"/>
          <w:szCs w:val="32"/>
        </w:rPr>
        <w:t>1.70</w:t>
      </w:r>
      <w:r>
        <w:rPr>
          <w:rFonts w:hint="eastAsia" w:eastAsia="仿宋_GB2312" w:cs="Times New Roman"/>
          <w:sz w:val="32"/>
          <w:szCs w:val="32"/>
        </w:rPr>
        <w:t>亿元。重点项目及投资具体情况见附表</w:t>
      </w:r>
      <w:r>
        <w:rPr>
          <w:rFonts w:eastAsia="仿宋_GB2312" w:cs="Times New Roman"/>
          <w:sz w:val="32"/>
          <w:szCs w:val="32"/>
        </w:rPr>
        <w:t>1</w:t>
      </w:r>
      <w:r>
        <w:rPr>
          <w:rFonts w:hint="eastAsia" w:eastAsia="仿宋_GB2312" w:cs="Times New Roman"/>
          <w:sz w:val="32"/>
          <w:szCs w:val="32"/>
        </w:rPr>
        <w:t>。</w:t>
      </w:r>
    </w:p>
    <w:p>
      <w:pPr>
        <w:pStyle w:val="3"/>
        <w:adjustRightInd w:val="0"/>
        <w:snapToGrid w:val="0"/>
        <w:spacing w:line="590" w:lineRule="exact"/>
        <w:ind w:firstLine="643"/>
        <w:rPr>
          <w:rFonts w:eastAsia="楷体_GB2312"/>
        </w:rPr>
      </w:pPr>
      <w:bookmarkStart w:id="42" w:name="_Toc6157"/>
      <w:r>
        <w:rPr>
          <w:rFonts w:eastAsia="楷体_GB2312"/>
        </w:rPr>
        <w:t>8.2</w:t>
      </w:r>
      <w:r>
        <w:rPr>
          <w:rFonts w:hAnsi="楷体_GB2312" w:eastAsia="楷体_GB2312"/>
        </w:rPr>
        <w:t>效益分析</w:t>
      </w:r>
      <w:bookmarkEnd w:id="42"/>
    </w:p>
    <w:p>
      <w:pPr>
        <w:pStyle w:val="4"/>
        <w:adjustRightInd w:val="0"/>
        <w:snapToGrid w:val="0"/>
        <w:spacing w:line="590" w:lineRule="exact"/>
        <w:ind w:firstLine="643"/>
      </w:pPr>
      <w:bookmarkStart w:id="43" w:name="_Toc3002"/>
      <w:bookmarkStart w:id="44" w:name="_Toc21651"/>
      <w:r>
        <w:t xml:space="preserve">8.2.1 </w:t>
      </w:r>
      <w:r>
        <w:rPr>
          <w:rFonts w:hint="eastAsia"/>
        </w:rPr>
        <w:t>环境效益</w:t>
      </w:r>
      <w:bookmarkEnd w:id="43"/>
      <w:bookmarkEnd w:id="44"/>
    </w:p>
    <w:p>
      <w:pPr>
        <w:spacing w:line="590" w:lineRule="exact"/>
        <w:ind w:firstLine="640"/>
        <w:rPr>
          <w:rFonts w:eastAsia="仿宋_GB2312" w:cs="Times New Roman"/>
          <w:sz w:val="32"/>
          <w:szCs w:val="32"/>
        </w:rPr>
      </w:pPr>
      <w:r>
        <w:rPr>
          <w:rFonts w:hint="eastAsia" w:eastAsia="仿宋_GB2312" w:cs="Times New Roman"/>
          <w:sz w:val="32"/>
          <w:szCs w:val="32"/>
        </w:rPr>
        <w:t>通过实施大清河流域污染源治理、生态修复与保护等重点项目，分别实现削减大量</w:t>
      </w:r>
      <w:r>
        <w:rPr>
          <w:rFonts w:eastAsia="仿宋_GB2312" w:cs="Times New Roman"/>
          <w:sz w:val="32"/>
          <w:szCs w:val="32"/>
        </w:rPr>
        <w:t>COD</w:t>
      </w:r>
      <w:r>
        <w:rPr>
          <w:rFonts w:hint="eastAsia" w:eastAsia="仿宋_GB2312" w:cs="Times New Roman"/>
          <w:sz w:val="32"/>
          <w:szCs w:val="32"/>
        </w:rPr>
        <w:t>和氨氮。因工程项目布局上与重点问题所在的关键河段和区域直接相关，这些工程建成后将会对改善大清河、中亭河流域水质发挥直接的、积极的作用。</w:t>
      </w:r>
    </w:p>
    <w:p>
      <w:pPr>
        <w:pStyle w:val="4"/>
        <w:adjustRightInd w:val="0"/>
        <w:snapToGrid w:val="0"/>
        <w:spacing w:line="590" w:lineRule="exact"/>
        <w:ind w:firstLine="643"/>
      </w:pPr>
      <w:bookmarkStart w:id="45" w:name="_Toc18024"/>
      <w:bookmarkStart w:id="46" w:name="_Toc30094"/>
      <w:r>
        <w:t xml:space="preserve">8.2.2 </w:t>
      </w:r>
      <w:r>
        <w:rPr>
          <w:rFonts w:hint="eastAsia"/>
        </w:rPr>
        <w:t>生态效益</w:t>
      </w:r>
      <w:bookmarkEnd w:id="45"/>
      <w:bookmarkEnd w:id="46"/>
    </w:p>
    <w:p>
      <w:pPr>
        <w:spacing w:line="590" w:lineRule="exact"/>
        <w:ind w:firstLine="640"/>
        <w:rPr>
          <w:rFonts w:eastAsia="仿宋_GB2312" w:cs="Times New Roman"/>
          <w:sz w:val="32"/>
          <w:szCs w:val="32"/>
        </w:rPr>
      </w:pPr>
      <w:r>
        <w:rPr>
          <w:rFonts w:hint="eastAsia" w:eastAsia="仿宋_GB2312" w:cs="Times New Roman"/>
          <w:sz w:val="32"/>
          <w:szCs w:val="32"/>
        </w:rPr>
        <w:t>通过大清河湿地生态系统恢复，石沟干渠周边农村生活污水治理，以及文安县域内水系连通工程等项目的实施，水生态系统得到显著改善；文安县境内污水处理厂尾水再生利用使得生产生活污水得到有效处置，河流生态环境质量全面提升；主要排干渠清淤、岸线修复后，河清、岸绿、景美的生态保护格局基本形成，对营建美丽乡村奠定基础。</w:t>
      </w:r>
    </w:p>
    <w:p>
      <w:pPr>
        <w:pStyle w:val="4"/>
        <w:adjustRightInd w:val="0"/>
        <w:snapToGrid w:val="0"/>
        <w:spacing w:line="590" w:lineRule="exact"/>
        <w:ind w:firstLine="643"/>
      </w:pPr>
      <w:bookmarkStart w:id="47" w:name="_Toc30457"/>
      <w:bookmarkStart w:id="48" w:name="_Toc26286"/>
      <w:r>
        <w:t>8.2.3</w:t>
      </w:r>
      <w:r>
        <w:rPr>
          <w:rFonts w:hint="eastAsia"/>
        </w:rPr>
        <w:t>经济效益</w:t>
      </w:r>
      <w:bookmarkEnd w:id="47"/>
      <w:bookmarkEnd w:id="48"/>
    </w:p>
    <w:p>
      <w:pPr>
        <w:spacing w:line="590" w:lineRule="exact"/>
        <w:ind w:firstLine="640"/>
        <w:rPr>
          <w:rFonts w:eastAsia="仿宋_GB2312" w:cs="Times New Roman"/>
          <w:sz w:val="32"/>
          <w:szCs w:val="32"/>
        </w:rPr>
      </w:pPr>
      <w:r>
        <w:rPr>
          <w:rFonts w:hint="eastAsia" w:eastAsia="仿宋_GB2312" w:cs="Times New Roman"/>
          <w:sz w:val="32"/>
          <w:szCs w:val="32"/>
        </w:rPr>
        <w:t>本项目的实施可以使区域水体得到一定程度的改善，并通过工程建设的方式增加大清河周边和文安县城的水域和水景面积，使湿地系统与自然水景相交融，在大清河河畔形成一处和谐美观的生态景观，提高旅游价值，提升水系周边土地开发利用价值。</w:t>
      </w:r>
    </w:p>
    <w:p>
      <w:pPr>
        <w:pStyle w:val="4"/>
        <w:adjustRightInd w:val="0"/>
        <w:snapToGrid w:val="0"/>
        <w:spacing w:line="590" w:lineRule="exact"/>
        <w:ind w:firstLine="643"/>
      </w:pPr>
      <w:bookmarkStart w:id="49" w:name="_Toc9744"/>
      <w:bookmarkStart w:id="50" w:name="_Toc8349"/>
      <w:r>
        <w:t>8.2.4</w:t>
      </w:r>
      <w:r>
        <w:rPr>
          <w:rFonts w:hint="eastAsia"/>
        </w:rPr>
        <w:t>社会效益</w:t>
      </w:r>
      <w:bookmarkEnd w:id="49"/>
      <w:bookmarkEnd w:id="50"/>
    </w:p>
    <w:p>
      <w:pPr>
        <w:spacing w:line="590" w:lineRule="exact"/>
        <w:ind w:firstLine="640"/>
        <w:rPr>
          <w:rFonts w:eastAsia="仿宋_GB2312" w:cs="Times New Roman"/>
          <w:sz w:val="32"/>
          <w:szCs w:val="32"/>
        </w:rPr>
      </w:pPr>
      <w:r>
        <w:rPr>
          <w:rFonts w:hint="eastAsia" w:eastAsia="仿宋_GB2312" w:cs="Times New Roman"/>
          <w:sz w:val="32"/>
          <w:szCs w:val="32"/>
        </w:rPr>
        <w:t>本方案的实施，将有效促进文安县和霸州市区域水污染物的减少、生态环境的改善、资源的合理化再生，推动生态农业、生态养殖、生态旅游等产业的发展，保证了区域可持续发展，为居民提供更好的生态宜居环境。</w:t>
      </w:r>
    </w:p>
    <w:p>
      <w:pPr>
        <w:spacing w:line="590" w:lineRule="exact"/>
        <w:ind w:firstLine="640"/>
        <w:rPr>
          <w:rFonts w:eastAsia="仿宋_GB2312" w:cs="Times New Roman"/>
          <w:sz w:val="32"/>
          <w:szCs w:val="32"/>
        </w:rPr>
      </w:pPr>
      <w:r>
        <w:rPr>
          <w:rFonts w:hint="eastAsia" w:eastAsia="仿宋_GB2312" w:cs="Times New Roman"/>
          <w:sz w:val="32"/>
          <w:szCs w:val="32"/>
        </w:rPr>
        <w:t>其社会效益主要表现在以下几个方面：</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）改善人居环境，促进社会稳定</w:t>
      </w:r>
    </w:p>
    <w:p>
      <w:pPr>
        <w:spacing w:line="590" w:lineRule="exact"/>
        <w:ind w:firstLine="640"/>
        <w:rPr>
          <w:rFonts w:eastAsia="仿宋_GB2312" w:cs="Times New Roman"/>
          <w:sz w:val="32"/>
          <w:szCs w:val="32"/>
        </w:rPr>
      </w:pPr>
      <w:r>
        <w:rPr>
          <w:rFonts w:hint="eastAsia" w:eastAsia="仿宋_GB2312" w:cs="Times New Roman"/>
          <w:sz w:val="32"/>
          <w:szCs w:val="32"/>
        </w:rPr>
        <w:t>通过本方案的实施，农村生活污水等处理设施逐步完善，区域生态环境得到改善，人居环境大幅提升，居民的健康水平和生活质量全方位提高，有效促进社会稳定发展。</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）提高公众素质，促进区域文明发展</w:t>
      </w:r>
    </w:p>
    <w:p>
      <w:pPr>
        <w:spacing w:line="590" w:lineRule="exact"/>
        <w:ind w:firstLine="640"/>
        <w:rPr>
          <w:rFonts w:eastAsia="仿宋_GB2312" w:cs="Times New Roman"/>
          <w:sz w:val="32"/>
          <w:szCs w:val="32"/>
        </w:rPr>
      </w:pPr>
      <w:r>
        <w:rPr>
          <w:rFonts w:hint="eastAsia" w:eastAsia="仿宋_GB2312" w:cs="Times New Roman"/>
          <w:sz w:val="32"/>
          <w:szCs w:val="32"/>
        </w:rPr>
        <w:t>通过方案实施，公众生态环境意识进一步增强，社会生态文明建设得到显著提升，经济社会与资源环境可持续协调发展的态势基本形成，从而促进文安县和霸州市物质文明、政治文明、精神文明与生态文明建设协调发展。</w:t>
      </w:r>
    </w:p>
    <w:p>
      <w:pPr>
        <w:pStyle w:val="4"/>
        <w:adjustRightInd w:val="0"/>
        <w:snapToGrid w:val="0"/>
        <w:spacing w:line="590" w:lineRule="exact"/>
        <w:ind w:firstLine="643"/>
      </w:pPr>
      <w:bookmarkStart w:id="51" w:name="_Toc7541"/>
      <w:bookmarkStart w:id="52" w:name="_Toc16249"/>
      <w:r>
        <w:t>8.2.5</w:t>
      </w:r>
      <w:r>
        <w:rPr>
          <w:rFonts w:hint="eastAsia"/>
        </w:rPr>
        <w:t>投融资效益</w:t>
      </w:r>
      <w:bookmarkEnd w:id="51"/>
      <w:bookmarkEnd w:id="52"/>
    </w:p>
    <w:p>
      <w:pPr>
        <w:spacing w:line="590" w:lineRule="exact"/>
        <w:ind w:firstLine="640"/>
        <w:rPr>
          <w:rFonts w:eastAsia="仿宋_GB2312" w:cs="Times New Roman"/>
          <w:sz w:val="32"/>
          <w:szCs w:val="32"/>
        </w:rPr>
      </w:pPr>
      <w:r>
        <w:rPr>
          <w:rFonts w:hint="eastAsia" w:eastAsia="仿宋_GB2312" w:cs="Times New Roman"/>
          <w:sz w:val="32"/>
          <w:szCs w:val="32"/>
        </w:rPr>
        <w:t>按照多元化投资投入的原则，投资概算包括</w:t>
      </w:r>
      <w:r>
        <w:rPr>
          <w:rFonts w:eastAsia="仿宋_GB2312" w:cs="Times New Roman"/>
          <w:sz w:val="32"/>
          <w:szCs w:val="32"/>
        </w:rPr>
        <w:t>“</w:t>
      </w:r>
      <w:r>
        <w:rPr>
          <w:rFonts w:hint="eastAsia" w:eastAsia="仿宋_GB2312" w:cs="Times New Roman"/>
          <w:sz w:val="32"/>
          <w:szCs w:val="32"/>
        </w:rPr>
        <w:t>中央财政投入</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w:t>
      </w:r>
      <w:r>
        <w:rPr>
          <w:rFonts w:hint="eastAsia" w:eastAsia="仿宋_GB2312" w:cs="Times New Roman"/>
          <w:sz w:val="32"/>
          <w:szCs w:val="32"/>
        </w:rPr>
        <w:t>地方财政投入</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w:t>
      </w:r>
      <w:r>
        <w:rPr>
          <w:rFonts w:hint="eastAsia" w:eastAsia="仿宋_GB2312" w:cs="Times New Roman"/>
          <w:sz w:val="32"/>
          <w:szCs w:val="32"/>
        </w:rPr>
        <w:t>社会融资</w:t>
      </w:r>
      <w:r>
        <w:rPr>
          <w:rFonts w:eastAsia="仿宋_GB2312" w:cs="Times New Roman"/>
          <w:sz w:val="32"/>
          <w:szCs w:val="32"/>
        </w:rPr>
        <w:t>”</w:t>
      </w:r>
      <w:r>
        <w:rPr>
          <w:rFonts w:hint="eastAsia" w:eastAsia="仿宋_GB2312" w:cs="Times New Roman"/>
          <w:sz w:val="32"/>
          <w:szCs w:val="32"/>
        </w:rPr>
        <w:t>三部分，体现国家重点扶持引导地方配合实施社会积极参与的融资原则。</w:t>
      </w:r>
    </w:p>
    <w:p>
      <w:pPr>
        <w:spacing w:line="590" w:lineRule="exact"/>
        <w:ind w:firstLine="640"/>
        <w:rPr>
          <w:rFonts w:eastAsia="仿宋_GB2312" w:cs="Times New Roman"/>
          <w:sz w:val="32"/>
          <w:szCs w:val="32"/>
        </w:rPr>
      </w:pPr>
      <w:r>
        <w:rPr>
          <w:rFonts w:hint="eastAsia" w:eastAsia="仿宋_GB2312" w:cs="Times New Roman"/>
          <w:sz w:val="32"/>
          <w:szCs w:val="32"/>
        </w:rPr>
        <w:t>大清河水污染治理工程所涉及项目将力争水污染防治资金支持。本方案实施后，将在中央资金的引导下，地方自筹资金，积极开展水污染综合治理工程，有效解决大清河流域水环境问题，形成良好的社会效益和环境效益。</w:t>
      </w:r>
    </w:p>
    <w:p>
      <w:pPr>
        <w:pStyle w:val="3"/>
        <w:adjustRightInd w:val="0"/>
        <w:snapToGrid w:val="0"/>
        <w:spacing w:line="590" w:lineRule="exact"/>
        <w:ind w:firstLine="643"/>
        <w:rPr>
          <w:rFonts w:eastAsia="楷体_GB2312"/>
        </w:rPr>
      </w:pPr>
      <w:bookmarkStart w:id="53" w:name="_Toc3388"/>
      <w:r>
        <w:rPr>
          <w:rFonts w:eastAsia="楷体_GB2312"/>
        </w:rPr>
        <w:t>8.3</w:t>
      </w:r>
      <w:r>
        <w:rPr>
          <w:rFonts w:hAnsi="楷体_GB2312" w:eastAsia="楷体_GB2312"/>
        </w:rPr>
        <w:t>目标可达性分析</w:t>
      </w:r>
      <w:bookmarkEnd w:id="53"/>
    </w:p>
    <w:p>
      <w:pPr>
        <w:spacing w:line="590" w:lineRule="exact"/>
        <w:ind w:firstLine="640"/>
        <w:rPr>
          <w:rFonts w:eastAsia="仿宋_GB2312" w:cs="Times New Roman"/>
          <w:sz w:val="32"/>
          <w:szCs w:val="32"/>
        </w:rPr>
      </w:pPr>
      <w:r>
        <w:rPr>
          <w:rFonts w:hint="eastAsia" w:eastAsia="仿宋_GB2312" w:cs="Times New Roman"/>
          <w:sz w:val="32"/>
          <w:szCs w:val="32"/>
        </w:rPr>
        <w:t>以霸州市和文安县左右岸上下游河段共同努力，提升环境管理水平为前提，实施霸州市和文安县污水处理厂升级改造、配套污水管网建设、农村生活污水处理、主要排干渠污染源截污和河道清淤、畜禽养殖污染防治和湿地水质净化工程，可以较大幅度削减和控制入河污染物总量，确保水质不恶化，促进水质整体稳定改善，从而保证大清河台头断面水质达标。</w:t>
      </w:r>
    </w:p>
    <w:p>
      <w:pPr>
        <w:spacing w:line="590" w:lineRule="exact"/>
        <w:ind w:firstLine="640"/>
        <w:rPr>
          <w:rFonts w:eastAsia="仿宋_GB2312" w:cs="Times New Roman"/>
          <w:sz w:val="32"/>
          <w:szCs w:val="32"/>
        </w:rPr>
      </w:pPr>
      <w:r>
        <w:rPr>
          <w:rFonts w:hint="eastAsia" w:eastAsia="仿宋_GB2312" w:cs="Times New Roman"/>
          <w:sz w:val="32"/>
          <w:szCs w:val="32"/>
        </w:rPr>
        <w:t>文安县和霸州市已经建设有污水处理厂</w:t>
      </w:r>
      <w:r>
        <w:rPr>
          <w:rFonts w:eastAsia="仿宋_GB2312" w:cs="Times New Roman"/>
          <w:sz w:val="32"/>
          <w:szCs w:val="32"/>
        </w:rPr>
        <w:t>10</w:t>
      </w:r>
      <w:r>
        <w:rPr>
          <w:rFonts w:hint="eastAsia" w:eastAsia="仿宋_GB2312" w:cs="Times New Roman"/>
          <w:sz w:val="32"/>
          <w:szCs w:val="32"/>
        </w:rPr>
        <w:t>座，通过文安县第二污水处理厂和配套管网项目、文安县农村生活污水设施建设，基本可以实现大清河流域内城镇生活污水、工业废水和农村生活污水全收集，污水处理厂尾水达到一级</w:t>
      </w:r>
      <w:r>
        <w:rPr>
          <w:rFonts w:eastAsia="仿宋_GB2312" w:cs="Times New Roman"/>
          <w:sz w:val="32"/>
          <w:szCs w:val="32"/>
        </w:rPr>
        <w:t>A</w:t>
      </w:r>
      <w:r>
        <w:rPr>
          <w:rFonts w:hint="eastAsia" w:eastAsia="仿宋_GB2312" w:cs="Times New Roman"/>
          <w:sz w:val="32"/>
          <w:szCs w:val="32"/>
        </w:rPr>
        <w:t>标准。与大清河连通的</w:t>
      </w:r>
      <w:r>
        <w:rPr>
          <w:rFonts w:eastAsia="仿宋_GB2312" w:cs="Times New Roman"/>
          <w:sz w:val="32"/>
          <w:szCs w:val="32"/>
        </w:rPr>
        <w:t>4</w:t>
      </w:r>
      <w:r>
        <w:rPr>
          <w:rFonts w:hint="eastAsia" w:eastAsia="仿宋_GB2312" w:cs="Times New Roman"/>
          <w:sz w:val="32"/>
          <w:szCs w:val="32"/>
        </w:rPr>
        <w:t>条排干渠通过水系连通不再往大清河排水，而霸州市境内已实施的石沟干渠生态砾石床湿地项目已建成运行，运行效果良好，通过石沟扬水站排入大清河的水质达到</w:t>
      </w:r>
      <w:r>
        <w:rPr>
          <w:rFonts w:eastAsia="仿宋_GB2312" w:cs="Times New Roman"/>
          <w:sz w:val="32"/>
          <w:szCs w:val="32"/>
        </w:rPr>
        <w:t>V</w:t>
      </w:r>
      <w:r>
        <w:rPr>
          <w:rFonts w:hint="eastAsia" w:eastAsia="仿宋_GB2312" w:cs="Times New Roman"/>
          <w:sz w:val="32"/>
          <w:szCs w:val="32"/>
        </w:rPr>
        <w:t>类；可保障大清河台头断面和石沟扬水站断面水质稳定达到</w:t>
      </w:r>
      <w:r>
        <w:rPr>
          <w:rFonts w:eastAsia="仿宋_GB2312" w:cs="Times New Roman"/>
          <w:sz w:val="32"/>
          <w:szCs w:val="32"/>
        </w:rPr>
        <w:t>V</w:t>
      </w:r>
      <w:r>
        <w:rPr>
          <w:rFonts w:hint="eastAsia" w:eastAsia="仿宋_GB2312" w:cs="Times New Roman"/>
          <w:sz w:val="32"/>
          <w:szCs w:val="32"/>
        </w:rPr>
        <w:t>类标准。</w:t>
      </w:r>
    </w:p>
    <w:p>
      <w:pPr>
        <w:pStyle w:val="2"/>
        <w:adjustRightInd w:val="0"/>
        <w:snapToGrid w:val="0"/>
        <w:spacing w:line="590" w:lineRule="exact"/>
        <w:ind w:firstLine="640"/>
        <w:jc w:val="both"/>
        <w:rPr>
          <w:szCs w:val="32"/>
        </w:rPr>
      </w:pPr>
      <w:bookmarkStart w:id="54" w:name="_Toc20530"/>
      <w:r>
        <w:rPr>
          <w:rFonts w:hint="eastAsia"/>
          <w:szCs w:val="32"/>
        </w:rPr>
        <w:t>九、保障措施</w:t>
      </w:r>
      <w:bookmarkEnd w:id="54"/>
    </w:p>
    <w:p>
      <w:pPr>
        <w:adjustRightInd w:val="0"/>
        <w:snapToGrid w:val="0"/>
        <w:spacing w:line="590" w:lineRule="exact"/>
        <w:ind w:firstLine="643"/>
        <w:rPr>
          <w:rFonts w:eastAsia="楷体_GB2312"/>
          <w:b/>
          <w:sz w:val="32"/>
          <w:szCs w:val="32"/>
        </w:rPr>
      </w:pPr>
      <w:r>
        <w:rPr>
          <w:rFonts w:hint="eastAsia" w:eastAsia="楷体_GB2312"/>
          <w:b/>
          <w:sz w:val="32"/>
          <w:szCs w:val="32"/>
        </w:rPr>
        <w:t>（一）明确主体责任</w:t>
      </w:r>
    </w:p>
    <w:p>
      <w:pPr>
        <w:spacing w:line="590" w:lineRule="exact"/>
        <w:ind w:firstLine="640"/>
        <w:rPr>
          <w:rFonts w:eastAsia="仿宋_GB2312" w:cs="Times New Roman"/>
          <w:sz w:val="32"/>
          <w:szCs w:val="32"/>
        </w:rPr>
      </w:pPr>
      <w:r>
        <w:rPr>
          <w:rFonts w:hint="eastAsia" w:eastAsia="仿宋_GB2312" w:cs="Times New Roman"/>
          <w:sz w:val="32"/>
          <w:szCs w:val="32"/>
        </w:rPr>
        <w:t>廊坊市及霸州市、文安县政府是贯彻实施本方案的主体。霸州市、文安县生态环境分局是落实水污染防治牵头工作的责任主体。各类排污单位是落实治污减排、环境风险防范等责任的主体。应严格执行环保法律法规和制度，加强污染防治设施建设和运行管理，开展自行监测，确保稳定达标排放。建立环保自律机制。各市（县）政府与政府各有关综合管理部门沟通与联络，充分调动各部门对水环境改善任务的积极性，实行多部门联动机制，切实加强市（县）水环境保护工作的建设和管理。</w:t>
      </w:r>
    </w:p>
    <w:p>
      <w:pPr>
        <w:adjustRightInd w:val="0"/>
        <w:snapToGrid w:val="0"/>
        <w:spacing w:line="590" w:lineRule="exact"/>
        <w:ind w:firstLine="643"/>
        <w:rPr>
          <w:rFonts w:eastAsia="楷体_GB2312"/>
          <w:b/>
          <w:sz w:val="32"/>
          <w:szCs w:val="32"/>
        </w:rPr>
      </w:pPr>
      <w:r>
        <w:rPr>
          <w:rFonts w:hint="eastAsia" w:eastAsia="楷体_GB2312"/>
          <w:b/>
          <w:sz w:val="32"/>
          <w:szCs w:val="32"/>
        </w:rPr>
        <w:t>（二）严格考核问责</w:t>
      </w:r>
    </w:p>
    <w:p>
      <w:pPr>
        <w:spacing w:line="590" w:lineRule="exact"/>
        <w:ind w:firstLine="640"/>
        <w:rPr>
          <w:rFonts w:eastAsia="仿宋_GB2312" w:cs="Times New Roman"/>
          <w:sz w:val="32"/>
          <w:szCs w:val="32"/>
        </w:rPr>
      </w:pPr>
      <w:r>
        <w:rPr>
          <w:rFonts w:hint="eastAsia" w:eastAsia="仿宋_GB2312" w:cs="Times New Roman"/>
          <w:sz w:val="32"/>
          <w:szCs w:val="32"/>
        </w:rPr>
        <w:t>全面落实生态环境保护</w:t>
      </w:r>
      <w:r>
        <w:rPr>
          <w:rFonts w:eastAsia="仿宋_GB2312" w:cs="Times New Roman"/>
          <w:sz w:val="32"/>
          <w:szCs w:val="32"/>
        </w:rPr>
        <w:t>“</w:t>
      </w:r>
      <w:r>
        <w:rPr>
          <w:rFonts w:hint="eastAsia" w:eastAsia="仿宋_GB2312" w:cs="Times New Roman"/>
          <w:sz w:val="32"/>
          <w:szCs w:val="32"/>
        </w:rPr>
        <w:t>党政同责</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w:t>
      </w:r>
      <w:r>
        <w:rPr>
          <w:rFonts w:hint="eastAsia" w:eastAsia="仿宋_GB2312" w:cs="Times New Roman"/>
          <w:sz w:val="32"/>
          <w:szCs w:val="32"/>
        </w:rPr>
        <w:t>一岗双责</w:t>
      </w:r>
      <w:r>
        <w:rPr>
          <w:rFonts w:eastAsia="仿宋_GB2312" w:cs="Times New Roman"/>
          <w:sz w:val="32"/>
          <w:szCs w:val="32"/>
        </w:rPr>
        <w:t>”</w:t>
      </w:r>
      <w:r>
        <w:rPr>
          <w:rFonts w:hint="eastAsia" w:eastAsia="仿宋_GB2312" w:cs="Times New Roman"/>
          <w:sz w:val="32"/>
          <w:szCs w:val="32"/>
        </w:rPr>
        <w:t>。实行市（县）、乡两级党政主要领导亲自抓水污染防治工作制度。党政正职对辖区水污染防治工作负主要责任，分管领导负直接责任。把河流水质改善作为对县级党政班子和市直相关部门政绩考核的重要内容，按照时间节点，对没有完成阶段性治理任务的，采取公开约谈、挂牌督办、纪律问责等措施，严肃追究主要领导和分管领导的责任。</w:t>
      </w:r>
    </w:p>
    <w:p>
      <w:pPr>
        <w:adjustRightInd w:val="0"/>
        <w:snapToGrid w:val="0"/>
        <w:spacing w:line="590" w:lineRule="exact"/>
        <w:ind w:firstLine="643"/>
        <w:rPr>
          <w:rFonts w:eastAsia="楷体_GB2312"/>
          <w:b/>
          <w:sz w:val="32"/>
          <w:szCs w:val="32"/>
        </w:rPr>
      </w:pPr>
      <w:r>
        <w:rPr>
          <w:rFonts w:hint="eastAsia" w:eastAsia="楷体_GB2312"/>
          <w:b/>
          <w:sz w:val="32"/>
          <w:szCs w:val="32"/>
        </w:rPr>
        <w:t>（三）完善流域联防联控制度</w:t>
      </w:r>
    </w:p>
    <w:p>
      <w:pPr>
        <w:spacing w:line="590" w:lineRule="exact"/>
        <w:ind w:firstLine="640"/>
        <w:rPr>
          <w:rFonts w:eastAsia="仿宋_GB2312" w:cs="Times New Roman"/>
          <w:sz w:val="32"/>
          <w:szCs w:val="32"/>
        </w:rPr>
      </w:pPr>
      <w:r>
        <w:rPr>
          <w:rFonts w:hint="eastAsia" w:eastAsia="仿宋_GB2312" w:cs="Times New Roman"/>
          <w:sz w:val="32"/>
          <w:szCs w:val="32"/>
        </w:rPr>
        <w:t>建立流域联防联控制度，加强地方政府和各主管部门的协调，定期研究解决重大问题。建立健全跨部门、跨区域、跨控制单元水环境保护议事协调机制，加强廊坊市各市（县）政府之间的协调、会商，探索联合监测、联合执法、应急联动、信息共享等流域间联防制度，进一步强化该机制的运行。</w:t>
      </w:r>
    </w:p>
    <w:p>
      <w:pPr>
        <w:spacing w:line="590" w:lineRule="exact"/>
        <w:ind w:firstLine="640"/>
        <w:rPr>
          <w:rFonts w:eastAsia="仿宋_GB2312" w:cs="Times New Roman"/>
          <w:sz w:val="32"/>
          <w:szCs w:val="32"/>
        </w:rPr>
      </w:pPr>
      <w:r>
        <w:rPr>
          <w:rFonts w:hint="eastAsia" w:eastAsia="仿宋_GB2312" w:cs="Times New Roman"/>
          <w:sz w:val="32"/>
          <w:szCs w:val="32"/>
        </w:rPr>
        <w:t>深入实施水环境综合整治河长、段长、点长工作制，市（县）党政主要负责同志任河长，全面负责重点河流在本地区河段的综合整治工作；乡镇党政主要负责同志任段长，全面负责重点河流在本乡镇河段的综合整治工作；乡镇党政班子成员任点长，重点负责本乡镇内各个水污染点源的治理、生态保持和入河断面的环境综合整治工作。</w:t>
      </w:r>
    </w:p>
    <w:p>
      <w:pPr>
        <w:adjustRightInd w:val="0"/>
        <w:snapToGrid w:val="0"/>
        <w:spacing w:line="590" w:lineRule="exact"/>
        <w:ind w:firstLine="643"/>
        <w:rPr>
          <w:rFonts w:eastAsia="楷体_GB2312"/>
          <w:b/>
          <w:sz w:val="32"/>
          <w:szCs w:val="32"/>
        </w:rPr>
      </w:pPr>
      <w:r>
        <w:rPr>
          <w:rFonts w:hint="eastAsia" w:eastAsia="楷体_GB2312"/>
          <w:b/>
          <w:sz w:val="32"/>
          <w:szCs w:val="32"/>
        </w:rPr>
        <w:t>（四）健全投资与补偿机制</w:t>
      </w:r>
    </w:p>
    <w:p>
      <w:pPr>
        <w:spacing w:line="590" w:lineRule="exact"/>
        <w:ind w:firstLine="640"/>
        <w:rPr>
          <w:rFonts w:eastAsia="仿宋_GB2312" w:cs="Times New Roman"/>
          <w:sz w:val="32"/>
          <w:szCs w:val="32"/>
        </w:rPr>
      </w:pPr>
      <w:r>
        <w:rPr>
          <w:rFonts w:hint="eastAsia" w:eastAsia="仿宋_GB2312" w:cs="Times New Roman"/>
          <w:sz w:val="32"/>
          <w:szCs w:val="32"/>
        </w:rPr>
        <w:t>市、县各级财政要加大资金投入力度，确保已建成污水处理厂、垃圾收运系统等污染治理工程长期稳定运行，重点支持污水垃圾处理、污泥处置、河道整治、畜禽养殖污染防治、水生态修复、应急清污等项目和工作，对水环境监测、监管能力建设及运行费用分级予以保障；水利、生态环境、住建、发改等部门要尽快建立相关项目库，有序储备水污染防治重大项目，积极争取中央资金支持，市、县级财政要加大相关资金统筹整合力度，提高资金使用绩效。要全力拓展资金投入渠道，建立和健全全社会、多元化、多渠道、多层次的水环境治理格局。</w:t>
      </w:r>
    </w:p>
    <w:p>
      <w:pPr>
        <w:spacing w:line="590" w:lineRule="exact"/>
        <w:ind w:firstLine="640"/>
        <w:rPr>
          <w:rFonts w:eastAsia="仿宋_GB2312" w:cs="Times New Roman"/>
          <w:sz w:val="32"/>
          <w:szCs w:val="32"/>
        </w:rPr>
      </w:pPr>
      <w:r>
        <w:rPr>
          <w:rFonts w:hint="eastAsia" w:eastAsia="仿宋_GB2312" w:cs="Times New Roman"/>
          <w:sz w:val="32"/>
          <w:szCs w:val="32"/>
        </w:rPr>
        <w:t>探索和建立跨界水环境补偿机制，探索采取横向资金补助、开展补偿试点。乡镇生活污水、生活垃圾处理处置设施通过处理处置污水、垃圾获取的排污权由市政府统一进行储备。逐步建立跨界水环境补偿机制，到</w:t>
      </w:r>
      <w:r>
        <w:rPr>
          <w:rFonts w:eastAsia="仿宋_GB2312" w:cs="Times New Roman"/>
          <w:sz w:val="32"/>
          <w:szCs w:val="32"/>
        </w:rPr>
        <w:t>2020</w:t>
      </w:r>
      <w:r>
        <w:rPr>
          <w:rFonts w:hint="eastAsia" w:eastAsia="仿宋_GB2312" w:cs="Times New Roman"/>
          <w:sz w:val="32"/>
          <w:szCs w:val="32"/>
        </w:rPr>
        <w:t>年，形成较完善的跨界河流水环境补偿机制。</w:t>
      </w:r>
    </w:p>
    <w:p>
      <w:pPr>
        <w:spacing w:line="580" w:lineRule="exact"/>
        <w:ind w:firstLine="640"/>
        <w:rPr>
          <w:rFonts w:eastAsia="仿宋_GB2312" w:cs="Times New Roman"/>
          <w:sz w:val="32"/>
          <w:szCs w:val="32"/>
        </w:rPr>
        <w:sectPr>
          <w:footerReference r:id="rId11" w:type="default"/>
          <w:footerReference r:id="rId12" w:type="even"/>
          <w:pgSz w:w="11906" w:h="16838"/>
          <w:pgMar w:top="2098" w:right="1531" w:bottom="1474" w:left="1531" w:header="851" w:footer="850" w:gutter="0"/>
          <w:cols w:space="720" w:num="1"/>
          <w:docGrid w:type="lines" w:linePitch="442" w:charSpace="0"/>
        </w:sectPr>
      </w:pPr>
    </w:p>
    <w:p>
      <w:pPr>
        <w:pStyle w:val="2"/>
        <w:spacing w:after="190" w:afterLines="50"/>
        <w:ind w:firstLine="0" w:firstLineChars="0"/>
        <w:jc w:val="both"/>
        <w:rPr>
          <w:rFonts w:ascii="黑体" w:cs="黑体"/>
          <w:bCs w:val="0"/>
          <w:szCs w:val="32"/>
        </w:rPr>
      </w:pPr>
      <w:bookmarkStart w:id="55" w:name="_Toc21472"/>
      <w:r>
        <w:rPr>
          <w:rFonts w:hint="eastAsia" w:ascii="黑体" w:hAnsi="黑体" w:cs="黑体"/>
          <w:bCs w:val="0"/>
          <w:szCs w:val="32"/>
        </w:rPr>
        <w:t>附表</w:t>
      </w:r>
      <w:r>
        <w:rPr>
          <w:rFonts w:ascii="黑体" w:hAnsi="黑体" w:cs="黑体"/>
          <w:bCs w:val="0"/>
          <w:szCs w:val="32"/>
        </w:rPr>
        <w:t>1</w:t>
      </w:r>
      <w:r>
        <w:rPr>
          <w:rFonts w:hint="eastAsia" w:ascii="黑体" w:hAnsi="黑体" w:cs="黑体"/>
          <w:bCs w:val="0"/>
          <w:szCs w:val="32"/>
        </w:rPr>
        <w:t>：                        重点工程项目及投资汇总</w:t>
      </w:r>
      <w:bookmarkEnd w:id="55"/>
    </w:p>
    <w:tbl>
      <w:tblPr>
        <w:tblStyle w:val="10"/>
        <w:tblW w:w="13213" w:type="dxa"/>
        <w:jc w:val="center"/>
        <w:tblInd w:w="-1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9"/>
        <w:gridCol w:w="957"/>
        <w:gridCol w:w="1522"/>
        <w:gridCol w:w="1455"/>
        <w:gridCol w:w="1510"/>
        <w:gridCol w:w="1526"/>
        <w:gridCol w:w="1103"/>
        <w:gridCol w:w="3336"/>
        <w:gridCol w:w="1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blHeader/>
          <w:jc w:val="center"/>
        </w:trPr>
        <w:tc>
          <w:tcPr>
            <w:tcW w:w="619"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序号</w:t>
            </w:r>
          </w:p>
        </w:tc>
        <w:tc>
          <w:tcPr>
            <w:tcW w:w="957"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隶属</w:t>
            </w:r>
          </w:p>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关系</w:t>
            </w:r>
          </w:p>
        </w:tc>
        <w:tc>
          <w:tcPr>
            <w:tcW w:w="1522"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项目类型</w:t>
            </w:r>
          </w:p>
        </w:tc>
        <w:tc>
          <w:tcPr>
            <w:tcW w:w="1455"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项目名称</w:t>
            </w:r>
          </w:p>
        </w:tc>
        <w:tc>
          <w:tcPr>
            <w:tcW w:w="1510"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建设地点</w:t>
            </w:r>
          </w:p>
        </w:tc>
        <w:tc>
          <w:tcPr>
            <w:tcW w:w="1526"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建设周期</w:t>
            </w:r>
          </w:p>
        </w:tc>
        <w:tc>
          <w:tcPr>
            <w:tcW w:w="1103"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承担单位</w:t>
            </w:r>
          </w:p>
        </w:tc>
        <w:tc>
          <w:tcPr>
            <w:tcW w:w="3336"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项目建设规模与内容</w:t>
            </w:r>
          </w:p>
        </w:tc>
        <w:tc>
          <w:tcPr>
            <w:tcW w:w="1185"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项目投资（万元）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12028" w:type="dxa"/>
            <w:gridSpan w:val="8"/>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合计</w:t>
            </w:r>
          </w:p>
        </w:tc>
        <w:tc>
          <w:tcPr>
            <w:tcW w:w="1185" w:type="dxa"/>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32074.15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12028" w:type="dxa"/>
            <w:gridSpan w:val="8"/>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w:t>
            </w:r>
            <w:r>
              <w:rPr>
                <w:rFonts w:hint="eastAsia" w:eastAsia="仿宋_GB2312" w:cs="Times New Roman"/>
                <w:b/>
                <w:kern w:val="0"/>
                <w:sz w:val="21"/>
                <w:szCs w:val="21"/>
              </w:rPr>
              <w:t>-</w:t>
            </w:r>
            <w:r>
              <w:rPr>
                <w:rFonts w:eastAsia="仿宋_GB2312" w:cs="Times New Roman"/>
                <w:b/>
                <w:kern w:val="0"/>
                <w:sz w:val="21"/>
                <w:szCs w:val="21"/>
              </w:rPr>
              <w:t>流域污染源治理类型项目小计</w:t>
            </w:r>
          </w:p>
        </w:tc>
        <w:tc>
          <w:tcPr>
            <w:tcW w:w="1185" w:type="dxa"/>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15087.15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522" w:type="dxa"/>
            <w:vAlign w:val="center"/>
          </w:tcPr>
          <w:p>
            <w:pPr>
              <w:snapToGrid w:val="0"/>
              <w:spacing w:line="240" w:lineRule="auto"/>
              <w:ind w:firstLine="0" w:firstLineChars="0"/>
              <w:rPr>
                <w:rFonts w:eastAsia="仿宋_GB2312" w:cs="Times New Roman"/>
                <w:sz w:val="21"/>
                <w:szCs w:val="21"/>
              </w:rPr>
            </w:pPr>
            <w:r>
              <w:rPr>
                <w:rFonts w:eastAsia="仿宋_GB2312" w:cs="Times New Roman"/>
                <w:kern w:val="0"/>
                <w:sz w:val="21"/>
                <w:szCs w:val="21"/>
              </w:rPr>
              <w:t>分散污水处理设施建设</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王庄子生活污染治理项目</w:t>
            </w:r>
          </w:p>
        </w:tc>
        <w:tc>
          <w:tcPr>
            <w:tcW w:w="1510"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王庄子</w:t>
            </w:r>
          </w:p>
        </w:tc>
        <w:tc>
          <w:tcPr>
            <w:tcW w:w="1526"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霸州市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新建生活污水处理站，日处理规模800吨，保障中亭河水质。</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522" w:type="dxa"/>
            <w:vAlign w:val="center"/>
          </w:tcPr>
          <w:p>
            <w:pPr>
              <w:snapToGrid w:val="0"/>
              <w:spacing w:line="240" w:lineRule="auto"/>
              <w:ind w:firstLine="0" w:firstLineChars="0"/>
              <w:rPr>
                <w:rFonts w:eastAsia="仿宋_GB2312" w:cs="Times New Roman"/>
                <w:sz w:val="21"/>
                <w:szCs w:val="21"/>
              </w:rPr>
            </w:pPr>
            <w:r>
              <w:rPr>
                <w:rFonts w:eastAsia="仿宋_GB2312" w:cs="Times New Roman"/>
                <w:kern w:val="0"/>
                <w:sz w:val="21"/>
                <w:szCs w:val="21"/>
              </w:rPr>
              <w:t>分散污水处理设施建设</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王泊村生活污染治理项目</w:t>
            </w:r>
          </w:p>
        </w:tc>
        <w:tc>
          <w:tcPr>
            <w:tcW w:w="1510"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王泊村</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霸州市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新建生活污水处理站，日处理规模800吨，保障中亭河水质。</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7"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snapToGrid w:val="0"/>
              <w:spacing w:line="240" w:lineRule="auto"/>
              <w:ind w:firstLine="0" w:firstLineChars="0"/>
              <w:rPr>
                <w:rFonts w:eastAsia="仿宋_GB2312" w:cs="Times New Roman"/>
                <w:sz w:val="21"/>
                <w:szCs w:val="21"/>
              </w:rPr>
            </w:pPr>
            <w:r>
              <w:rPr>
                <w:rFonts w:eastAsia="仿宋_GB2312" w:cs="Times New Roman"/>
                <w:kern w:val="0"/>
                <w:sz w:val="21"/>
                <w:szCs w:val="21"/>
              </w:rPr>
              <w:t>分散污水处理设施建设</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文安县大清河沿线农村生活污水治理工程</w:t>
            </w:r>
          </w:p>
        </w:tc>
        <w:tc>
          <w:tcPr>
            <w:tcW w:w="1510"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文安县大清河沿线</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大清河沿线未开展农村污水收集处理的26个行政村的农村生活污水治理工程建设，新增农村污水处理规模3860吨/天，新增各口径配套管网238.388公里，34个行政村实现污水排放有效管控，共涉及农村人口91525人。</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13487.15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1" w:hRule="atLeast"/>
          <w:jc w:val="center"/>
        </w:trPr>
        <w:tc>
          <w:tcPr>
            <w:tcW w:w="12028" w:type="dxa"/>
            <w:gridSpan w:val="8"/>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2</w:t>
            </w:r>
            <w:r>
              <w:rPr>
                <w:rFonts w:hint="eastAsia" w:eastAsia="仿宋_GB2312" w:cs="Times New Roman"/>
                <w:b/>
                <w:kern w:val="0"/>
                <w:sz w:val="21"/>
                <w:szCs w:val="21"/>
              </w:rPr>
              <w:t>-</w:t>
            </w:r>
            <w:r>
              <w:rPr>
                <w:rFonts w:eastAsia="仿宋_GB2312" w:cs="Times New Roman"/>
                <w:b/>
                <w:kern w:val="0"/>
                <w:sz w:val="21"/>
                <w:szCs w:val="21"/>
              </w:rPr>
              <w:t>河道综合治理与生态修复项目小计</w:t>
            </w:r>
          </w:p>
        </w:tc>
        <w:tc>
          <w:tcPr>
            <w:tcW w:w="1185" w:type="dxa"/>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16987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6"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水系连通工程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文安县中部和东部水系连通工程</w:t>
            </w:r>
          </w:p>
        </w:tc>
        <w:tc>
          <w:tcPr>
            <w:tcW w:w="1510"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规划开展中部水系循环工程和东部水系循环工程及西洋町闸引水调水工程，共计深挖、清淤河道19.89km，新建泵站（扬水点）、闸涵11座。</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1"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522"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河道管护工程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大清河霸州段河道管护工程</w:t>
            </w:r>
          </w:p>
        </w:tc>
        <w:tc>
          <w:tcPr>
            <w:tcW w:w="1510"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大清河霸州段沿岸及河道垃圾打捞工程</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霸州市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通过第三方购买服务定期开展大清河霸州段河道垃圾、漂浮物、水草清理等。</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94"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河道管护工程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大清河文安段河道管护工程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大清河文安段沿岸及河道垃圾打捞工程</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通过第三方购买服务定期开展大清河文安段河道垃圾、漂浮物、水草清理等。</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68"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藻类治理及综合管控工程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大清河藻类治理工程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台头断面上下游</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在台头断面上下游通过拦藻设施、加压除藻船或投加改性土壤、抑藻剂等开展藻类治理；在台头断面上游1.5公里开展生态维护、藻类监测、水量调度、垃圾清理等维护水质的精细化管理措施。</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11"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自然生态系统建设工程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大清河文安段自然生态系统建设工程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台头断面上下游</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在台头断面上下游种植水生植物、建设表流人工湿地等。</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1"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底质原位修复工程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台头断面底质原位修复工程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台头断面上下游</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在台头断面上下游投加碎石等开展污染底质原位修复。</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91"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生态补水工程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文安生态补水工程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大清河</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文安县</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通过南水北调工程及输水配套设施建设对大清河补水8000万立方米。</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16"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生态补水工程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霸州生态补水工程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cs="Times New Roman"/>
                <w:kern w:val="0"/>
                <w:sz w:val="21"/>
                <w:szCs w:val="21"/>
              </w:rPr>
              <w:t>牤</w:t>
            </w:r>
            <w:r>
              <w:rPr>
                <w:rFonts w:eastAsia="仿宋_GB2312" w:cs="Times New Roman"/>
                <w:kern w:val="0"/>
                <w:sz w:val="21"/>
                <w:szCs w:val="21"/>
              </w:rPr>
              <w:t>牛河、信南、胜芳</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霸州市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通过南水北调工程输水通道的</w:t>
            </w:r>
            <w:r>
              <w:rPr>
                <w:rFonts w:cs="Times New Roman"/>
                <w:kern w:val="0"/>
                <w:sz w:val="21"/>
                <w:szCs w:val="21"/>
              </w:rPr>
              <w:t>牤</w:t>
            </w:r>
            <w:r>
              <w:rPr>
                <w:rFonts w:eastAsia="仿宋_GB2312" w:cs="Times New Roman"/>
                <w:kern w:val="0"/>
                <w:sz w:val="21"/>
                <w:szCs w:val="21"/>
              </w:rPr>
              <w:t>牛河、信安、胜芳等出口及配套设施建设对中亭河补水6000万立方米。</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8" w:hRule="atLeast"/>
          <w:jc w:val="center"/>
        </w:trPr>
        <w:tc>
          <w:tcPr>
            <w:tcW w:w="619"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95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522"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河道综合治理工程</w:t>
            </w:r>
          </w:p>
        </w:tc>
        <w:tc>
          <w:tcPr>
            <w:tcW w:w="145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石沟干渠生态修复工程</w:t>
            </w:r>
          </w:p>
        </w:tc>
        <w:tc>
          <w:tcPr>
            <w:tcW w:w="1510"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石沟干渠</w:t>
            </w:r>
          </w:p>
        </w:tc>
        <w:tc>
          <w:tcPr>
            <w:tcW w:w="152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kern w:val="0"/>
                <w:sz w:val="21"/>
                <w:szCs w:val="21"/>
              </w:rPr>
              <w:t>年</w:t>
            </w:r>
          </w:p>
        </w:tc>
        <w:tc>
          <w:tcPr>
            <w:tcW w:w="110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霸州市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人民政府</w:t>
            </w:r>
          </w:p>
        </w:tc>
        <w:tc>
          <w:tcPr>
            <w:tcW w:w="3336" w:type="dxa"/>
            <w:vAlign w:val="center"/>
          </w:tcPr>
          <w:p>
            <w:pPr>
              <w:widowControl/>
              <w:snapToGrid w:val="0"/>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对渠道清淤，建设表流湿地，种植水生植物，开展两岸生态岸坡绿化。</w:t>
            </w:r>
          </w:p>
        </w:tc>
        <w:tc>
          <w:tcPr>
            <w:tcW w:w="118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1500</w:t>
            </w:r>
          </w:p>
        </w:tc>
      </w:tr>
    </w:tbl>
    <w:p>
      <w:pPr>
        <w:spacing w:line="14" w:lineRule="exact"/>
        <w:ind w:firstLine="560"/>
        <w:rPr>
          <w:sz w:val="28"/>
          <w:szCs w:val="28"/>
        </w:rPr>
      </w:pPr>
    </w:p>
    <w:p>
      <w:pPr>
        <w:pStyle w:val="12"/>
        <w:autoSpaceDN w:val="0"/>
        <w:snapToGrid w:val="0"/>
        <w:spacing w:line="14" w:lineRule="exact"/>
        <w:ind w:firstLine="0" w:firstLineChars="0"/>
        <w:rPr>
          <w:rFonts w:ascii="Times New Roman" w:hAnsi="Times New Roman" w:eastAsia="仿宋_GB2312"/>
          <w:sz w:val="32"/>
          <w:szCs w:val="32"/>
        </w:rPr>
        <w:sectPr>
          <w:footerReference r:id="rId13" w:type="default"/>
          <w:footerReference r:id="rId14" w:type="even"/>
          <w:pgSz w:w="16838" w:h="11906" w:orient="landscape"/>
          <w:pgMar w:top="1531" w:right="2098" w:bottom="1531" w:left="1474" w:header="851" w:footer="850" w:gutter="0"/>
          <w:cols w:space="720" w:num="1"/>
          <w:docGrid w:type="lines" w:linePitch="381" w:charSpace="0"/>
        </w:sectPr>
      </w:pPr>
    </w:p>
    <w:p>
      <w:pPr>
        <w:autoSpaceDN w:val="0"/>
        <w:snapToGrid w:val="0"/>
        <w:spacing w:line="580" w:lineRule="exact"/>
        <w:ind w:firstLine="880"/>
        <w:jc w:val="center"/>
        <w:rPr>
          <w:rFonts w:eastAsia="方正小标宋简体" w:cs="Times New Roman"/>
          <w:sz w:val="44"/>
          <w:szCs w:val="44"/>
        </w:rPr>
      </w:pPr>
      <w:r>
        <w:rPr>
          <w:rFonts w:eastAsia="方正小标宋简体" w:cs="Times New Roman"/>
          <w:sz w:val="44"/>
          <w:szCs w:val="44"/>
        </w:rPr>
        <w:t>廊坊市子牙河水质达标方案（修订版）</w:t>
      </w:r>
    </w:p>
    <w:p>
      <w:pPr>
        <w:pStyle w:val="2"/>
        <w:adjustRightInd w:val="0"/>
        <w:snapToGrid w:val="0"/>
        <w:spacing w:line="580" w:lineRule="exact"/>
        <w:ind w:firstLine="640"/>
        <w:jc w:val="both"/>
      </w:pPr>
      <w:bookmarkStart w:id="56" w:name="_Toc23790661"/>
    </w:p>
    <w:p>
      <w:pPr>
        <w:pStyle w:val="2"/>
        <w:adjustRightInd w:val="0"/>
        <w:snapToGrid w:val="0"/>
        <w:spacing w:line="600" w:lineRule="exact"/>
        <w:ind w:firstLine="640"/>
        <w:jc w:val="both"/>
      </w:pPr>
      <w:r>
        <w:t>一、总则</w:t>
      </w:r>
      <w:bookmarkEnd w:id="56"/>
    </w:p>
    <w:p>
      <w:pPr>
        <w:pStyle w:val="3"/>
        <w:spacing w:line="600" w:lineRule="exact"/>
        <w:ind w:firstLine="643"/>
        <w:rPr>
          <w:rFonts w:eastAsia="楷体_GB2312"/>
        </w:rPr>
      </w:pPr>
      <w:bookmarkStart w:id="57" w:name="_Toc23790662"/>
      <w:r>
        <w:rPr>
          <w:rFonts w:eastAsia="楷体_GB2312"/>
        </w:rPr>
        <w:t>1.1修订目的</w:t>
      </w:r>
      <w:bookmarkEnd w:id="57"/>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子牙河水质达标方案》进行修订。</w:t>
      </w:r>
    </w:p>
    <w:p>
      <w:pPr>
        <w:pStyle w:val="3"/>
        <w:spacing w:line="600" w:lineRule="exact"/>
        <w:ind w:firstLine="643"/>
        <w:rPr>
          <w:rFonts w:eastAsia="楷体_GB2312"/>
        </w:rPr>
      </w:pPr>
      <w:bookmarkStart w:id="58" w:name="_Toc460430311"/>
      <w:bookmarkStart w:id="59" w:name="_Toc23790663"/>
      <w:r>
        <w:rPr>
          <w:rFonts w:eastAsia="楷体_GB2312"/>
        </w:rPr>
        <w:t>1.2编制依据</w:t>
      </w:r>
      <w:bookmarkEnd w:id="58"/>
      <w:bookmarkEnd w:id="59"/>
    </w:p>
    <w:p>
      <w:pPr>
        <w:pStyle w:val="4"/>
        <w:spacing w:line="600" w:lineRule="exact"/>
        <w:ind w:firstLine="643"/>
      </w:pPr>
      <w:bookmarkStart w:id="60" w:name="_Toc23790664"/>
      <w:r>
        <w:t>1.2.1全国性法律、法规及规范性文件</w:t>
      </w:r>
      <w:bookmarkEnd w:id="60"/>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（1）《中华人民共和国环境保护法》</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（2）《中华人民共和国水污染防治法》</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（3）《中华人民共和国水法》</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（4）《中华人民共和国清洁生产促进法》</w:t>
      </w:r>
    </w:p>
    <w:p>
      <w:pPr>
        <w:autoSpaceDN w:val="0"/>
        <w:adjustRightInd w:val="0"/>
        <w:snapToGrid w:val="0"/>
        <w:spacing w:line="600" w:lineRule="exact"/>
        <w:ind w:firstLine="640"/>
        <w:rPr>
          <w:rFonts w:hint="eastAsia" w:eastAsia="仿宋_GB2312" w:cs="Times New Roman"/>
          <w:sz w:val="32"/>
          <w:szCs w:val="32"/>
        </w:rPr>
      </w:pPr>
      <w:r>
        <w:rPr>
          <w:rFonts w:eastAsia="仿宋_GB2312" w:cs="Times New Roman"/>
          <w:sz w:val="32"/>
          <w:szCs w:val="32"/>
        </w:rPr>
        <w:t>（5）《中华人民共和国固体废物污染环境防治法》</w:t>
      </w:r>
    </w:p>
    <w:p>
      <w:pPr>
        <w:autoSpaceDN w:val="0"/>
        <w:adjustRightInd w:val="0"/>
        <w:snapToGrid w:val="0"/>
        <w:spacing w:line="600" w:lineRule="exact"/>
        <w:ind w:firstLine="640"/>
        <w:rPr>
          <w:rFonts w:hint="eastAsia" w:eastAsia="仿宋_GB2312" w:cs="Times New Roman"/>
          <w:sz w:val="32"/>
          <w:szCs w:val="32"/>
        </w:rPr>
      </w:pPr>
      <w:r>
        <w:rPr>
          <w:rFonts w:eastAsia="仿宋_GB2312" w:cs="Times New Roman"/>
          <w:sz w:val="32"/>
          <w:szCs w:val="32"/>
        </w:rPr>
        <w:t>（</w:t>
      </w:r>
      <w:r>
        <w:rPr>
          <w:rFonts w:hint="eastAsia" w:eastAsia="仿宋_GB2312" w:cs="Times New Roman"/>
          <w:sz w:val="32"/>
          <w:szCs w:val="32"/>
        </w:rPr>
        <w:t>6</w:t>
      </w:r>
      <w:r>
        <w:rPr>
          <w:rFonts w:eastAsia="仿宋_GB2312" w:cs="Times New Roman"/>
          <w:sz w:val="32"/>
          <w:szCs w:val="32"/>
        </w:rPr>
        <w:t>）《畜禽养殖污染防治管理办法》</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7</w:t>
      </w:r>
      <w:r>
        <w:rPr>
          <w:rFonts w:eastAsia="仿宋_GB2312" w:cs="Times New Roman"/>
          <w:sz w:val="32"/>
          <w:szCs w:val="32"/>
        </w:rPr>
        <w:t>）</w:t>
      </w:r>
      <w:r>
        <w:rPr>
          <w:rFonts w:eastAsia="仿宋_GB2312" w:cs="Times New Roman"/>
          <w:spacing w:val="-10"/>
          <w:sz w:val="32"/>
          <w:szCs w:val="32"/>
        </w:rPr>
        <w:t>《中共中央国务院关于加快推进生态文明建设的指导意见》</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8</w:t>
      </w:r>
      <w:r>
        <w:rPr>
          <w:rFonts w:eastAsia="仿宋_GB2312" w:cs="Times New Roman"/>
          <w:sz w:val="32"/>
          <w:szCs w:val="32"/>
        </w:rPr>
        <w:t>）《生态文明体制改革总体方案》</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9</w:t>
      </w:r>
      <w:r>
        <w:rPr>
          <w:rFonts w:eastAsia="仿宋_GB2312" w:cs="Times New Roman"/>
          <w:sz w:val="32"/>
          <w:szCs w:val="32"/>
        </w:rPr>
        <w:t>）</w:t>
      </w:r>
      <w:r>
        <w:rPr>
          <w:rFonts w:eastAsia="仿宋_GB2312" w:cs="Times New Roman"/>
          <w:spacing w:val="-10"/>
          <w:sz w:val="32"/>
          <w:szCs w:val="32"/>
        </w:rPr>
        <w:t>《</w:t>
      </w:r>
      <w:r>
        <w:rPr>
          <w:rFonts w:hint="eastAsia" w:eastAsia="仿宋_GB2312" w:cs="Times New Roman"/>
          <w:spacing w:val="-10"/>
          <w:sz w:val="32"/>
          <w:szCs w:val="32"/>
        </w:rPr>
        <w:t>中共中央</w:t>
      </w:r>
      <w:r>
        <w:rPr>
          <w:rFonts w:eastAsia="仿宋_GB2312" w:cs="Times New Roman"/>
          <w:spacing w:val="-10"/>
          <w:sz w:val="32"/>
          <w:szCs w:val="32"/>
        </w:rPr>
        <w:t>关于制定国民经济和社会发展第十三个五年规划的建议》</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10</w:t>
      </w:r>
      <w:r>
        <w:rPr>
          <w:rFonts w:eastAsia="仿宋_GB2312" w:cs="Times New Roman"/>
          <w:sz w:val="32"/>
          <w:szCs w:val="32"/>
        </w:rPr>
        <w:t>）《水污染防治行动计划》（国发〔2015〕17号）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1</w:t>
      </w:r>
      <w:r>
        <w:rPr>
          <w:rFonts w:eastAsia="仿宋_GB2312" w:cs="Times New Roman"/>
          <w:sz w:val="32"/>
          <w:szCs w:val="32"/>
        </w:rPr>
        <w:t>）《国家与河北省人民政府签订的水污染防治目标责任书》</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2</w:t>
      </w:r>
      <w:r>
        <w:rPr>
          <w:rFonts w:eastAsia="仿宋_GB2312" w:cs="Times New Roman"/>
          <w:sz w:val="32"/>
          <w:szCs w:val="32"/>
        </w:rPr>
        <w:t>）《国务院关于加强环境保护重点工作的意见》（国发〔2011〕35号）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3</w:t>
      </w:r>
      <w:r>
        <w:rPr>
          <w:rFonts w:eastAsia="仿宋_GB2312" w:cs="Times New Roman"/>
          <w:sz w:val="32"/>
          <w:szCs w:val="32"/>
        </w:rPr>
        <w:t>）</w:t>
      </w:r>
      <w:r>
        <w:rPr>
          <w:rFonts w:eastAsia="仿宋_GB2312" w:cs="Times New Roman"/>
          <w:spacing w:val="2"/>
          <w:sz w:val="32"/>
          <w:szCs w:val="32"/>
        </w:rPr>
        <w:t>《国务院关于印发&lt;“十二五”节能减排综合性工作方</w:t>
      </w:r>
      <w:r>
        <w:rPr>
          <w:rFonts w:eastAsia="仿宋_GB2312" w:cs="Times New Roman"/>
          <w:sz w:val="32"/>
          <w:szCs w:val="32"/>
        </w:rPr>
        <w:t>案&gt;的通知》（国发〔2011〕26号）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4</w:t>
      </w:r>
      <w:r>
        <w:rPr>
          <w:rFonts w:eastAsia="仿宋_GB2312" w:cs="Times New Roman"/>
          <w:sz w:val="32"/>
          <w:szCs w:val="32"/>
        </w:rPr>
        <w:t>）</w:t>
      </w:r>
      <w:r>
        <w:rPr>
          <w:rFonts w:eastAsia="仿宋_GB2312" w:cs="Times New Roman"/>
          <w:spacing w:val="2"/>
          <w:sz w:val="32"/>
          <w:szCs w:val="32"/>
        </w:rPr>
        <w:t>《中共中央国务院关于加快水利改革发展的决定》（中</w:t>
      </w:r>
      <w:r>
        <w:rPr>
          <w:rFonts w:eastAsia="仿宋_GB2312" w:cs="Times New Roman"/>
          <w:sz w:val="32"/>
          <w:szCs w:val="32"/>
        </w:rPr>
        <w:t>发〔2011〕1号）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5</w:t>
      </w:r>
      <w:r>
        <w:rPr>
          <w:rFonts w:eastAsia="仿宋_GB2312" w:cs="Times New Roman"/>
          <w:sz w:val="32"/>
          <w:szCs w:val="32"/>
        </w:rPr>
        <w:t>）《国务院关于实行最严格水资源管理制度的意见》（国发〔2012〕3号）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6</w:t>
      </w:r>
      <w:r>
        <w:rPr>
          <w:rFonts w:eastAsia="仿宋_GB2312" w:cs="Times New Roman"/>
          <w:sz w:val="32"/>
          <w:szCs w:val="32"/>
        </w:rPr>
        <w:t>）《国务院关于落实科学发展观加强环境保护的决定》</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7</w:t>
      </w:r>
      <w:r>
        <w:rPr>
          <w:rFonts w:eastAsia="仿宋_GB2312" w:cs="Times New Roman"/>
          <w:sz w:val="32"/>
          <w:szCs w:val="32"/>
        </w:rPr>
        <w:t>）《中共中央国务院关于全面加强生态环境保护坚决打好污染防治攻坚战的意见》</w:t>
      </w:r>
    </w:p>
    <w:p>
      <w:pPr>
        <w:autoSpaceDN w:val="0"/>
        <w:adjustRightInd w:val="0"/>
        <w:snapToGrid w:val="0"/>
        <w:spacing w:line="600" w:lineRule="exact"/>
        <w:ind w:firstLine="640"/>
        <w:rPr>
          <w:rFonts w:hint="eastAsia" w:eastAsia="仿宋_GB2312" w:cs="Times New Roman"/>
          <w:sz w:val="32"/>
          <w:szCs w:val="32"/>
        </w:rPr>
      </w:pPr>
      <w:r>
        <w:rPr>
          <w:rFonts w:eastAsia="仿宋_GB2312" w:cs="Times New Roman"/>
          <w:sz w:val="32"/>
          <w:szCs w:val="32"/>
        </w:rPr>
        <w:t>（1</w:t>
      </w:r>
      <w:r>
        <w:rPr>
          <w:rFonts w:hint="eastAsia" w:eastAsia="仿宋_GB2312" w:cs="Times New Roman"/>
          <w:sz w:val="32"/>
          <w:szCs w:val="32"/>
        </w:rPr>
        <w:t>8</w:t>
      </w:r>
      <w:r>
        <w:rPr>
          <w:rFonts w:eastAsia="仿宋_GB2312" w:cs="Times New Roman"/>
          <w:sz w:val="32"/>
          <w:szCs w:val="32"/>
        </w:rPr>
        <w:t>）《</w:t>
      </w:r>
      <w:r>
        <w:rPr>
          <w:rFonts w:eastAsia="仿宋_GB2312" w:cs="Times New Roman"/>
          <w:spacing w:val="2"/>
          <w:sz w:val="32"/>
          <w:szCs w:val="32"/>
        </w:rPr>
        <w:t>生态环境部农业农村部关于印发&lt;农业农村污染治</w:t>
      </w:r>
      <w:r>
        <w:rPr>
          <w:rFonts w:eastAsia="仿宋_GB2312" w:cs="Times New Roman"/>
          <w:sz w:val="32"/>
          <w:szCs w:val="32"/>
        </w:rPr>
        <w:t>理攻坚战行动计划&gt;的通知》（环土壤〔2018〕143号）</w:t>
      </w:r>
    </w:p>
    <w:p>
      <w:pPr>
        <w:pStyle w:val="4"/>
        <w:spacing w:line="600" w:lineRule="exact"/>
        <w:ind w:firstLine="643"/>
      </w:pPr>
      <w:bookmarkStart w:id="61" w:name="_Toc23790665"/>
      <w:r>
        <w:t>1.2.2引用标准</w:t>
      </w:r>
      <w:bookmarkEnd w:id="61"/>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（1）《地表水环境质量标准》（GB3838</w:t>
      </w:r>
      <w:r>
        <w:rPr>
          <w:rFonts w:hint="eastAsia" w:eastAsia="仿宋_GB2312" w:cs="Times New Roman"/>
          <w:sz w:val="32"/>
          <w:szCs w:val="32"/>
        </w:rPr>
        <w:t>—</w:t>
      </w:r>
      <w:r>
        <w:rPr>
          <w:rFonts w:eastAsia="仿宋_GB2312" w:cs="Times New Roman"/>
          <w:sz w:val="32"/>
          <w:szCs w:val="32"/>
        </w:rPr>
        <w:t>2002）</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（2）《农田灌溉水质标准》（GB5048</w:t>
      </w:r>
      <w:r>
        <w:rPr>
          <w:rFonts w:hint="eastAsia" w:eastAsia="仿宋_GB2312" w:cs="Times New Roman"/>
          <w:sz w:val="32"/>
          <w:szCs w:val="32"/>
        </w:rPr>
        <w:t>—</w:t>
      </w:r>
      <w:r>
        <w:rPr>
          <w:rFonts w:eastAsia="仿宋_GB2312" w:cs="Times New Roman"/>
          <w:sz w:val="32"/>
          <w:szCs w:val="32"/>
        </w:rPr>
        <w:t>2005）</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（3）《生活饮用水卫生标准》（GB5749</w:t>
      </w:r>
      <w:r>
        <w:rPr>
          <w:rFonts w:hint="eastAsia" w:eastAsia="仿宋_GB2312" w:cs="Times New Roman"/>
          <w:sz w:val="32"/>
          <w:szCs w:val="32"/>
        </w:rPr>
        <w:t>—</w:t>
      </w:r>
      <w:r>
        <w:rPr>
          <w:rFonts w:eastAsia="仿宋_GB2312" w:cs="Times New Roman"/>
          <w:sz w:val="32"/>
          <w:szCs w:val="32"/>
        </w:rPr>
        <w:t>2006）</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（4）《土壤环境质量标准》（GB15618</w:t>
      </w:r>
      <w:r>
        <w:rPr>
          <w:rFonts w:hint="eastAsia" w:eastAsia="仿宋_GB2312" w:cs="Times New Roman"/>
          <w:sz w:val="32"/>
          <w:szCs w:val="32"/>
        </w:rPr>
        <w:t>—</w:t>
      </w:r>
      <w:r>
        <w:rPr>
          <w:rFonts w:eastAsia="仿宋_GB2312" w:cs="Times New Roman"/>
          <w:sz w:val="32"/>
          <w:szCs w:val="32"/>
        </w:rPr>
        <w:t>1995）</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（5）《城镇污水处理厂污染物排放标准》（GB18918</w:t>
      </w:r>
      <w:r>
        <w:rPr>
          <w:rFonts w:hint="eastAsia" w:eastAsia="仿宋_GB2312" w:cs="Times New Roman"/>
          <w:sz w:val="32"/>
          <w:szCs w:val="32"/>
        </w:rPr>
        <w:t>—</w:t>
      </w:r>
      <w:r>
        <w:rPr>
          <w:rFonts w:eastAsia="仿宋_GB2312" w:cs="Times New Roman"/>
          <w:sz w:val="32"/>
          <w:szCs w:val="32"/>
        </w:rPr>
        <w:t>2002）</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（6）《畜禽养殖业污染物排放标准》（GB18596</w:t>
      </w:r>
      <w:r>
        <w:rPr>
          <w:rFonts w:hint="eastAsia" w:eastAsia="仿宋_GB2312" w:cs="Times New Roman"/>
          <w:sz w:val="32"/>
          <w:szCs w:val="32"/>
        </w:rPr>
        <w:t>—</w:t>
      </w:r>
      <w:r>
        <w:rPr>
          <w:rFonts w:eastAsia="仿宋_GB2312" w:cs="Times New Roman"/>
          <w:sz w:val="32"/>
          <w:szCs w:val="32"/>
        </w:rPr>
        <w:t>2001）</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（7）《农用污泥污染物控制标准》（GB4284</w:t>
      </w:r>
      <w:r>
        <w:rPr>
          <w:rFonts w:hint="eastAsia" w:eastAsia="仿宋_GB2312" w:cs="Times New Roman"/>
          <w:sz w:val="32"/>
          <w:szCs w:val="32"/>
        </w:rPr>
        <w:t>—</w:t>
      </w:r>
      <w:r>
        <w:rPr>
          <w:rFonts w:eastAsia="仿宋_GB2312" w:cs="Times New Roman"/>
          <w:sz w:val="32"/>
          <w:szCs w:val="32"/>
        </w:rPr>
        <w:t>2018）</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（8）《工业企业设计卫生标准》（GBZ1</w:t>
      </w:r>
      <w:r>
        <w:rPr>
          <w:rFonts w:hint="eastAsia" w:eastAsia="仿宋_GB2312" w:cs="Times New Roman"/>
          <w:sz w:val="32"/>
          <w:szCs w:val="32"/>
        </w:rPr>
        <w:t>—</w:t>
      </w:r>
      <w:r>
        <w:rPr>
          <w:rFonts w:eastAsia="仿宋_GB2312" w:cs="Times New Roman"/>
          <w:sz w:val="32"/>
          <w:szCs w:val="32"/>
        </w:rPr>
        <w:t>2002）</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（9）《水污染防治工作方案编制技术指南》（环办函〔2015〕1232号）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（10）</w:t>
      </w:r>
      <w:r>
        <w:rPr>
          <w:rFonts w:eastAsia="仿宋_GB2312" w:cs="Times New Roman"/>
          <w:spacing w:val="-10"/>
          <w:sz w:val="32"/>
          <w:szCs w:val="32"/>
        </w:rPr>
        <w:t>《水体达标方案编制技术指南》（环办函〔2015〕1711号）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（11）《江河湖泊生态环境保护系列技术指南》（环办〔2014〕111号）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（12）《河北省农村生活污水排放标准（DB13/2171</w:t>
      </w:r>
      <w:r>
        <w:rPr>
          <w:rFonts w:hint="eastAsia" w:eastAsia="仿宋_GB2312" w:cs="Times New Roman"/>
          <w:sz w:val="32"/>
          <w:szCs w:val="32"/>
        </w:rPr>
        <w:t>—</w:t>
      </w:r>
      <w:r>
        <w:rPr>
          <w:rFonts w:eastAsia="仿宋_GB2312" w:cs="Times New Roman"/>
          <w:sz w:val="32"/>
          <w:szCs w:val="32"/>
        </w:rPr>
        <w:t>2015）》</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（13）《河北省农村生活污水处理和垃圾处理实用技术指南》</w:t>
      </w:r>
    </w:p>
    <w:p>
      <w:pPr>
        <w:pStyle w:val="4"/>
        <w:spacing w:line="600" w:lineRule="exact"/>
        <w:ind w:firstLine="643"/>
      </w:pPr>
      <w:bookmarkStart w:id="62" w:name="_Toc23790666"/>
      <w:r>
        <w:t>1.2.3相关规划及方案</w:t>
      </w:r>
      <w:bookmarkEnd w:id="62"/>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河北省人民政府</w:t>
      </w:r>
      <w:r>
        <w:rPr>
          <w:rFonts w:eastAsia="仿宋_GB2312" w:cs="Times New Roman"/>
          <w:sz w:val="32"/>
          <w:szCs w:val="32"/>
        </w:rPr>
        <w:t>关于印发&lt;河北省水污染防治工作方案&gt;的通知》（冀发〔2015〕28号）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w:t>
      </w:r>
      <w:r>
        <w:rPr>
          <w:rFonts w:eastAsia="仿宋_GB2312" w:cs="Times New Roman"/>
          <w:spacing w:val="2"/>
          <w:sz w:val="32"/>
          <w:szCs w:val="32"/>
        </w:rPr>
        <w:t>河北省人民政府关于印发&lt;河北省生态环境保护“十</w:t>
      </w:r>
      <w:r>
        <w:rPr>
          <w:rFonts w:eastAsia="仿宋_GB2312" w:cs="Times New Roman"/>
          <w:sz w:val="32"/>
          <w:szCs w:val="32"/>
        </w:rPr>
        <w:t>三五”规划&gt;的通知》（冀政字〔2017〕10号）</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（3）《</w:t>
      </w:r>
      <w:r>
        <w:rPr>
          <w:rFonts w:hint="eastAsia" w:eastAsia="仿宋_GB2312" w:cs="Times New Roman"/>
          <w:spacing w:val="2"/>
          <w:sz w:val="32"/>
          <w:szCs w:val="32"/>
        </w:rPr>
        <w:t>中共</w:t>
      </w:r>
      <w:r>
        <w:rPr>
          <w:rFonts w:eastAsia="仿宋_GB2312" w:cs="Times New Roman"/>
          <w:spacing w:val="2"/>
          <w:sz w:val="32"/>
          <w:szCs w:val="32"/>
        </w:rPr>
        <w:t>河北省委</w:t>
      </w:r>
      <w:r>
        <w:rPr>
          <w:rFonts w:hint="eastAsia" w:eastAsia="仿宋_GB2312" w:cs="Times New Roman"/>
          <w:spacing w:val="2"/>
          <w:sz w:val="32"/>
          <w:szCs w:val="32"/>
        </w:rPr>
        <w:t>河北</w:t>
      </w:r>
      <w:r>
        <w:rPr>
          <w:rFonts w:eastAsia="仿宋_GB2312" w:cs="Times New Roman"/>
          <w:spacing w:val="2"/>
          <w:sz w:val="32"/>
          <w:szCs w:val="32"/>
        </w:rPr>
        <w:t>省</w:t>
      </w:r>
      <w:r>
        <w:rPr>
          <w:rFonts w:hint="eastAsia" w:eastAsia="仿宋_GB2312" w:cs="Times New Roman"/>
          <w:spacing w:val="2"/>
          <w:sz w:val="32"/>
          <w:szCs w:val="32"/>
        </w:rPr>
        <w:t>人民</w:t>
      </w:r>
      <w:r>
        <w:rPr>
          <w:rFonts w:eastAsia="仿宋_GB2312" w:cs="Times New Roman"/>
          <w:spacing w:val="2"/>
          <w:sz w:val="32"/>
          <w:szCs w:val="32"/>
        </w:rPr>
        <w:t>政府关于全面加强生态环</w:t>
      </w:r>
      <w:r>
        <w:rPr>
          <w:rFonts w:eastAsia="仿宋_GB2312" w:cs="Times New Roman"/>
          <w:sz w:val="32"/>
          <w:szCs w:val="32"/>
        </w:rPr>
        <w:t>境保护坚决打好污染防治攻坚战的实施意见》</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（4）《河北省水污染防治工作领导小组办公室关于印发&lt;河北省碧水保卫战三年行动计划（2018</w:t>
      </w:r>
      <w:r>
        <w:rPr>
          <w:rFonts w:hint="eastAsia" w:eastAsia="仿宋_GB2312" w:cs="Times New Roman"/>
          <w:sz w:val="32"/>
          <w:szCs w:val="32"/>
        </w:rPr>
        <w:t>—</w:t>
      </w:r>
      <w:r>
        <w:rPr>
          <w:rFonts w:eastAsia="仿宋_GB2312" w:cs="Times New Roman"/>
          <w:sz w:val="32"/>
          <w:szCs w:val="32"/>
        </w:rPr>
        <w:t>2020年）&gt;的通知》（冀水领办〔2018〕123号）</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（5）《</w:t>
      </w:r>
      <w:r>
        <w:rPr>
          <w:rFonts w:hint="eastAsia" w:eastAsia="仿宋_GB2312" w:cs="Times New Roman"/>
          <w:spacing w:val="2"/>
          <w:sz w:val="32"/>
          <w:szCs w:val="32"/>
        </w:rPr>
        <w:t>河北省环境保护厅</w:t>
      </w:r>
      <w:r>
        <w:rPr>
          <w:rFonts w:eastAsia="仿宋_GB2312" w:cs="Times New Roman"/>
          <w:spacing w:val="2"/>
          <w:sz w:val="32"/>
          <w:szCs w:val="32"/>
        </w:rPr>
        <w:t>关于加快推进全省农村生活污水</w:t>
      </w:r>
      <w:r>
        <w:rPr>
          <w:rFonts w:eastAsia="仿宋_GB2312" w:cs="Times New Roman"/>
          <w:sz w:val="32"/>
          <w:szCs w:val="32"/>
        </w:rPr>
        <w:t>治理工作的通知》（冀环水〔2018〕301号）</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（6）《河北省农村人居环境整治三年行动实施方案（2018</w:t>
      </w:r>
      <w:r>
        <w:rPr>
          <w:rFonts w:hint="eastAsia" w:eastAsia="仿宋_GB2312" w:cs="Times New Roman"/>
          <w:sz w:val="32"/>
          <w:szCs w:val="32"/>
        </w:rPr>
        <w:t>—</w:t>
      </w:r>
      <w:r>
        <w:rPr>
          <w:rFonts w:eastAsia="仿宋_GB2312" w:cs="Times New Roman"/>
          <w:sz w:val="32"/>
          <w:szCs w:val="32"/>
        </w:rPr>
        <w:t>2020年）》（冀办发〔2018〕3号）</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（7）《河北省水污染防治工作领导小组办公室关于印发&lt;河北省农村生活污水治理行动计划&gt;的通知》</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（8）《河北省生态环境厅河北省农业农村厅关于印发&lt;河北省农业农村污染治理攻坚战实施方案&gt;的通知》</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（9）《廊坊市水资源公报（2011</w:t>
      </w:r>
      <w:r>
        <w:rPr>
          <w:rFonts w:hint="eastAsia" w:eastAsia="仿宋_GB2312" w:cs="Times New Roman"/>
          <w:sz w:val="32"/>
          <w:szCs w:val="32"/>
        </w:rPr>
        <w:t>—</w:t>
      </w:r>
      <w:r>
        <w:rPr>
          <w:rFonts w:eastAsia="仿宋_GB2312" w:cs="Times New Roman"/>
          <w:sz w:val="32"/>
          <w:szCs w:val="32"/>
        </w:rPr>
        <w:t>2018年）》</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（10）《廊坊市国民经济和社会发展“十三五”规划》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（11）《廊坊市水污染防治工作实施方案》</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（12）《廊坊市生态市建设规划》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（13）《廊坊市环境保护“十三五”规划》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（14）《廊坊市环境保护局关于对全市城乡集中式饮用水水源地采取最严格保护措施的通知》</w:t>
      </w:r>
    </w:p>
    <w:p>
      <w:pPr>
        <w:autoSpaceDN w:val="0"/>
        <w:adjustRightInd w:val="0"/>
        <w:snapToGrid w:val="0"/>
        <w:spacing w:line="580" w:lineRule="exact"/>
        <w:ind w:firstLine="800" w:firstLineChars="250"/>
        <w:rPr>
          <w:rFonts w:eastAsia="仿宋_GB2312" w:cs="Times New Roman"/>
          <w:sz w:val="32"/>
          <w:szCs w:val="32"/>
        </w:rPr>
      </w:pPr>
      <w:r>
        <w:rPr>
          <w:rFonts w:eastAsia="仿宋_GB2312" w:cs="Times New Roman"/>
          <w:sz w:val="32"/>
          <w:szCs w:val="32"/>
        </w:rPr>
        <w:t>（15）《廊坊市2016</w:t>
      </w:r>
      <w:r>
        <w:rPr>
          <w:rFonts w:hint="eastAsia" w:eastAsia="仿宋_GB2312" w:cs="Times New Roman"/>
          <w:sz w:val="32"/>
          <w:szCs w:val="32"/>
        </w:rPr>
        <w:t>—</w:t>
      </w:r>
      <w:r>
        <w:rPr>
          <w:rFonts w:eastAsia="仿宋_GB2312" w:cs="Times New Roman"/>
          <w:sz w:val="32"/>
          <w:szCs w:val="32"/>
        </w:rPr>
        <w:t>2018年度&lt;河北省水污染防治工作方案&gt;实施情况自查报告》</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（16）《廊坊市“十三五”工业发展规划》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（17）《</w:t>
      </w:r>
      <w:r>
        <w:rPr>
          <w:rFonts w:hint="eastAsia" w:eastAsia="仿宋_GB2312" w:cs="Times New Roman"/>
          <w:spacing w:val="2"/>
          <w:sz w:val="32"/>
          <w:szCs w:val="32"/>
        </w:rPr>
        <w:t>廊坊市人民政府办公室</w:t>
      </w:r>
      <w:r>
        <w:rPr>
          <w:rFonts w:eastAsia="仿宋_GB2312" w:cs="Times New Roman"/>
          <w:spacing w:val="2"/>
          <w:sz w:val="32"/>
          <w:szCs w:val="32"/>
        </w:rPr>
        <w:t>关于印发&lt;廊坊市重点河流</w:t>
      </w:r>
      <w:r>
        <w:rPr>
          <w:rFonts w:eastAsia="仿宋_GB2312" w:cs="Times New Roman"/>
          <w:sz w:val="32"/>
          <w:szCs w:val="32"/>
        </w:rPr>
        <w:t>水质达标方案&gt;的通知》（廊政办〔2016〕76号）</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（18）《河北省大城县环境保护规划》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（19）《大城县饮用水水源地环境保护规划》</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（20）《大城县畜牧兽医局“十三五”期间畜牧业发展目标、基本思路、重点任务及对策措施》</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（21）《大城县工信局“十三五”加快民营经济发展思路、目标、任务与对策》</w:t>
      </w:r>
    </w:p>
    <w:p>
      <w:pPr>
        <w:pStyle w:val="3"/>
        <w:spacing w:line="580" w:lineRule="exact"/>
        <w:ind w:firstLine="643"/>
        <w:rPr>
          <w:rFonts w:eastAsia="楷体_GB2312"/>
        </w:rPr>
      </w:pPr>
      <w:bookmarkStart w:id="63" w:name="_Toc23790667"/>
      <w:r>
        <w:rPr>
          <w:rFonts w:eastAsia="楷体_GB2312"/>
        </w:rPr>
        <w:t>1.3指导思想</w:t>
      </w:r>
      <w:bookmarkEnd w:id="63"/>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子牙河水生态环境质量改善为核心，统筹山水林田湖草系统治理，坚持污染防治与生态保护并重，推进水污染治理、水生态修复、水资源保护“三水共治”，强化污染源精细化管控，创新体制机制建设，落实党政各方责任，着力解决突出水生态环境问题，确保子牙河水生态环境质量持续改善，为京津冀协同发展提供有力的水生态环境支撑。</w:t>
      </w:r>
    </w:p>
    <w:p>
      <w:pPr>
        <w:pStyle w:val="3"/>
        <w:spacing w:line="580" w:lineRule="exact"/>
        <w:ind w:firstLine="643"/>
        <w:rPr>
          <w:rFonts w:eastAsia="楷体_GB2312"/>
        </w:rPr>
      </w:pPr>
      <w:bookmarkStart w:id="64" w:name="_Toc460430315"/>
      <w:bookmarkStart w:id="65" w:name="_Toc23790668"/>
      <w:bookmarkStart w:id="66" w:name="_Toc460430343"/>
      <w:r>
        <w:rPr>
          <w:rFonts w:eastAsia="楷体_GB2312"/>
        </w:rPr>
        <w:t>1.4</w:t>
      </w:r>
      <w:bookmarkEnd w:id="64"/>
      <w:r>
        <w:rPr>
          <w:rFonts w:eastAsia="楷体_GB2312"/>
        </w:rPr>
        <w:t>工作范围与时限</w:t>
      </w:r>
      <w:bookmarkEnd w:id="65"/>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历史上子牙河河面宽阔，水量较大，是海河流域的主要河流之一。近四十年来，子牙河廊坊市境内段常年断流，境内周边原本汇入子牙河的支流和排干渠等基本干涸或仅有少量生活污水，加之子牙河两侧堤坝高筑，河防设施较为完善，正常情况下河道周边面源污染难以直接入汇并对子牙河水环境产生影响。</w:t>
      </w:r>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方案根据当前子牙河长年断流、流域干涸、河堤高筑等特征，将廊坊市子牙河流域进一步划分为</w:t>
      </w:r>
      <w:r>
        <w:rPr>
          <w:rFonts w:eastAsia="仿宋_GB2312" w:cs="Times New Roman"/>
          <w:bCs/>
          <w:sz w:val="32"/>
          <w:szCs w:val="32"/>
        </w:rPr>
        <w:t>干流入河控制区</w:t>
      </w:r>
      <w:r>
        <w:rPr>
          <w:rFonts w:eastAsia="仿宋_GB2312" w:cs="Times New Roman"/>
          <w:sz w:val="32"/>
          <w:szCs w:val="32"/>
        </w:rPr>
        <w:t>和</w:t>
      </w:r>
      <w:r>
        <w:rPr>
          <w:rFonts w:eastAsia="仿宋_GB2312" w:cs="Times New Roman"/>
          <w:bCs/>
          <w:sz w:val="32"/>
          <w:szCs w:val="32"/>
        </w:rPr>
        <w:t>流域一般防控区</w:t>
      </w:r>
      <w:r>
        <w:rPr>
          <w:rFonts w:eastAsia="仿宋_GB2312" w:cs="Times New Roman"/>
          <w:sz w:val="32"/>
          <w:szCs w:val="32"/>
        </w:rPr>
        <w:t>两部分：</w:t>
      </w:r>
    </w:p>
    <w:p>
      <w:pPr>
        <w:autoSpaceDN w:val="0"/>
        <w:adjustRightInd w:val="0"/>
        <w:snapToGrid w:val="0"/>
        <w:spacing w:line="580" w:lineRule="exact"/>
        <w:ind w:firstLine="640"/>
        <w:rPr>
          <w:rFonts w:eastAsia="仿宋_GB2312" w:cs="Times New Roman"/>
          <w:bCs/>
          <w:sz w:val="32"/>
          <w:szCs w:val="32"/>
        </w:rPr>
      </w:pPr>
      <w:r>
        <w:rPr>
          <w:rFonts w:eastAsia="仿宋_GB2312" w:cs="Times New Roman"/>
          <w:bCs/>
          <w:sz w:val="32"/>
          <w:szCs w:val="32"/>
        </w:rPr>
        <w:t>干流入河控制区</w:t>
      </w:r>
      <w:r>
        <w:rPr>
          <w:rFonts w:eastAsia="仿宋_GB2312" w:cs="Times New Roman"/>
          <w:sz w:val="32"/>
          <w:szCs w:val="32"/>
        </w:rPr>
        <w:t>为一般水文年情况下子牙河干流两侧的排污汇水区，包括可能对子牙河水质造成直接影响的村庄、乡镇和部分人口聚集区域，采取系列手段控制干流两岸废水直接入汇。方案划定</w:t>
      </w:r>
      <w:r>
        <w:rPr>
          <w:rFonts w:eastAsia="仿宋_GB2312" w:cs="Times New Roman"/>
          <w:bCs/>
          <w:sz w:val="32"/>
          <w:szCs w:val="32"/>
        </w:rPr>
        <w:t>入河控制区包括子牙河干流（</w:t>
      </w:r>
      <w:r>
        <w:rPr>
          <w:rFonts w:eastAsia="仿宋_GB2312" w:cs="Times New Roman"/>
          <w:sz w:val="32"/>
          <w:szCs w:val="32"/>
        </w:rPr>
        <w:t>含大城县城区排污河段白马河</w:t>
      </w:r>
      <w:r>
        <w:rPr>
          <w:rFonts w:eastAsia="仿宋_GB2312" w:cs="Times New Roman"/>
          <w:bCs/>
          <w:sz w:val="32"/>
          <w:szCs w:val="32"/>
        </w:rPr>
        <w:t>）两岸1000m范围内，涵盖大城县城区（平舒镇）、南赵扶镇和留各庄镇等重点镇镇区以及子牙河周边的67个行政村。</w:t>
      </w:r>
    </w:p>
    <w:p>
      <w:pPr>
        <w:autoSpaceDN w:val="0"/>
        <w:adjustRightInd w:val="0"/>
        <w:snapToGrid w:val="0"/>
        <w:spacing w:after="240" w:afterLines="100" w:line="580" w:lineRule="exact"/>
        <w:ind w:firstLine="480"/>
        <w:rPr>
          <w:rFonts w:hint="eastAsia" w:eastAsia="仿宋_GB2312" w:cs="Times New Roman"/>
          <w:bCs/>
          <w:sz w:val="32"/>
          <w:szCs w:val="32"/>
        </w:rPr>
      </w:pPr>
      <w:r>
        <w:drawing>
          <wp:anchor distT="0" distB="0" distL="114300" distR="114300" simplePos="0" relativeHeight="251658240" behindDoc="1" locked="0" layoutInCell="1" allowOverlap="1">
            <wp:simplePos x="0" y="0"/>
            <wp:positionH relativeFrom="column">
              <wp:posOffset>1092835</wp:posOffset>
            </wp:positionH>
            <wp:positionV relativeFrom="paragraph">
              <wp:posOffset>2320925</wp:posOffset>
            </wp:positionV>
            <wp:extent cx="3469005" cy="3117850"/>
            <wp:effectExtent l="0" t="0" r="17145" b="6350"/>
            <wp:wrapNone/>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33"/>
                    <a:stretch>
                      <a:fillRect/>
                    </a:stretch>
                  </pic:blipFill>
                  <pic:spPr>
                    <a:xfrm>
                      <a:off x="0" y="0"/>
                      <a:ext cx="3469005" cy="3117850"/>
                    </a:xfrm>
                    <a:prstGeom prst="rect">
                      <a:avLst/>
                    </a:prstGeom>
                    <a:noFill/>
                    <a:ln w="9525">
                      <a:noFill/>
                    </a:ln>
                  </pic:spPr>
                </pic:pic>
              </a:graphicData>
            </a:graphic>
          </wp:anchor>
        </w:drawing>
      </w:r>
      <w:r>
        <w:rPr>
          <w:rFonts w:eastAsia="仿宋_GB2312" w:cs="Times New Roman"/>
          <w:bCs/>
          <w:sz w:val="32"/>
          <w:szCs w:val="32"/>
        </w:rPr>
        <w:t>流域一般防控区</w:t>
      </w:r>
      <w:r>
        <w:rPr>
          <w:rFonts w:eastAsia="仿宋_GB2312" w:cs="Times New Roman"/>
          <w:sz w:val="32"/>
          <w:szCs w:val="32"/>
        </w:rPr>
        <w:t>为特殊洪水年份中形成洪水和地表径流的情况下，可能对子牙河干流产生影响的区域，方案采用强化流域内工业、畜禽养殖业等重点行业污染治理水平，落实污染控制措施，确保特殊洪水年份、极端暴雨天气条件时流域地表径流不会对子牙河水环境造成污染风险。</w:t>
      </w:r>
      <w:r>
        <w:rPr>
          <w:rFonts w:eastAsia="仿宋_GB2312" w:cs="Times New Roman"/>
          <w:bCs/>
          <w:sz w:val="32"/>
          <w:szCs w:val="32"/>
        </w:rPr>
        <w:t>一般防控区范围为廊坊市子牙河流域范围内干流入河控制区以外的其他区域，涵盖大城县全境。</w:t>
      </w: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after="240" w:afterLines="100" w:line="580" w:lineRule="exact"/>
        <w:ind w:firstLine="640"/>
        <w:rPr>
          <w:rFonts w:hint="eastAsia" w:eastAsia="仿宋_GB2312" w:cs="Times New Roman"/>
          <w:bCs/>
          <w:sz w:val="32"/>
          <w:szCs w:val="32"/>
        </w:rPr>
      </w:pPr>
    </w:p>
    <w:p>
      <w:pPr>
        <w:autoSpaceDN w:val="0"/>
        <w:adjustRightInd w:val="0"/>
        <w:snapToGrid w:val="0"/>
        <w:spacing w:line="590" w:lineRule="exact"/>
        <w:ind w:firstLine="0" w:firstLineChars="0"/>
        <w:jc w:val="center"/>
        <w:rPr>
          <w:rFonts w:hint="eastAsia" w:eastAsia="仿宋_GB2312" w:cs="Times New Roman"/>
          <w:b/>
          <w:szCs w:val="28"/>
        </w:rPr>
      </w:pPr>
      <w:r>
        <w:rPr>
          <w:rFonts w:eastAsia="仿宋_GB2312" w:cs="Times New Roman"/>
          <w:szCs w:val="28"/>
        </w:rPr>
        <mc:AlternateContent>
          <mc:Choice Requires="wps">
            <w:drawing>
              <wp:anchor distT="0" distB="0" distL="114300" distR="114300" simplePos="0" relativeHeight="2516725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29" name="任意多边形 29" hidden="1"/>
                <wp:cNvGraphicFramePr/>
                <a:graphic xmlns:a="http://schemas.openxmlformats.org/drawingml/2006/main">
                  <a:graphicData uri="http://schemas.microsoft.com/office/word/2010/wordprocessingShape">
                    <wps:wsp>
                      <wps:cNvSpPr/>
                      <wps:spPr>
                        <a:xfrm>
                          <a:off x="0" y="0"/>
                          <a:ext cx="635000" cy="635000"/>
                        </a:xfrm>
                        <a:custGeom>
                          <a:avLst/>
                          <a:gdLst>
                            <a:gd name="A1" fmla="val 0"/>
                            <a:gd name="A2" fmla="val 0"/>
                            <a:gd name="G0" fmla="+- A1 0 0"/>
                            <a:gd name="G1" fmla="*/ G0 1 2"/>
                            <a:gd name="G2" fmla="+- 21600 0 G0"/>
                            <a:gd name="G3" fmla="+- 21600 0 G0"/>
                            <a:gd name="G4" fmla="+- 21600 0 0"/>
                            <a:gd name="G5" fmla="+- 21600 0 0"/>
                            <a:gd name="G6" fmla="*/ G0 2929 10000"/>
                            <a:gd name="G7" fmla="+- 21600 0 G6"/>
                            <a:gd name="G8" fmla="+- 21600 0 G6"/>
                          </a:gdLst>
                          <a:ahLst/>
                          <a:cxnLst/>
                          <a:rect l="G6" t="G6" r="G7" b="G8"/>
                          <a:pathLst>
                            <a:path w="21600" h="21600">
                              <a:moveTo>
                                <a:pt x="0" y="G2"/>
                              </a:moveTo>
                              <a:lnTo>
                                <a:pt x="0" y="21600"/>
                              </a:lnTo>
                              <a:lnTo>
                                <a:pt x="21600" y="21600"/>
                              </a:lnTo>
                              <a:lnTo>
                                <a:pt x="21600" y="21600"/>
                              </a:lnTo>
                              <a:lnTo>
                                <a:pt x="21600" y="0"/>
                              </a:lnTo>
                              <a:lnTo>
                                <a:pt x="21600" y="0"/>
                              </a:lnTo>
                              <a:lnTo>
                                <a:pt x="0" y="0"/>
                              </a:lnTo>
                              <a:lnTo>
                                <a:pt x="0" y="0"/>
                              </a:lnTo>
                              <a:lnTo>
                                <a:pt x="0" y="21600"/>
                              </a:lnTo>
                              <a:close/>
                            </a:path>
                          </a:pathLst>
                        </a:custGeom>
                        <a:solidFill>
                          <a:srgbClr val="FFFFFF"/>
                        </a:solidFill>
                        <a:ln w="9525" cap="flat" cmpd="sng">
                          <a:solidFill>
                            <a:srgbClr val="000000"/>
                          </a:solidFill>
                          <a:prstDash val="solid"/>
                          <a:round/>
                          <a:headEnd type="none" w="med" len="med"/>
                          <a:tailEnd type="none" w="med" len="med"/>
                        </a:ln>
                      </wps:spPr>
                      <wps:bodyPr upright="1"/>
                    </wps:wsp>
                  </a:graphicData>
                </a:graphic>
              </wp:anchor>
            </w:drawing>
          </mc:Choice>
          <mc:Fallback>
            <w:pict>
              <v:shape id="_x0000_s1026" o:spid="_x0000_s1026" o:spt="100" style="position:absolute;left:0pt;margin-left:0pt;margin-top:0pt;height:50pt;width:50pt;mso-position-horizontal-relative:page;mso-position-vertical-relative:page;visibility:hidden;z-index:251672576;mso-width-relative:page;mso-height-relative:page;" coordsize="21600,21600" o:allowincell="f" o:gfxdata="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DMm7G/RAAAABQEAAA8AAAAAAAAAAQAgAAAAIgAAAGRycy9kb3ducmV2LnhtbFBLAQIUABQAAAAI&#10;AIdO4kDSkjVi2AIAAGAHAAAOAAAAAAAAAAEAIAAAACABAABkcnMvZTJvRG9jLnhtbFBLBQYAAAAA&#10;BgAGAFkBAABqBgAAAAA=&#10;" adj="," path="m0,@2qy@0,@5l@3,@5qx@4,@2l@4,@0qy@3,0l@0,0qx0,@0l0,@2xe">
                <v:formulas>
                  <v:f eqn="sum #0 0 0"/>
                  <v:f eqn="prod @0 1 2"/>
                  <v:f eqn="sum height 0 @0"/>
                  <v:f eqn="sum width 0 @0"/>
                  <v:f eqn="sum width 0 0"/>
                  <v:f eqn="sum height 0 0"/>
                  <v:f eqn="prod @0 2929 10000"/>
                  <v:f eqn="sum width 0 @6"/>
                  <v:f eqn="sum height 0 @6"/>
                </v:formulas>
                <v:handles>
                  <v:h position="#0,topLeft" xrange="0,10800"/>
                </v:handles>
                <v:path textboxrect="@6,@6,@7,@8" o:connecttype="segments"/>
                <v:fill focussize="0,0"/>
                <v:stroke joinstyle="round"/>
                <v:imagedata o:title=""/>
                <o:lock v:ext="edit"/>
              </v:shape>
            </w:pict>
          </mc:Fallback>
        </mc:AlternateContent>
      </w:r>
      <w:r>
        <w:rPr>
          <w:rFonts w:eastAsia="仿宋_GB2312" w:cs="Times New Roman"/>
          <w:b/>
          <w:szCs w:val="28"/>
        </w:rPr>
        <w:t>图1</w:t>
      </w:r>
      <w:r>
        <w:rPr>
          <w:rFonts w:hint="eastAsia" w:eastAsia="仿宋_GB2312" w:cs="Times New Roman"/>
          <w:b/>
          <w:szCs w:val="28"/>
        </w:rPr>
        <w:t>-</w:t>
      </w:r>
      <w:r>
        <w:rPr>
          <w:rFonts w:eastAsia="仿宋_GB2312" w:cs="Times New Roman"/>
          <w:b/>
          <w:szCs w:val="28"/>
        </w:rPr>
        <w:t>1</w:t>
      </w:r>
      <w:r>
        <w:rPr>
          <w:rFonts w:hint="eastAsia" w:eastAsia="仿宋_GB2312" w:cs="Times New Roman"/>
          <w:b/>
          <w:szCs w:val="28"/>
        </w:rPr>
        <w:t>　</w:t>
      </w:r>
      <w:r>
        <w:rPr>
          <w:rFonts w:eastAsia="仿宋_GB2312" w:cs="Times New Roman"/>
          <w:b/>
          <w:szCs w:val="28"/>
        </w:rPr>
        <w:t>方案划定的干流入河控制区和流域一般防控区</w:t>
      </w:r>
    </w:p>
    <w:p>
      <w:pPr>
        <w:autoSpaceDN w:val="0"/>
        <w:adjustRightInd w:val="0"/>
        <w:snapToGrid w:val="0"/>
        <w:spacing w:line="590" w:lineRule="exact"/>
        <w:ind w:firstLine="640"/>
        <w:rPr>
          <w:rFonts w:eastAsia="仿宋_GB2312" w:cs="Times New Roman"/>
          <w:b/>
          <w:szCs w:val="28"/>
        </w:rPr>
      </w:pPr>
      <w:r>
        <w:rPr>
          <w:rFonts w:eastAsia="仿宋_GB2312" w:cs="Times New Roman"/>
          <w:sz w:val="32"/>
          <w:szCs w:val="32"/>
        </w:rPr>
        <w:t>本方案实施年限为2019</w:t>
      </w:r>
      <w:r>
        <w:rPr>
          <w:rFonts w:hint="eastAsia" w:eastAsia="仿宋_GB2312" w:cs="Times New Roman"/>
          <w:sz w:val="32"/>
          <w:szCs w:val="32"/>
        </w:rPr>
        <w:t>—</w:t>
      </w:r>
      <w:r>
        <w:rPr>
          <w:rFonts w:eastAsia="仿宋_GB2312" w:cs="Times New Roman"/>
          <w:sz w:val="32"/>
          <w:szCs w:val="32"/>
        </w:rPr>
        <w:t>2020年。</w:t>
      </w:r>
    </w:p>
    <w:p>
      <w:pPr>
        <w:pStyle w:val="3"/>
        <w:snapToGrid w:val="0"/>
        <w:spacing w:line="590" w:lineRule="exact"/>
        <w:ind w:firstLine="643"/>
        <w:rPr>
          <w:rFonts w:eastAsia="楷体_GB2312"/>
        </w:rPr>
      </w:pPr>
      <w:bookmarkStart w:id="67" w:name="_Toc460430344"/>
      <w:bookmarkStart w:id="68" w:name="_Toc23790669"/>
      <w:r>
        <w:rPr>
          <w:rFonts w:eastAsia="楷体_GB2312"/>
        </w:rPr>
        <w:t>1.5治理目标</w:t>
      </w:r>
      <w:bookmarkEnd w:id="67"/>
      <w:bookmarkEnd w:id="68"/>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继续加大子牙河水污染防治力度，到2020年，在保证子牙河断面达到国家考核目标要求（氨氮≤6.5mg/L，其他指标为V类）的基础上，力争水质保持V类标准要求，逐步恢复水环境功能区目标要求。</w:t>
      </w:r>
    </w:p>
    <w:p>
      <w:pPr>
        <w:autoSpaceDN w:val="0"/>
        <w:snapToGrid w:val="0"/>
        <w:spacing w:before="120" w:beforeLines="50" w:after="120" w:afterLines="50" w:line="240" w:lineRule="auto"/>
        <w:ind w:firstLine="0" w:firstLineChars="0"/>
        <w:jc w:val="center"/>
        <w:rPr>
          <w:rFonts w:ascii="黑体" w:hAnsi="黑体" w:eastAsia="黑体" w:cs="Times New Roman"/>
          <w:bCs/>
          <w:sz w:val="32"/>
          <w:szCs w:val="32"/>
        </w:rPr>
      </w:pPr>
      <w:r>
        <w:rPr>
          <w:rFonts w:ascii="黑体" w:hAnsi="黑体" w:eastAsia="黑体" w:cs="Times New Roman"/>
          <w:bCs/>
          <w:sz w:val="32"/>
          <w:szCs w:val="32"/>
        </w:rPr>
        <w:t>表1</w:t>
      </w:r>
      <w:r>
        <w:rPr>
          <w:rFonts w:hint="eastAsia" w:eastAsia="仿宋_GB2312" w:cs="Times New Roman"/>
          <w:sz w:val="32"/>
          <w:szCs w:val="32"/>
        </w:rPr>
        <w:t>-</w:t>
      </w:r>
      <w:r>
        <w:rPr>
          <w:rFonts w:ascii="黑体" w:hAnsi="黑体" w:eastAsia="黑体" w:cs="Times New Roman"/>
          <w:bCs/>
          <w:sz w:val="32"/>
          <w:szCs w:val="32"/>
        </w:rPr>
        <w:t>1  廊坊市子牙河水质考核断面和考核要求</w:t>
      </w:r>
    </w:p>
    <w:tbl>
      <w:tblPr>
        <w:tblStyle w:val="10"/>
        <w:tblW w:w="8813"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887"/>
        <w:gridCol w:w="737"/>
        <w:gridCol w:w="829"/>
        <w:gridCol w:w="851"/>
        <w:gridCol w:w="738"/>
        <w:gridCol w:w="1774"/>
        <w:gridCol w:w="2997"/>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75" w:hRule="atLeast"/>
          <w:jc w:val="center"/>
        </w:trPr>
        <w:tc>
          <w:tcPr>
            <w:tcW w:w="887" w:type="dxa"/>
            <w:vMerge w:val="restart"/>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考核县</w:t>
            </w:r>
          </w:p>
        </w:tc>
        <w:tc>
          <w:tcPr>
            <w:tcW w:w="737" w:type="dxa"/>
            <w:vMerge w:val="restart"/>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流域</w:t>
            </w:r>
          </w:p>
        </w:tc>
        <w:tc>
          <w:tcPr>
            <w:tcW w:w="829" w:type="dxa"/>
            <w:vMerge w:val="restart"/>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所在</w:t>
            </w:r>
          </w:p>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水体</w:t>
            </w:r>
          </w:p>
        </w:tc>
        <w:tc>
          <w:tcPr>
            <w:tcW w:w="851" w:type="dxa"/>
            <w:vMerge w:val="restart"/>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断面</w:t>
            </w:r>
          </w:p>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名称</w:t>
            </w:r>
          </w:p>
        </w:tc>
        <w:tc>
          <w:tcPr>
            <w:tcW w:w="738" w:type="dxa"/>
            <w:vMerge w:val="restart"/>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水质</w:t>
            </w:r>
          </w:p>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现状</w:t>
            </w:r>
          </w:p>
        </w:tc>
        <w:tc>
          <w:tcPr>
            <w:tcW w:w="4771" w:type="dxa"/>
            <w:gridSpan w:val="2"/>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水质考核目标</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473" w:hRule="atLeast"/>
          <w:jc w:val="center"/>
        </w:trPr>
        <w:tc>
          <w:tcPr>
            <w:tcW w:w="88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eastAsia="仿宋_GB2312" w:cs="Times New Roman"/>
                <w:b/>
                <w:bCs/>
                <w:sz w:val="21"/>
                <w:szCs w:val="21"/>
              </w:rPr>
            </w:pPr>
          </w:p>
        </w:tc>
        <w:tc>
          <w:tcPr>
            <w:tcW w:w="73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eastAsia="仿宋_GB2312" w:cs="Times New Roman"/>
                <w:b/>
                <w:bCs/>
                <w:sz w:val="21"/>
                <w:szCs w:val="21"/>
              </w:rPr>
            </w:pPr>
          </w:p>
        </w:tc>
        <w:tc>
          <w:tcPr>
            <w:tcW w:w="829"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eastAsia="仿宋_GB2312" w:cs="Times New Roman"/>
                <w:b/>
                <w:bCs/>
                <w:sz w:val="21"/>
                <w:szCs w:val="21"/>
              </w:rPr>
            </w:pPr>
          </w:p>
        </w:tc>
        <w:tc>
          <w:tcPr>
            <w:tcW w:w="851"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eastAsia="仿宋_GB2312" w:cs="Times New Roman"/>
                <w:b/>
                <w:bCs/>
                <w:sz w:val="21"/>
                <w:szCs w:val="21"/>
              </w:rPr>
            </w:pPr>
          </w:p>
        </w:tc>
        <w:tc>
          <w:tcPr>
            <w:tcW w:w="73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eastAsia="仿宋_GB2312" w:cs="Times New Roman"/>
                <w:b/>
                <w:bCs/>
                <w:sz w:val="21"/>
                <w:szCs w:val="21"/>
              </w:rPr>
            </w:pPr>
          </w:p>
        </w:tc>
        <w:tc>
          <w:tcPr>
            <w:tcW w:w="177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hint="eastAsia" w:eastAsia="仿宋_GB2312" w:cs="Times New Roman"/>
                <w:b/>
                <w:bCs/>
                <w:sz w:val="21"/>
                <w:szCs w:val="21"/>
              </w:rPr>
            </w:pPr>
            <w:r>
              <w:rPr>
                <w:rFonts w:eastAsia="仿宋_GB2312" w:cs="Times New Roman"/>
                <w:b/>
                <w:bCs/>
                <w:sz w:val="21"/>
                <w:szCs w:val="21"/>
              </w:rPr>
              <w:t>2019</w:t>
            </w:r>
            <w:r>
              <w:rPr>
                <w:rFonts w:hint="eastAsia" w:eastAsia="仿宋_GB2312" w:cs="Times New Roman"/>
                <w:b/>
                <w:bCs/>
                <w:sz w:val="21"/>
                <w:szCs w:val="21"/>
              </w:rPr>
              <w:t>年</w:t>
            </w:r>
          </w:p>
        </w:tc>
        <w:tc>
          <w:tcPr>
            <w:tcW w:w="299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hint="eastAsia" w:eastAsia="仿宋_GB2312" w:cs="Times New Roman"/>
                <w:b/>
                <w:bCs/>
                <w:sz w:val="21"/>
                <w:szCs w:val="21"/>
              </w:rPr>
            </w:pPr>
            <w:r>
              <w:rPr>
                <w:rFonts w:eastAsia="仿宋_GB2312" w:cs="Times New Roman"/>
                <w:b/>
                <w:bCs/>
                <w:sz w:val="21"/>
                <w:szCs w:val="21"/>
              </w:rPr>
              <w:t>2020</w:t>
            </w:r>
            <w:r>
              <w:rPr>
                <w:rFonts w:hint="eastAsia" w:eastAsia="仿宋_GB2312" w:cs="Times New Roman"/>
                <w:b/>
                <w:bCs/>
                <w:sz w:val="21"/>
                <w:szCs w:val="21"/>
              </w:rPr>
              <w:t>年</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894" w:hRule="atLeast"/>
          <w:jc w:val="center"/>
        </w:trPr>
        <w:tc>
          <w:tcPr>
            <w:tcW w:w="88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73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海河</w:t>
            </w:r>
          </w:p>
        </w:tc>
        <w:tc>
          <w:tcPr>
            <w:tcW w:w="82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85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小河闸</w:t>
            </w:r>
          </w:p>
        </w:tc>
        <w:tc>
          <w:tcPr>
            <w:tcW w:w="73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V</w:t>
            </w:r>
          </w:p>
        </w:tc>
        <w:tc>
          <w:tcPr>
            <w:tcW w:w="177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氨氮≤6.5mg/L，其他指标为V类</w:t>
            </w:r>
          </w:p>
        </w:tc>
        <w:tc>
          <w:tcPr>
            <w:tcW w:w="299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氨氮≤6.5mg/L，其他指标为V类</w:t>
            </w:r>
          </w:p>
        </w:tc>
      </w:tr>
    </w:tbl>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到2020年，子牙河干流入河控制区内重点镇基本完成污水处理设施建设，沿程农村垃圾清理、收集、转运和处理一体化体系全部建成，子牙河河道保护和管理体系基本健全，水生态环境显著改善；子牙河一般控制区水污染治理水平全面提升，雨</w:t>
      </w:r>
      <w:r>
        <w:rPr>
          <w:rFonts w:hint="eastAsia" w:eastAsia="仿宋_GB2312" w:cs="Times New Roman"/>
          <w:sz w:val="32"/>
          <w:szCs w:val="32"/>
        </w:rPr>
        <w:t>水</w:t>
      </w:r>
      <w:r>
        <w:rPr>
          <w:rFonts w:eastAsia="仿宋_GB2312" w:cs="Times New Roman"/>
          <w:sz w:val="32"/>
          <w:szCs w:val="32"/>
        </w:rPr>
        <w:t>、洪水通过排洪干渠汇入子牙河干流造成污染的环境风险基本消除。</w:t>
      </w:r>
    </w:p>
    <w:p>
      <w:pPr>
        <w:pStyle w:val="3"/>
        <w:autoSpaceDN w:val="0"/>
        <w:spacing w:line="590" w:lineRule="exact"/>
        <w:ind w:firstLine="643"/>
        <w:rPr>
          <w:rFonts w:eastAsia="楷体_GB2312"/>
          <w:bCs w:val="0"/>
        </w:rPr>
      </w:pPr>
      <w:bookmarkStart w:id="69" w:name="_Toc23790670"/>
      <w:r>
        <w:rPr>
          <w:rFonts w:eastAsia="楷体_GB2312"/>
          <w:bCs w:val="0"/>
        </w:rPr>
        <w:t>1.6</w:t>
      </w:r>
      <w:bookmarkEnd w:id="66"/>
      <w:r>
        <w:rPr>
          <w:rFonts w:eastAsia="楷体_GB2312"/>
          <w:bCs w:val="0"/>
        </w:rPr>
        <w:t>治理思路</w:t>
      </w:r>
      <w:bookmarkEnd w:id="69"/>
    </w:p>
    <w:p>
      <w:pPr>
        <w:pStyle w:val="13"/>
        <w:widowControl w:val="0"/>
        <w:autoSpaceDN w:val="0"/>
        <w:adjustRightInd w:val="0"/>
        <w:snapToGrid w:val="0"/>
        <w:spacing w:line="59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继续推进污染源综合整治，辅以环境修复、生态补水，落实“治污水、抓节水、调客水、压采水”四大举措，通过干流入河控制区和流域一般防控区分区、分类整治，重点解决断流河段水环境风险、水生态退化等突出问题，缓解水资源匮乏压力，确保子牙河河道清洁、无污染，有效保障上游调水或季节性来水条件下的水环境质量。</w:t>
      </w:r>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bCs/>
          <w:spacing w:val="-6"/>
          <w:sz w:val="32"/>
          <w:szCs w:val="32"/>
        </w:rPr>
        <w:t>重点治理入河控制区，落实以防为主。巩固</w:t>
      </w:r>
      <w:r>
        <w:rPr>
          <w:rFonts w:eastAsia="仿宋_GB2312" w:cs="Times New Roman"/>
          <w:spacing w:val="-6"/>
          <w:sz w:val="32"/>
          <w:szCs w:val="32"/>
        </w:rPr>
        <w:t>子牙河沿河农村垃圾治理、禁养区畜禽养殖场清理、非法排污口封堵等前期治理成果，</w:t>
      </w:r>
      <w:r>
        <w:rPr>
          <w:rFonts w:eastAsia="仿宋_GB2312" w:cs="Times New Roman"/>
          <w:bCs/>
          <w:spacing w:val="-6"/>
          <w:sz w:val="32"/>
          <w:szCs w:val="32"/>
        </w:rPr>
        <w:t>完成大城县城区配套管网、留各庄镇等重点镇污水处理厂及配套管网、大城县污水处理厂人工湿地净化工程等后续项目工程建设，改善和修复子牙河及主要支渠的水生态状况，同时</w:t>
      </w:r>
      <w:r>
        <w:rPr>
          <w:rFonts w:eastAsia="仿宋_GB2312" w:cs="Times New Roman"/>
          <w:spacing w:val="-6"/>
          <w:sz w:val="32"/>
          <w:szCs w:val="32"/>
        </w:rPr>
        <w:t>防止干流两岸废水事故排放、暴雨径流以及排洪条件下污染物进入子牙河河道。</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完善一般防控区基础治理设施，提高防治水平。</w:t>
      </w:r>
      <w:r>
        <w:rPr>
          <w:rFonts w:eastAsia="仿宋_GB2312" w:cs="Times New Roman"/>
          <w:sz w:val="32"/>
          <w:szCs w:val="32"/>
        </w:rPr>
        <w:t>强化流域内工业、畜禽养殖业等重点行业污染治理水平，落实污染控制措施，防止特殊洪水年份中形成洪水和地表径流的情况下，污染负荷通过排洪干渠汇入子牙河干流造成污染。</w:t>
      </w:r>
    </w:p>
    <w:p>
      <w:pPr>
        <w:pStyle w:val="13"/>
        <w:widowControl w:val="0"/>
        <w:autoSpaceDN w:val="0"/>
        <w:adjustRightInd w:val="0"/>
        <w:snapToGrid w:val="0"/>
        <w:spacing w:line="59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bCs/>
          <w:sz w:val="32"/>
          <w:szCs w:val="32"/>
        </w:rPr>
        <w:t>加强部门协调机制和流域统筹机制建设。</w:t>
      </w:r>
      <w:r>
        <w:rPr>
          <w:rFonts w:ascii="Times New Roman" w:hAnsi="Times New Roman" w:eastAsia="仿宋_GB2312" w:cs="Times New Roman"/>
          <w:sz w:val="32"/>
          <w:szCs w:val="32"/>
        </w:rPr>
        <w:t>以达标方案的修订和实施为契机，持续推进各管理部门的通力合作，促进流域上下游间协调机制建设，形成子牙河保护合力，实现子牙河绿化、净化，保障子牙河水生态环境质量。</w:t>
      </w:r>
    </w:p>
    <w:p>
      <w:pPr>
        <w:pStyle w:val="2"/>
        <w:spacing w:line="590" w:lineRule="exact"/>
        <w:ind w:firstLine="640"/>
      </w:pPr>
      <w:bookmarkStart w:id="70" w:name="_Toc23790671"/>
      <w:r>
        <w:t>二、流域概况</w:t>
      </w:r>
      <w:bookmarkEnd w:id="70"/>
    </w:p>
    <w:p>
      <w:pPr>
        <w:pStyle w:val="3"/>
        <w:spacing w:line="590" w:lineRule="exact"/>
        <w:ind w:firstLine="643"/>
        <w:rPr>
          <w:rFonts w:eastAsia="楷体_GB2312"/>
        </w:rPr>
      </w:pPr>
      <w:bookmarkStart w:id="71" w:name="_Toc23790672"/>
      <w:r>
        <w:rPr>
          <w:rFonts w:eastAsia="楷体_GB2312"/>
        </w:rPr>
        <w:t>2.1自然环境</w:t>
      </w:r>
      <w:bookmarkEnd w:id="71"/>
    </w:p>
    <w:p>
      <w:pPr>
        <w:pStyle w:val="4"/>
        <w:spacing w:line="590" w:lineRule="exact"/>
        <w:ind w:firstLine="643"/>
      </w:pPr>
      <w:bookmarkStart w:id="72" w:name="_Toc23790673"/>
      <w:r>
        <w:t>2.1.1河流水系</w:t>
      </w:r>
      <w:bookmarkEnd w:id="72"/>
    </w:p>
    <w:p>
      <w:pPr>
        <w:shd w:val="clear" w:color="auto" w:fill="FFFFFF"/>
        <w:autoSpaceDN w:val="0"/>
        <w:adjustRightInd w:val="0"/>
        <w:snapToGrid w:val="0"/>
        <w:spacing w:line="590" w:lineRule="exact"/>
        <w:ind w:firstLine="616"/>
        <w:rPr>
          <w:rFonts w:eastAsia="仿宋_GB2312" w:cs="Times New Roman"/>
          <w:bCs/>
          <w:sz w:val="32"/>
          <w:szCs w:val="32"/>
        </w:rPr>
      </w:pPr>
      <w:r>
        <w:rPr>
          <w:rFonts w:eastAsia="仿宋_GB2312" w:cs="Times New Roman"/>
          <w:bCs/>
          <w:spacing w:val="-6"/>
          <w:sz w:val="32"/>
          <w:szCs w:val="32"/>
        </w:rPr>
        <w:t>子牙河水系位于海河南系南支，是海河水系五条重要支流（子牙河、大清河、南运河、北运河、永定河）之一。子牙河水系由滏阳河和滹沱河两大河系组成，滹沱河发源于山西省五台山北侧，沿途在山西、河北境内接纳清水河和冶河，东流在献县与由发源于太行山东坡的滏阳河汇合后，称子牙河，并在天津第六堡汇入渤海。水系上游建有东武仕、朱庄、临城、岗南和黄壁庄等5座大型水库，13座中型水库和44座小型水库，总库容41亿立方米。总流域面积7.87万平方公里，占海河流域总面积的25%，人口约占16%。</w:t>
      </w:r>
    </w:p>
    <w:p>
      <w:pPr>
        <w:shd w:val="clear" w:color="auto" w:fill="FFFFFF"/>
        <w:autoSpaceDN w:val="0"/>
        <w:adjustRightInd w:val="0"/>
        <w:snapToGrid w:val="0"/>
        <w:spacing w:line="590" w:lineRule="exact"/>
        <w:ind w:firstLine="608"/>
        <w:rPr>
          <w:rFonts w:eastAsia="仿宋_GB2312" w:cs="Times New Roman"/>
          <w:bCs/>
          <w:spacing w:val="-8"/>
          <w:sz w:val="32"/>
          <w:szCs w:val="32"/>
        </w:rPr>
      </w:pPr>
      <w:r>
        <w:rPr>
          <w:rFonts w:eastAsia="仿宋_GB2312" w:cs="Times New Roman"/>
          <w:bCs/>
          <w:spacing w:val="-8"/>
          <w:sz w:val="32"/>
          <w:szCs w:val="32"/>
        </w:rPr>
        <w:t>子牙河廊坊段全部在大城县境内，河流经河间北司徒乡，在权村镇董家房子村流入大城县境，经权村镇、留各庄镇、大广安镇、臧屯乡、平舒镇、南赵扶镇、旺村镇等7个乡镇从西南至东北贯穿全县，在南赵扶镇东辛庄村东小河闸断面出境流入天津市静海县，境内全长46.7公里，流域面积890平方公里。河床宽40</w:t>
      </w:r>
      <w:r>
        <w:rPr>
          <w:rFonts w:hint="eastAsia" w:eastAsia="仿宋_GB2312" w:cs="Times New Roman"/>
          <w:sz w:val="32"/>
          <w:szCs w:val="32"/>
        </w:rPr>
        <w:t>~</w:t>
      </w:r>
      <w:r>
        <w:rPr>
          <w:rFonts w:eastAsia="仿宋_GB2312" w:cs="Times New Roman"/>
          <w:bCs/>
          <w:spacing w:val="-8"/>
          <w:sz w:val="32"/>
          <w:szCs w:val="32"/>
        </w:rPr>
        <w:t>114米，平均深8米。河底高程最高处4.58米，最低处1.6米，为复式河槽。河道两侧堤防完善，其中左堤长46.5公里，右堤长55.5公里，两侧距163</w:t>
      </w:r>
      <w:r>
        <w:rPr>
          <w:rFonts w:hint="eastAsia" w:eastAsia="仿宋_GB2312" w:cs="Times New Roman"/>
          <w:sz w:val="32"/>
          <w:szCs w:val="32"/>
        </w:rPr>
        <w:t>~</w:t>
      </w:r>
      <w:r>
        <w:rPr>
          <w:rFonts w:eastAsia="仿宋_GB2312" w:cs="Times New Roman"/>
          <w:bCs/>
          <w:spacing w:val="-8"/>
          <w:sz w:val="32"/>
          <w:szCs w:val="32"/>
        </w:rPr>
        <w:t>2450米。由于人工堤防作用，河床呈顺直微曲型。</w:t>
      </w:r>
    </w:p>
    <w:p>
      <w:pPr>
        <w:autoSpaceDN w:val="0"/>
        <w:adjustRightInd w:val="0"/>
        <w:snapToGrid w:val="0"/>
        <w:spacing w:after="48" w:afterLines="20" w:line="590" w:lineRule="exact"/>
        <w:ind w:firstLine="616"/>
        <w:rPr>
          <w:rFonts w:eastAsia="仿宋_GB2312" w:cs="Times New Roman"/>
          <w:spacing w:val="-6"/>
          <w:sz w:val="32"/>
          <w:szCs w:val="32"/>
        </w:rPr>
      </w:pPr>
      <w:r>
        <w:rPr>
          <w:rFonts w:eastAsia="仿宋_GB2312" w:cs="Times New Roman"/>
          <w:spacing w:val="-6"/>
          <w:sz w:val="32"/>
          <w:szCs w:val="32"/>
        </w:rPr>
        <w:t>白马河是</w:t>
      </w:r>
      <w:r>
        <w:rPr>
          <w:rFonts w:eastAsia="仿宋_GB2312" w:cs="Times New Roman"/>
          <w:sz w:val="32"/>
          <w:szCs w:val="32"/>
        </w:rPr>
        <w:t>大城县城区主要排污河段，</w:t>
      </w:r>
      <w:r>
        <w:rPr>
          <w:rFonts w:eastAsia="仿宋_GB2312" w:cs="Times New Roman"/>
          <w:spacing w:val="-6"/>
          <w:sz w:val="32"/>
          <w:szCs w:val="32"/>
        </w:rPr>
        <w:t>西起大广安干渠，自西而东，延伸至子牙河大堤，全长19.4公里，渠底高程-0.5米，底宽7米，设计排水能力16.2立方米/秒，现状水质为劣V类。</w:t>
      </w:r>
    </w:p>
    <w:p>
      <w:pPr>
        <w:shd w:val="clear" w:color="auto" w:fill="FFFFFF"/>
        <w:autoSpaceDN w:val="0"/>
        <w:snapToGrid w:val="0"/>
        <w:ind w:firstLine="199" w:firstLineChars="83"/>
        <w:jc w:val="center"/>
        <w:rPr>
          <w:rFonts w:eastAsia="仿宋_GB2312" w:cs="Times New Roman"/>
          <w:bCs/>
          <w:sz w:val="32"/>
          <w:szCs w:val="32"/>
        </w:rPr>
      </w:pPr>
      <w:r>
        <w:rPr>
          <w:rFonts w:cs="Times New Roman"/>
        </w:rPr>
        <w:drawing>
          <wp:inline distT="0" distB="0" distL="114300" distR="114300">
            <wp:extent cx="3497580" cy="2794635"/>
            <wp:effectExtent l="0" t="0" r="7620" b="5715"/>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34"/>
                    <a:stretch>
                      <a:fillRect/>
                    </a:stretch>
                  </pic:blipFill>
                  <pic:spPr>
                    <a:xfrm>
                      <a:off x="0" y="0"/>
                      <a:ext cx="3497580" cy="2794635"/>
                    </a:xfrm>
                    <a:prstGeom prst="rect">
                      <a:avLst/>
                    </a:prstGeom>
                    <a:noFill/>
                    <a:ln w="9525">
                      <a:noFill/>
                    </a:ln>
                  </pic:spPr>
                </pic:pic>
              </a:graphicData>
            </a:graphic>
          </wp:inline>
        </w:drawing>
      </w:r>
    </w:p>
    <w:p>
      <w:pPr>
        <w:shd w:val="clear" w:color="auto" w:fill="FFFFFF"/>
        <w:autoSpaceDN w:val="0"/>
        <w:snapToGrid w:val="0"/>
        <w:spacing w:before="48" w:beforeLines="20" w:line="240" w:lineRule="auto"/>
        <w:ind w:firstLine="0" w:firstLineChars="0"/>
        <w:jc w:val="center"/>
        <w:rPr>
          <w:rFonts w:eastAsia="仿宋_GB2312" w:cs="Times New Roman"/>
          <w:b/>
          <w:bCs/>
          <w:szCs w:val="28"/>
        </w:rPr>
      </w:pPr>
      <w:r>
        <w:rPr>
          <w:rFonts w:eastAsia="仿宋_GB2312" w:cs="Times New Roman"/>
          <w:b/>
          <w:bCs/>
          <w:szCs w:val="28"/>
        </w:rPr>
        <w:t>图2</w:t>
      </w:r>
      <w:r>
        <w:rPr>
          <w:rFonts w:hint="eastAsia" w:eastAsia="仿宋_GB2312" w:cs="Times New Roman"/>
          <w:b/>
          <w:bCs/>
          <w:szCs w:val="28"/>
        </w:rPr>
        <w:t>-</w:t>
      </w:r>
      <w:r>
        <w:rPr>
          <w:rFonts w:eastAsia="仿宋_GB2312" w:cs="Times New Roman"/>
          <w:b/>
          <w:bCs/>
          <w:szCs w:val="28"/>
        </w:rPr>
        <w:t>1</w:t>
      </w:r>
      <w:r>
        <w:rPr>
          <w:rFonts w:hint="eastAsia" w:eastAsia="仿宋_GB2312" w:cs="Times New Roman"/>
          <w:b/>
          <w:bCs/>
          <w:szCs w:val="28"/>
        </w:rPr>
        <w:t>　</w:t>
      </w:r>
      <w:r>
        <w:rPr>
          <w:rFonts w:eastAsia="仿宋_GB2312" w:cs="Times New Roman"/>
          <w:b/>
          <w:bCs/>
          <w:szCs w:val="28"/>
        </w:rPr>
        <w:t>子牙河水系流域图</w:t>
      </w:r>
    </w:p>
    <w:p>
      <w:pPr>
        <w:pStyle w:val="4"/>
        <w:adjustRightInd w:val="0"/>
        <w:snapToGrid w:val="0"/>
        <w:spacing w:line="600" w:lineRule="exact"/>
        <w:ind w:firstLine="643"/>
      </w:pPr>
      <w:bookmarkStart w:id="73" w:name="_Toc23790674"/>
      <w:r>
        <w:t>2.1.2地形地貌</w:t>
      </w:r>
      <w:bookmarkEnd w:id="73"/>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流域地表土层由灰黄色、棕黄色冲积和洪积砂土构成，99.2%的面积属于潮土，0.77%为草甸盐土。</w:t>
      </w:r>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流域为历史上黄河、子牙河频繁决口，九次改道，反复冲积与湖积海退双重因素形成的冲积平原，地面平坦，地貌为平地夹有河床、洼地，地势总趋势是由西南向东北缓降，海拔高度为3</w:t>
      </w:r>
      <w:r>
        <w:rPr>
          <w:rFonts w:hint="eastAsia" w:eastAsia="仿宋_GB2312" w:cs="Times New Roman"/>
          <w:sz w:val="32"/>
          <w:szCs w:val="32"/>
        </w:rPr>
        <w:t>~</w:t>
      </w:r>
      <w:r>
        <w:rPr>
          <w:rFonts w:eastAsia="仿宋_GB2312" w:cs="Times New Roman"/>
          <w:bCs/>
          <w:sz w:val="32"/>
          <w:szCs w:val="32"/>
        </w:rPr>
        <w:t>10米。流域内大城县境东北端杨家口村向西经郝庄、大童子村，至大阜村为一条3.1</w:t>
      </w:r>
      <w:r>
        <w:rPr>
          <w:rFonts w:hint="eastAsia" w:eastAsia="仿宋_GB2312" w:cs="Times New Roman"/>
          <w:sz w:val="32"/>
          <w:szCs w:val="32"/>
        </w:rPr>
        <w:t>~</w:t>
      </w:r>
      <w:r>
        <w:rPr>
          <w:rFonts w:eastAsia="仿宋_GB2312" w:cs="Times New Roman"/>
          <w:bCs/>
          <w:sz w:val="32"/>
          <w:szCs w:val="32"/>
        </w:rPr>
        <w:t>10米的海拔等高线。等高线以北，地面高度均在海拔5米以下，最低点仅有3米，属文安洼东南边沿；等高线以南，大部地域海拔高度在5米以上，只有里坦、臧屯有一由西向东北走向的带状洼地。南部为百家洼，北部为麻洼，两洼相连，长21公里，平均宽3公里，面积63平方公里，洼地高度在海拔4</w:t>
      </w:r>
      <w:r>
        <w:rPr>
          <w:rFonts w:hint="eastAsia" w:eastAsia="仿宋_GB2312" w:cs="Times New Roman"/>
          <w:sz w:val="32"/>
          <w:szCs w:val="32"/>
        </w:rPr>
        <w:t>~</w:t>
      </w:r>
      <w:r>
        <w:rPr>
          <w:rFonts w:eastAsia="仿宋_GB2312" w:cs="Times New Roman"/>
          <w:bCs/>
          <w:sz w:val="32"/>
          <w:szCs w:val="32"/>
        </w:rPr>
        <w:t>5米间。此外，境内还有郝庄洼、关家务洼、祖寺洼、邓家务洼、完城洼、零巨洼等，星罗棋布遍布全县。</w:t>
      </w:r>
    </w:p>
    <w:p>
      <w:pPr>
        <w:pStyle w:val="4"/>
        <w:adjustRightInd w:val="0"/>
        <w:snapToGrid w:val="0"/>
        <w:spacing w:line="600" w:lineRule="exact"/>
        <w:ind w:firstLine="643"/>
      </w:pPr>
      <w:bookmarkStart w:id="74" w:name="_Toc23790675"/>
      <w:r>
        <w:t>2.1.3气象气候</w:t>
      </w:r>
      <w:bookmarkEnd w:id="74"/>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流域地处中纬度地带，属暖温带半湿润半干旱大陆性季风气候，四季分明。春季（3～5月）干燥、多风、光照足；夏季（6～8月）炎热、多雨、阴天多；秋季（9～11月）昼暖、夜寒、温差大；冬季（12月～次年2月）寡照、寒冷、雪稀少。区域年平均气温为11.8</w:t>
      </w:r>
      <w:r>
        <w:rPr>
          <w:rFonts w:cs="Times New Roman"/>
          <w:sz w:val="32"/>
          <w:szCs w:val="32"/>
        </w:rPr>
        <w:t>℃</w:t>
      </w:r>
      <w:r>
        <w:rPr>
          <w:rFonts w:eastAsia="仿宋_GB2312" w:cs="Times New Roman"/>
          <w:sz w:val="32"/>
          <w:szCs w:val="32"/>
        </w:rPr>
        <w:t>。最热的7月份平均气温26.3</w:t>
      </w:r>
      <w:r>
        <w:rPr>
          <w:rFonts w:cs="Times New Roman"/>
          <w:sz w:val="32"/>
          <w:szCs w:val="32"/>
        </w:rPr>
        <w:t>℃</w:t>
      </w:r>
      <w:r>
        <w:rPr>
          <w:rFonts w:eastAsia="仿宋_GB2312" w:cs="Times New Roman"/>
          <w:sz w:val="32"/>
          <w:szCs w:val="32"/>
        </w:rPr>
        <w:t>；最冷的1月份平均气温-5.2</w:t>
      </w:r>
      <w:r>
        <w:rPr>
          <w:rFonts w:cs="Times New Roman"/>
          <w:sz w:val="32"/>
          <w:szCs w:val="32"/>
        </w:rPr>
        <w:t>℃</w:t>
      </w:r>
      <w:r>
        <w:rPr>
          <w:rFonts w:eastAsia="仿宋_GB2312" w:cs="Times New Roman"/>
          <w:sz w:val="32"/>
          <w:szCs w:val="32"/>
        </w:rPr>
        <w:t>，全年无霜期为188天。</w:t>
      </w:r>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近年来，大城县降水明显减少，干旱加剧，尤其1997年后持续大旱，1989年至2006年大城县平均年降水量为482.1毫米，比1963年至1982年的平均降水量597.9毫米减少115.8毫米。降水量年际变化较大，1997年和2002年降水量不足300毫米，其中2002年降水量277.7毫米，为18年最低。此外，各月降水量很不均衡，夏季平均降水量453.9毫米，占全年降水量的75.92%，其中7月平均降水量为213.7毫米，占全年降水量的35.74%；冬季平均降水量11.6毫米，占全年降水量的1.94%。</w:t>
      </w:r>
    </w:p>
    <w:p>
      <w:pPr>
        <w:pStyle w:val="4"/>
        <w:spacing w:line="600" w:lineRule="exact"/>
        <w:ind w:firstLine="643"/>
      </w:pPr>
      <w:bookmarkStart w:id="75" w:name="_Toc460430322"/>
      <w:bookmarkStart w:id="76" w:name="_Toc23790676"/>
      <w:bookmarkStart w:id="77" w:name="_Toc460430321"/>
      <w:r>
        <w:t>2.1.4水资源</w:t>
      </w:r>
      <w:bookmarkEnd w:id="75"/>
      <w:bookmarkEnd w:id="76"/>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子牙河流域是海河流域水资源与水环境问题最为严重的水系之一。流域多年平均自产水资源量35.64亿立方米，其中山区水资源量为21.42亿立方米，平原区水资源量为14.22亿立方米，而流域每年的实际用水量却高达60亿立方米，加之近年来子牙河下游地区社会经济发展较快，用水量不断增大，而流域降水量明显偏少，水资源供需矛盾更加尖锐。</w:t>
      </w:r>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子牙河仅有上游滹沱河山区河段水质尚好、水量较大，下游平原区河段自上世纪70年代以来已基本没有天然径流，丧失了对污染物的自净和消纳能力。</w:t>
      </w:r>
      <w:bookmarkStart w:id="78" w:name="_Toc454455853"/>
      <w:bookmarkStart w:id="79" w:name="_Toc460430323"/>
      <w:bookmarkStart w:id="80" w:name="_Toc458373074"/>
    </w:p>
    <w:p>
      <w:pPr>
        <w:shd w:val="clear" w:color="auto" w:fill="FFFFFF"/>
        <w:autoSpaceDN w:val="0"/>
        <w:adjustRightInd w:val="0"/>
        <w:snapToGrid w:val="0"/>
        <w:spacing w:line="600" w:lineRule="exact"/>
        <w:ind w:firstLine="643"/>
        <w:rPr>
          <w:rFonts w:eastAsia="仿宋_GB2312" w:cs="Times New Roman"/>
          <w:b/>
          <w:sz w:val="32"/>
          <w:szCs w:val="32"/>
        </w:rPr>
      </w:pPr>
      <w:r>
        <w:rPr>
          <w:rFonts w:eastAsia="仿宋_GB2312" w:cs="Times New Roman"/>
          <w:b/>
          <w:sz w:val="32"/>
          <w:szCs w:val="32"/>
        </w:rPr>
        <w:t>（1）</w:t>
      </w:r>
      <w:r>
        <w:rPr>
          <w:rFonts w:eastAsia="仿宋_GB2312" w:cs="Times New Roman"/>
          <w:b/>
          <w:bCs/>
          <w:sz w:val="32"/>
          <w:szCs w:val="32"/>
        </w:rPr>
        <w:t>地表水</w:t>
      </w:r>
      <w:bookmarkEnd w:id="78"/>
      <w:bookmarkEnd w:id="79"/>
      <w:bookmarkEnd w:id="80"/>
      <w:r>
        <w:rPr>
          <w:rFonts w:eastAsia="仿宋_GB2312" w:cs="Times New Roman"/>
          <w:b/>
          <w:bCs/>
          <w:sz w:val="32"/>
          <w:szCs w:val="32"/>
        </w:rPr>
        <w:t>资源</w:t>
      </w:r>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目前，廊坊市子牙河大城段除雨季部分时段可积存部分雨洪外，全年绝大多数时间完全处于干涸状态。</w:t>
      </w:r>
    </w:p>
    <w:p>
      <w:pPr>
        <w:shd w:val="clear" w:color="auto" w:fill="FFFFFF"/>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2011和2014年，廊坊市通过协调海委向子牙河调水以补充子牙河水量；2018年通过南水北调工程向子牙河进行生态补水5000万立方米。但由于调水的季节性较强，加之沿途其他地方通过闸、坝层层截留、水量下渗和农田灌溉用水，子牙河河道中有效径流保持时间短，大部分时间依然断流。</w:t>
      </w:r>
    </w:p>
    <w:p>
      <w:pPr>
        <w:shd w:val="clear" w:color="auto" w:fill="FFFFFF"/>
        <w:autoSpaceDN w:val="0"/>
        <w:snapToGrid w:val="0"/>
        <w:spacing w:before="120" w:beforeLines="50" w:after="120" w:afterLines="50" w:line="240" w:lineRule="auto"/>
        <w:ind w:firstLine="0" w:firstLineChars="0"/>
        <w:jc w:val="center"/>
        <w:rPr>
          <w:rFonts w:eastAsia="黑体" w:cs="Times New Roman"/>
          <w:sz w:val="32"/>
          <w:szCs w:val="32"/>
        </w:rPr>
      </w:pPr>
      <w:r>
        <w:rPr>
          <w:rFonts w:eastAsia="黑体" w:cs="Times New Roman"/>
          <w:sz w:val="32"/>
          <w:szCs w:val="32"/>
        </w:rPr>
        <w:t>表2</w:t>
      </w:r>
      <w:r>
        <w:rPr>
          <w:rFonts w:hint="eastAsia" w:eastAsia="仿宋_GB2312" w:cs="Times New Roman"/>
          <w:sz w:val="32"/>
          <w:szCs w:val="32"/>
        </w:rPr>
        <w:t>-</w:t>
      </w:r>
      <w:r>
        <w:rPr>
          <w:rFonts w:eastAsia="黑体" w:cs="Times New Roman"/>
          <w:sz w:val="32"/>
          <w:szCs w:val="32"/>
        </w:rPr>
        <w:t>1  2006</w:t>
      </w:r>
      <w:r>
        <w:rPr>
          <w:rFonts w:hint="eastAsia" w:eastAsia="仿宋_GB2312" w:cs="Times New Roman"/>
          <w:sz w:val="32"/>
          <w:szCs w:val="32"/>
        </w:rPr>
        <w:t>—</w:t>
      </w:r>
      <w:r>
        <w:rPr>
          <w:rFonts w:eastAsia="黑体" w:cs="Times New Roman"/>
          <w:sz w:val="32"/>
          <w:szCs w:val="32"/>
        </w:rPr>
        <w:t>2015年子牙河年径流量（亿立方米）</w:t>
      </w:r>
    </w:p>
    <w:tbl>
      <w:tblPr>
        <w:tblStyle w:val="10"/>
        <w:tblW w:w="8752"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35"/>
        <w:gridCol w:w="731"/>
        <w:gridCol w:w="729"/>
        <w:gridCol w:w="729"/>
        <w:gridCol w:w="729"/>
        <w:gridCol w:w="729"/>
        <w:gridCol w:w="730"/>
        <w:gridCol w:w="728"/>
        <w:gridCol w:w="730"/>
        <w:gridCol w:w="728"/>
        <w:gridCol w:w="730"/>
        <w:gridCol w:w="724"/>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1114" w:hRule="atLeast"/>
          <w:jc w:val="center"/>
        </w:trPr>
        <w:tc>
          <w:tcPr>
            <w:tcW w:w="735"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河名</w:t>
            </w:r>
          </w:p>
        </w:tc>
        <w:tc>
          <w:tcPr>
            <w:tcW w:w="731"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站名</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2006年</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2007年</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2008年</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2009年</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2010年</w:t>
            </w:r>
          </w:p>
        </w:tc>
        <w:tc>
          <w:tcPr>
            <w:tcW w:w="728"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2011年</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2012年</w:t>
            </w:r>
          </w:p>
        </w:tc>
        <w:tc>
          <w:tcPr>
            <w:tcW w:w="728"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2013年</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2014年</w:t>
            </w:r>
          </w:p>
        </w:tc>
        <w:tc>
          <w:tcPr>
            <w:tcW w:w="724"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2015年</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1144" w:hRule="atLeast"/>
          <w:jc w:val="center"/>
        </w:trPr>
        <w:tc>
          <w:tcPr>
            <w:tcW w:w="735"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731"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九高庄</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29"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28"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0.32</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0.35</w:t>
            </w:r>
          </w:p>
        </w:tc>
        <w:tc>
          <w:tcPr>
            <w:tcW w:w="728"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c>
          <w:tcPr>
            <w:tcW w:w="730"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0.23</w:t>
            </w:r>
          </w:p>
        </w:tc>
        <w:tc>
          <w:tcPr>
            <w:tcW w:w="724" w:type="dxa"/>
            <w:tcBorders>
              <w:top w:val="single" w:color="auto" w:sz="4" w:space="0"/>
              <w:left w:val="single" w:color="auto" w:sz="4" w:space="0"/>
              <w:bottom w:val="single" w:color="auto" w:sz="4" w:space="0"/>
              <w:right w:val="single" w:color="auto" w:sz="4" w:space="0"/>
            </w:tcBorders>
            <w:tcMar>
              <w:top w:w="0" w:type="dxa"/>
              <w:left w:w="34" w:type="dxa"/>
              <w:bottom w:w="0" w:type="dxa"/>
              <w:right w:w="34" w:type="dxa"/>
            </w:tcMar>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0.39</w:t>
            </w:r>
          </w:p>
        </w:tc>
      </w:tr>
    </w:tbl>
    <w:p>
      <w:pPr>
        <w:shd w:val="clear" w:color="auto" w:fill="FFFFFF"/>
        <w:autoSpaceDN w:val="0"/>
        <w:adjustRightInd w:val="0"/>
        <w:snapToGrid w:val="0"/>
        <w:spacing w:line="600" w:lineRule="exact"/>
        <w:ind w:firstLine="643"/>
        <w:rPr>
          <w:rFonts w:eastAsia="仿宋_GB2312" w:cs="Times New Roman"/>
          <w:b/>
          <w:sz w:val="32"/>
          <w:szCs w:val="32"/>
        </w:rPr>
      </w:pPr>
      <w:bookmarkStart w:id="81" w:name="_Toc460430324"/>
      <w:bookmarkStart w:id="82" w:name="_Toc454455854"/>
      <w:bookmarkStart w:id="83" w:name="_Toc458373075"/>
      <w:r>
        <w:rPr>
          <w:rFonts w:eastAsia="仿宋_GB2312" w:cs="Times New Roman"/>
          <w:b/>
          <w:sz w:val="32"/>
          <w:szCs w:val="32"/>
        </w:rPr>
        <w:t>（2）地下水</w:t>
      </w:r>
      <w:bookmarkEnd w:id="81"/>
      <w:bookmarkEnd w:id="82"/>
      <w:bookmarkEnd w:id="83"/>
      <w:r>
        <w:rPr>
          <w:rFonts w:eastAsia="仿宋_GB2312" w:cs="Times New Roman"/>
          <w:b/>
          <w:sz w:val="32"/>
          <w:szCs w:val="32"/>
        </w:rPr>
        <w:t>资源</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地下水是流域内生产和生活用水的主要来源。流域内地下水分为浅层淡水区、浅/中层咸水区、深层淡水区、超深层淡水区等四个主要部分。</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浅层淡水区：为潜水含水层，主要分布在中西部郑家村、位敢、大广安、大尚屯、王屯等区域，淡水面积481.3平方公里，其它区域咸、淡水混杂。埋深一般为5</w:t>
      </w:r>
      <w:r>
        <w:rPr>
          <w:rFonts w:hint="eastAsia" w:eastAsia="仿宋_GB2312" w:cs="Times New Roman"/>
          <w:sz w:val="32"/>
          <w:szCs w:val="32"/>
        </w:rPr>
        <w:t>~</w:t>
      </w:r>
      <w:r>
        <w:rPr>
          <w:rFonts w:eastAsia="仿宋_GB2312" w:cs="Times New Roman"/>
          <w:sz w:val="32"/>
          <w:szCs w:val="32"/>
        </w:rPr>
        <w:t>30米，含水砂层厚度4</w:t>
      </w:r>
      <w:r>
        <w:rPr>
          <w:rFonts w:hint="eastAsia" w:eastAsia="仿宋_GB2312" w:cs="Times New Roman"/>
          <w:sz w:val="32"/>
          <w:szCs w:val="32"/>
        </w:rPr>
        <w:t>~</w:t>
      </w:r>
      <w:r>
        <w:rPr>
          <w:rFonts w:eastAsia="仿宋_GB2312" w:cs="Times New Roman"/>
          <w:sz w:val="32"/>
          <w:szCs w:val="32"/>
        </w:rPr>
        <w:t>7米，适宜灌溉。多年平均水位埋深2.0</w:t>
      </w:r>
      <w:r>
        <w:rPr>
          <w:rFonts w:hint="eastAsia" w:eastAsia="仿宋_GB2312" w:cs="Times New Roman"/>
          <w:sz w:val="32"/>
          <w:szCs w:val="32"/>
        </w:rPr>
        <w:t>~</w:t>
      </w:r>
      <w:r>
        <w:rPr>
          <w:rFonts w:eastAsia="仿宋_GB2312" w:cs="Times New Roman"/>
          <w:sz w:val="32"/>
          <w:szCs w:val="32"/>
        </w:rPr>
        <w:t>3.5米。</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浅、中层咸水区：浅层咸水面积为422.4平方公里，地表以下2米和浅层淡水以下40</w:t>
      </w:r>
      <w:r>
        <w:rPr>
          <w:rFonts w:hint="eastAsia" w:eastAsia="仿宋_GB2312" w:cs="Times New Roman"/>
          <w:sz w:val="32"/>
          <w:szCs w:val="32"/>
        </w:rPr>
        <w:t>~</w:t>
      </w:r>
      <w:r>
        <w:rPr>
          <w:rFonts w:eastAsia="仿宋_GB2312" w:cs="Times New Roman"/>
          <w:sz w:val="32"/>
          <w:szCs w:val="32"/>
        </w:rPr>
        <w:t>120米的土层内均为咸水，很少开采利用。浅层咸水分布区主要包括港河区，小李庄</w:t>
      </w:r>
      <w:r>
        <w:rPr>
          <w:rFonts w:hint="eastAsia" w:eastAsia="仿宋_GB2312" w:cs="Times New Roman"/>
          <w:sz w:val="32"/>
          <w:szCs w:val="32"/>
        </w:rPr>
        <w:t>-</w:t>
      </w:r>
      <w:r>
        <w:rPr>
          <w:rFonts w:eastAsia="仿宋_GB2312" w:cs="Times New Roman"/>
          <w:sz w:val="32"/>
          <w:szCs w:val="32"/>
        </w:rPr>
        <w:t>小流漂</w:t>
      </w:r>
      <w:r>
        <w:rPr>
          <w:rFonts w:hint="eastAsia" w:eastAsia="仿宋_GB2312" w:cs="Times New Roman"/>
          <w:sz w:val="32"/>
          <w:szCs w:val="32"/>
        </w:rPr>
        <w:t>-</w:t>
      </w:r>
      <w:r>
        <w:rPr>
          <w:rFonts w:eastAsia="仿宋_GB2312" w:cs="Times New Roman"/>
          <w:sz w:val="32"/>
          <w:szCs w:val="32"/>
        </w:rPr>
        <w:t>樊庄</w:t>
      </w:r>
      <w:r>
        <w:rPr>
          <w:rFonts w:hint="eastAsia" w:eastAsia="仿宋_GB2312" w:cs="Times New Roman"/>
          <w:sz w:val="32"/>
          <w:szCs w:val="32"/>
        </w:rPr>
        <w:t>-</w:t>
      </w:r>
      <w:r>
        <w:rPr>
          <w:rFonts w:eastAsia="仿宋_GB2312" w:cs="Times New Roman"/>
          <w:sz w:val="32"/>
          <w:szCs w:val="32"/>
        </w:rPr>
        <w:t>臧庄子</w:t>
      </w:r>
      <w:r>
        <w:rPr>
          <w:rFonts w:hint="eastAsia" w:eastAsia="仿宋_GB2312" w:cs="Times New Roman"/>
          <w:sz w:val="32"/>
          <w:szCs w:val="32"/>
        </w:rPr>
        <w:t>-</w:t>
      </w:r>
      <w:r>
        <w:rPr>
          <w:rFonts w:eastAsia="仿宋_GB2312" w:cs="Times New Roman"/>
          <w:sz w:val="32"/>
          <w:szCs w:val="32"/>
        </w:rPr>
        <w:t>石圪达</w:t>
      </w:r>
      <w:r>
        <w:rPr>
          <w:rFonts w:hint="eastAsia" w:eastAsia="仿宋_GB2312" w:cs="Times New Roman"/>
          <w:sz w:val="32"/>
          <w:szCs w:val="32"/>
        </w:rPr>
        <w:t>-</w:t>
      </w:r>
      <w:r>
        <w:rPr>
          <w:rFonts w:eastAsia="仿宋_GB2312" w:cs="Times New Roman"/>
          <w:sz w:val="32"/>
          <w:szCs w:val="32"/>
        </w:rPr>
        <w:t>里坦；留各庄区，李零巨</w:t>
      </w:r>
      <w:r>
        <w:rPr>
          <w:rFonts w:hint="eastAsia" w:eastAsia="仿宋_GB2312" w:cs="Times New Roman"/>
          <w:sz w:val="32"/>
          <w:szCs w:val="32"/>
        </w:rPr>
        <w:t>-</w:t>
      </w:r>
      <w:r>
        <w:rPr>
          <w:rFonts w:eastAsia="仿宋_GB2312" w:cs="Times New Roman"/>
          <w:sz w:val="32"/>
          <w:szCs w:val="32"/>
        </w:rPr>
        <w:t>阁里</w:t>
      </w:r>
      <w:r>
        <w:rPr>
          <w:rFonts w:hint="eastAsia" w:eastAsia="仿宋_GB2312" w:cs="Times New Roman"/>
          <w:sz w:val="32"/>
          <w:szCs w:val="32"/>
        </w:rPr>
        <w:t>-</w:t>
      </w:r>
      <w:r>
        <w:rPr>
          <w:rFonts w:eastAsia="仿宋_GB2312" w:cs="Times New Roman"/>
          <w:sz w:val="32"/>
          <w:szCs w:val="32"/>
        </w:rPr>
        <w:t>大汪</w:t>
      </w:r>
      <w:r>
        <w:rPr>
          <w:rFonts w:hint="eastAsia" w:eastAsia="仿宋_GB2312" w:cs="Times New Roman"/>
          <w:sz w:val="32"/>
          <w:szCs w:val="32"/>
        </w:rPr>
        <w:t>-</w:t>
      </w:r>
      <w:r>
        <w:rPr>
          <w:rFonts w:eastAsia="仿宋_GB2312" w:cs="Times New Roman"/>
          <w:sz w:val="32"/>
          <w:szCs w:val="32"/>
        </w:rPr>
        <w:t>留邻居；阜草区，桃子、黄德务</w:t>
      </w:r>
      <w:r>
        <w:rPr>
          <w:rFonts w:hint="eastAsia" w:eastAsia="仿宋_GB2312" w:cs="Times New Roman"/>
          <w:sz w:val="32"/>
          <w:szCs w:val="32"/>
        </w:rPr>
        <w:t>-</w:t>
      </w:r>
      <w:r>
        <w:rPr>
          <w:rFonts w:eastAsia="仿宋_GB2312" w:cs="Times New Roman"/>
          <w:sz w:val="32"/>
          <w:szCs w:val="32"/>
        </w:rPr>
        <w:t>阜草</w:t>
      </w:r>
      <w:r>
        <w:rPr>
          <w:rFonts w:hint="eastAsia" w:eastAsia="仿宋_GB2312" w:cs="Times New Roman"/>
          <w:sz w:val="32"/>
          <w:szCs w:val="32"/>
        </w:rPr>
        <w:t>-</w:t>
      </w:r>
      <w:r>
        <w:rPr>
          <w:rFonts w:eastAsia="仿宋_GB2312" w:cs="Times New Roman"/>
          <w:sz w:val="32"/>
          <w:szCs w:val="32"/>
        </w:rPr>
        <w:t>南阜、东、西杜；旺村、王文区，西子牙</w:t>
      </w:r>
      <w:r>
        <w:rPr>
          <w:rFonts w:hint="eastAsia" w:eastAsia="仿宋_GB2312" w:cs="Times New Roman"/>
          <w:sz w:val="32"/>
          <w:szCs w:val="32"/>
        </w:rPr>
        <w:t>-</w:t>
      </w:r>
      <w:r>
        <w:rPr>
          <w:rFonts w:eastAsia="仿宋_GB2312" w:cs="Times New Roman"/>
          <w:sz w:val="32"/>
          <w:szCs w:val="32"/>
        </w:rPr>
        <w:t>次花</w:t>
      </w:r>
      <w:r>
        <w:rPr>
          <w:rFonts w:hint="eastAsia" w:eastAsia="仿宋_GB2312" w:cs="Times New Roman"/>
          <w:sz w:val="32"/>
          <w:szCs w:val="32"/>
        </w:rPr>
        <w:t>-</w:t>
      </w:r>
      <w:r>
        <w:rPr>
          <w:rFonts w:eastAsia="仿宋_GB2312" w:cs="Times New Roman"/>
          <w:sz w:val="32"/>
          <w:szCs w:val="32"/>
        </w:rPr>
        <w:t>王文</w:t>
      </w:r>
      <w:r>
        <w:rPr>
          <w:rFonts w:hint="eastAsia" w:eastAsia="仿宋_GB2312" w:cs="Times New Roman"/>
          <w:sz w:val="32"/>
          <w:szCs w:val="32"/>
        </w:rPr>
        <w:t>-</w:t>
      </w:r>
      <w:r>
        <w:rPr>
          <w:rFonts w:eastAsia="仿宋_GB2312" w:cs="Times New Roman"/>
          <w:sz w:val="32"/>
          <w:szCs w:val="32"/>
        </w:rPr>
        <w:t>大童子、城关</w:t>
      </w:r>
      <w:r>
        <w:rPr>
          <w:rFonts w:hint="eastAsia" w:eastAsia="仿宋_GB2312" w:cs="Times New Roman"/>
          <w:sz w:val="32"/>
          <w:szCs w:val="32"/>
        </w:rPr>
        <w:t>-</w:t>
      </w:r>
      <w:r>
        <w:rPr>
          <w:rFonts w:eastAsia="仿宋_GB2312" w:cs="Times New Roman"/>
          <w:sz w:val="32"/>
          <w:szCs w:val="32"/>
        </w:rPr>
        <w:t>裴庄等区域。</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深层淡水区：为承压水含水层，全县在120</w:t>
      </w:r>
      <w:r>
        <w:rPr>
          <w:rFonts w:hint="eastAsia" w:eastAsia="仿宋_GB2312" w:cs="Times New Roman"/>
          <w:sz w:val="32"/>
          <w:szCs w:val="32"/>
        </w:rPr>
        <w:t>~</w:t>
      </w:r>
      <w:r>
        <w:rPr>
          <w:rFonts w:eastAsia="仿宋_GB2312" w:cs="Times New Roman"/>
          <w:sz w:val="32"/>
          <w:szCs w:val="32"/>
        </w:rPr>
        <w:t>280米厚的土层中普遍储有深层淡水，东北部沙层厚度一般在70</w:t>
      </w:r>
      <w:r>
        <w:rPr>
          <w:rFonts w:hint="eastAsia" w:eastAsia="仿宋_GB2312" w:cs="Times New Roman"/>
          <w:sz w:val="32"/>
          <w:szCs w:val="32"/>
        </w:rPr>
        <w:t>~</w:t>
      </w:r>
      <w:r>
        <w:rPr>
          <w:rFonts w:eastAsia="仿宋_GB2312" w:cs="Times New Roman"/>
          <w:sz w:val="32"/>
          <w:szCs w:val="32"/>
        </w:rPr>
        <w:t>100米，南部地区砂层厚度在30</w:t>
      </w:r>
      <w:r>
        <w:rPr>
          <w:rFonts w:hint="eastAsia" w:eastAsia="仿宋_GB2312" w:cs="Times New Roman"/>
          <w:sz w:val="32"/>
          <w:szCs w:val="32"/>
        </w:rPr>
        <w:t>~</w:t>
      </w:r>
      <w:r>
        <w:rPr>
          <w:rFonts w:eastAsia="仿宋_GB2312" w:cs="Times New Roman"/>
          <w:sz w:val="32"/>
          <w:szCs w:val="32"/>
        </w:rPr>
        <w:t>60米左右。含水组岩性为细砂、粉细砂。深层水位在30</w:t>
      </w:r>
      <w:r>
        <w:rPr>
          <w:rFonts w:hint="eastAsia" w:eastAsia="仿宋_GB2312" w:cs="Times New Roman"/>
          <w:sz w:val="32"/>
          <w:szCs w:val="32"/>
        </w:rPr>
        <w:t>~</w:t>
      </w:r>
      <w:r>
        <w:rPr>
          <w:rFonts w:eastAsia="仿宋_GB2312" w:cs="Times New Roman"/>
          <w:sz w:val="32"/>
          <w:szCs w:val="32"/>
        </w:rPr>
        <w:t>48米，单井出水量为30</w:t>
      </w:r>
      <w:r>
        <w:rPr>
          <w:rFonts w:hint="eastAsia" w:eastAsia="仿宋_GB2312" w:cs="Times New Roman"/>
          <w:sz w:val="32"/>
          <w:szCs w:val="32"/>
        </w:rPr>
        <w:t>~</w:t>
      </w:r>
      <w:r>
        <w:rPr>
          <w:rFonts w:eastAsia="仿宋_GB2312" w:cs="Times New Roman"/>
          <w:sz w:val="32"/>
          <w:szCs w:val="32"/>
        </w:rPr>
        <w:t>40吨/时，适宜于农田灌溉，但作为生活饮用水必须经过处理或采取改水降氟的措施。由于近年来农用机井超量开采，水位已下降30米左右，出现了“大城漏斗”，漏斗中心在平舒、王屯一带，漏斗面积为350</w:t>
      </w:r>
      <w:r>
        <w:rPr>
          <w:rFonts w:hint="eastAsia" w:eastAsia="仿宋_GB2312" w:cs="Times New Roman"/>
          <w:sz w:val="32"/>
          <w:szCs w:val="32"/>
        </w:rPr>
        <w:t>~</w:t>
      </w:r>
      <w:r>
        <w:rPr>
          <w:rFonts w:eastAsia="仿宋_GB2312" w:cs="Times New Roman"/>
          <w:sz w:val="32"/>
          <w:szCs w:val="32"/>
        </w:rPr>
        <w:t>400平方公里，并逐渐向东北发展。</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超深层淡水区：埋深在280</w:t>
      </w:r>
      <w:r>
        <w:rPr>
          <w:rFonts w:hint="eastAsia" w:eastAsia="仿宋_GB2312" w:cs="Times New Roman"/>
          <w:sz w:val="32"/>
          <w:szCs w:val="32"/>
        </w:rPr>
        <w:t>~</w:t>
      </w:r>
      <w:r>
        <w:rPr>
          <w:rFonts w:eastAsia="仿宋_GB2312" w:cs="Times New Roman"/>
          <w:sz w:val="32"/>
          <w:szCs w:val="32"/>
        </w:rPr>
        <w:t>500米，出水量大，每小时在100</w:t>
      </w:r>
      <w:r>
        <w:rPr>
          <w:rFonts w:hint="eastAsia" w:eastAsia="仿宋_GB2312" w:cs="Times New Roman"/>
          <w:sz w:val="32"/>
          <w:szCs w:val="32"/>
        </w:rPr>
        <w:t>~</w:t>
      </w:r>
      <w:r>
        <w:rPr>
          <w:rFonts w:eastAsia="仿宋_GB2312" w:cs="Times New Roman"/>
          <w:sz w:val="32"/>
          <w:szCs w:val="32"/>
        </w:rPr>
        <w:t>120立方米，深井水位在25米。</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地下水含水层流向的总趋势自西北向东南，其方向与地面自然坡降相近，平均水力坡度为0.205‰。近年来，由于地下水的大量开采，地下水位不断降低。目前，大城县浅层地下水基本无水可采，估算深层地下水资源总量为6000</w:t>
      </w:r>
      <w:r>
        <w:rPr>
          <w:rFonts w:hint="eastAsia" w:eastAsia="仿宋_GB2312" w:cs="Times New Roman"/>
          <w:sz w:val="32"/>
          <w:szCs w:val="32"/>
        </w:rPr>
        <w:t>~</w:t>
      </w:r>
      <w:r>
        <w:rPr>
          <w:rFonts w:eastAsia="仿宋_GB2312" w:cs="Times New Roman"/>
          <w:sz w:val="32"/>
          <w:szCs w:val="32"/>
        </w:rPr>
        <w:t>10000万立方米。</w:t>
      </w:r>
    </w:p>
    <w:p>
      <w:pPr>
        <w:shd w:val="clear" w:color="auto" w:fill="FFFFFF"/>
        <w:autoSpaceDN w:val="0"/>
        <w:adjustRightInd w:val="0"/>
        <w:snapToGrid w:val="0"/>
        <w:spacing w:line="600" w:lineRule="exact"/>
        <w:ind w:firstLine="643"/>
        <w:rPr>
          <w:rFonts w:eastAsia="仿宋_GB2312" w:cs="Times New Roman"/>
          <w:b/>
          <w:sz w:val="32"/>
          <w:szCs w:val="32"/>
        </w:rPr>
      </w:pPr>
      <w:bookmarkStart w:id="84" w:name="_Toc458373076"/>
      <w:bookmarkStart w:id="85" w:name="_Toc454455855"/>
      <w:bookmarkStart w:id="86" w:name="_Toc460430325"/>
      <w:r>
        <w:rPr>
          <w:rFonts w:eastAsia="仿宋_GB2312" w:cs="Times New Roman"/>
          <w:b/>
          <w:sz w:val="32"/>
          <w:szCs w:val="32"/>
        </w:rPr>
        <w:t>（3）水资源开发利用</w:t>
      </w:r>
      <w:bookmarkEnd w:id="84"/>
      <w:bookmarkEnd w:id="85"/>
      <w:bookmarkEnd w:id="86"/>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廊坊市子牙河河段在水量和水质上均无法满足城镇生活和工业供水的基本要求，子牙河地表水供水总量基本为零。目前，地下水和南水北调水是流域内的主要供水水源。</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2017年以前，大城县主要依赖地下水供水。根据《大城县水资源公报》，2013年大城县总供水量5301万吨/年，其中地下水供水量4801万吨，占总供水量的91%，地表水（依赖跨流域调水供水）200万吨/年，仅占4%，废水处理回用水量300万吨/年，占5%。大城县城区原有10眼水源井，隶属于大城县自来水公司，分别位于大城县新、旧城区的居民区或行政机关院内。水源井取水层为地下承压水，取水深度300</w:t>
      </w:r>
      <w:r>
        <w:rPr>
          <w:rFonts w:hint="eastAsia" w:eastAsia="仿宋_GB2312" w:cs="Times New Roman"/>
          <w:sz w:val="32"/>
          <w:szCs w:val="32"/>
        </w:rPr>
        <w:t>~</w:t>
      </w:r>
      <w:r>
        <w:rPr>
          <w:rFonts w:eastAsia="仿宋_GB2312" w:cs="Times New Roman"/>
          <w:sz w:val="32"/>
          <w:szCs w:val="32"/>
        </w:rPr>
        <w:t>600米，总供水能力19200立方米/天；工业企业主要采用自备井供水。由于连年超采，已经形成常年性水位下降漏斗（大城漏斗），漏斗中心在平舒、王屯一带，漏斗面积为350</w:t>
      </w:r>
      <w:r>
        <w:rPr>
          <w:rFonts w:hint="eastAsia" w:eastAsia="仿宋_GB2312" w:cs="Times New Roman"/>
          <w:sz w:val="32"/>
          <w:szCs w:val="32"/>
        </w:rPr>
        <w:t>~</w:t>
      </w:r>
      <w:r>
        <w:rPr>
          <w:rFonts w:eastAsia="仿宋_GB2312" w:cs="Times New Roman"/>
          <w:sz w:val="32"/>
          <w:szCs w:val="32"/>
        </w:rPr>
        <w:t>400平方公里，漏斗趋势逐渐向东北发展，枯水期与天津、沧州大漏斗连成一片。</w:t>
      </w:r>
    </w:p>
    <w:p>
      <w:pPr>
        <w:autoSpaceDN w:val="0"/>
        <w:adjustRightInd w:val="0"/>
        <w:snapToGrid w:val="0"/>
        <w:spacing w:line="600" w:lineRule="exact"/>
        <w:ind w:firstLine="640"/>
        <w:rPr>
          <w:rFonts w:eastAsia="仿宋_GB2312" w:cs="Times New Roman"/>
          <w:spacing w:val="-6"/>
          <w:sz w:val="32"/>
          <w:szCs w:val="32"/>
        </w:rPr>
      </w:pPr>
      <w:r>
        <w:rPr>
          <w:rFonts w:eastAsia="仿宋_GB2312" w:cs="Times New Roman"/>
          <w:sz w:val="32"/>
          <w:szCs w:val="32"/>
        </w:rPr>
        <w:t>南水北调工程为大城县预留水资源分配指标837万</w:t>
      </w:r>
      <w:r>
        <w:rPr>
          <w:rFonts w:hint="eastAsia" w:eastAsia="仿宋_GB2312" w:cs="Times New Roman"/>
          <w:sz w:val="32"/>
          <w:szCs w:val="32"/>
        </w:rPr>
        <w:t>立方米</w:t>
      </w:r>
      <w:r>
        <w:rPr>
          <w:rFonts w:eastAsia="仿宋_GB2312" w:cs="Times New Roman"/>
          <w:sz w:val="32"/>
          <w:szCs w:val="32"/>
        </w:rPr>
        <w:t>。南水北调中线大城县供水工程建成通水后，已经成为流域内重要的供水水源。南水北调供水水厂大城县城区季村地表水厂，位于县城正西4公里处的季村排渠上，设计日供水能力3万吨（远期5万吨）。根据《大城县南水北调切换工作方案》，大城县城区水源切换分为永定大街以北，正大街以南、永定大街以南，白马河以北和白马河以南的老城区三个区域，采用逐步切换，直至居民全部用上引江水，2017年6月份水源切换范围为第一片区，待水源切换稳定后，依次切换第二片区、第三片区。</w:t>
      </w:r>
      <w:r>
        <w:rPr>
          <w:rFonts w:eastAsia="仿宋_GB2312" w:cs="Times New Roman"/>
          <w:spacing w:val="-6"/>
          <w:sz w:val="32"/>
          <w:szCs w:val="32"/>
        </w:rPr>
        <w:t>南水北调水源</w:t>
      </w:r>
      <w:r>
        <w:rPr>
          <w:rFonts w:eastAsia="仿宋_GB2312" w:cs="Times New Roman"/>
          <w:sz w:val="32"/>
          <w:szCs w:val="32"/>
        </w:rPr>
        <w:t>切换工作完成以后，大城县原有水源井已经全部封井。</w:t>
      </w:r>
    </w:p>
    <w:p>
      <w:pPr>
        <w:pStyle w:val="3"/>
        <w:spacing w:line="600" w:lineRule="exact"/>
        <w:ind w:firstLine="643"/>
        <w:rPr>
          <w:rFonts w:eastAsia="楷体_GB2312"/>
        </w:rPr>
      </w:pPr>
      <w:bookmarkStart w:id="87" w:name="_Toc23790677"/>
      <w:r>
        <w:rPr>
          <w:rFonts w:eastAsia="楷体_GB2312"/>
        </w:rPr>
        <w:t>2.2社会经济</w:t>
      </w:r>
      <w:bookmarkEnd w:id="77"/>
      <w:bookmarkEnd w:id="87"/>
    </w:p>
    <w:p>
      <w:pPr>
        <w:pStyle w:val="4"/>
        <w:spacing w:line="600" w:lineRule="exact"/>
        <w:ind w:firstLine="643"/>
        <w:rPr>
          <w:bCs w:val="0"/>
          <w:spacing w:val="-6"/>
        </w:rPr>
      </w:pPr>
      <w:bookmarkStart w:id="88" w:name="_Toc23790678"/>
      <w:r>
        <w:t>2.2.1行政区划和人口</w:t>
      </w:r>
      <w:bookmarkEnd w:id="88"/>
    </w:p>
    <w:p>
      <w:pPr>
        <w:shd w:val="clear" w:color="auto" w:fill="FFFFFF"/>
        <w:autoSpaceDN w:val="0"/>
        <w:adjustRightInd w:val="0"/>
        <w:snapToGrid w:val="0"/>
        <w:spacing w:line="600" w:lineRule="exact"/>
        <w:ind w:firstLine="596"/>
        <w:rPr>
          <w:rFonts w:eastAsia="仿宋_GB2312" w:cs="Times New Roman"/>
          <w:bCs/>
          <w:spacing w:val="-11"/>
          <w:sz w:val="32"/>
          <w:szCs w:val="32"/>
        </w:rPr>
      </w:pPr>
      <w:r>
        <w:rPr>
          <w:rFonts w:eastAsia="仿宋_GB2312" w:cs="Times New Roman"/>
          <w:bCs/>
          <w:spacing w:val="-11"/>
          <w:sz w:val="32"/>
          <w:szCs w:val="32"/>
        </w:rPr>
        <w:t>廊坊市子牙河流域地处河北省东中部，廊坊市最南端，子牙河流域下游，冀中平原腹地，涉及大城县全境的平舒镇、旺村镇、南赵扶镇、大尚屯镇、留各庄镇、权村镇、里坦镇、广安镇、臧屯乡、北魏乡等10个乡镇，394个行政村，总面积904平方公里，人口48万。</w:t>
      </w:r>
    </w:p>
    <w:p>
      <w:pPr>
        <w:shd w:val="clear" w:color="auto" w:fill="FFFFFF"/>
        <w:autoSpaceDN w:val="0"/>
        <w:adjustRightInd w:val="0"/>
        <w:snapToGrid w:val="0"/>
        <w:spacing w:line="600" w:lineRule="exact"/>
        <w:ind w:firstLine="0" w:firstLineChars="0"/>
        <w:rPr>
          <w:rFonts w:hint="eastAsia" w:eastAsia="仿宋_GB2312" w:cs="Times New Roman"/>
          <w:bCs/>
          <w:spacing w:val="-6"/>
          <w:sz w:val="32"/>
          <w:szCs w:val="32"/>
        </w:rPr>
      </w:pPr>
    </w:p>
    <w:p>
      <w:pPr>
        <w:shd w:val="clear" w:color="auto" w:fill="FFFFFF"/>
        <w:autoSpaceDN w:val="0"/>
        <w:snapToGrid w:val="0"/>
        <w:spacing w:before="120" w:beforeLines="50" w:after="120" w:afterLines="50" w:line="240" w:lineRule="auto"/>
        <w:ind w:firstLine="0" w:firstLineChars="0"/>
        <w:jc w:val="center"/>
        <w:rPr>
          <w:rFonts w:eastAsia="黑体" w:cs="Times New Roman"/>
          <w:sz w:val="32"/>
          <w:szCs w:val="32"/>
        </w:rPr>
      </w:pPr>
      <w:r>
        <w:rPr>
          <w:rFonts w:eastAsia="黑体" w:cs="Times New Roman"/>
          <w:sz w:val="32"/>
          <w:szCs w:val="32"/>
        </w:rPr>
        <w:t>表2</w:t>
      </w:r>
      <w:r>
        <w:rPr>
          <w:rFonts w:hint="eastAsia" w:eastAsia="仿宋_GB2312" w:cs="Times New Roman"/>
          <w:sz w:val="32"/>
          <w:szCs w:val="32"/>
        </w:rPr>
        <w:t>-</w:t>
      </w:r>
      <w:r>
        <w:rPr>
          <w:rFonts w:eastAsia="黑体" w:cs="Times New Roman"/>
          <w:sz w:val="32"/>
          <w:szCs w:val="32"/>
        </w:rPr>
        <w:t>2  廊坊市子牙河流域所涉主要镇区面积与人口情况</w:t>
      </w:r>
    </w:p>
    <w:tbl>
      <w:tblPr>
        <w:tblStyle w:val="10"/>
        <w:tblW w:w="8763" w:type="dxa"/>
        <w:jc w:val="center"/>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563"/>
        <w:gridCol w:w="1136"/>
        <w:gridCol w:w="1277"/>
        <w:gridCol w:w="1563"/>
        <w:gridCol w:w="3224"/>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乡镇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所属区县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面积（km</w:t>
            </w:r>
            <w:r>
              <w:rPr>
                <w:rFonts w:eastAsia="仿宋_GB2312" w:cs="Times New Roman"/>
                <w:b/>
                <w:bCs/>
                <w:sz w:val="21"/>
                <w:szCs w:val="21"/>
                <w:vertAlign w:val="superscript"/>
              </w:rPr>
              <w:t>2</w:t>
            </w:r>
            <w:r>
              <w:rPr>
                <w:rFonts w:eastAsia="仿宋_GB2312" w:cs="Times New Roman"/>
                <w:b/>
                <w:bCs/>
                <w:sz w:val="21"/>
                <w:szCs w:val="21"/>
              </w:rPr>
              <w:t>）</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人口（万人）</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辖</w:t>
            </w:r>
            <w:r>
              <w:rPr>
                <w:rFonts w:hint="eastAsia" w:eastAsia="仿宋_GB2312" w:cs="Times New Roman"/>
                <w:b/>
                <w:bCs/>
                <w:sz w:val="21"/>
                <w:szCs w:val="21"/>
              </w:rPr>
              <w:t>　　</w:t>
            </w:r>
            <w:r>
              <w:rPr>
                <w:rFonts w:eastAsia="仿宋_GB2312" w:cs="Times New Roman"/>
                <w:b/>
                <w:bCs/>
                <w:sz w:val="21"/>
                <w:szCs w:val="21"/>
              </w:rPr>
              <w:t>区</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平舒镇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69.29</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6.27</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辖17个社区居委会、46个村委会。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南赵扶镇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104.83</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4.39</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辖1个社区居委会、38个村委会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权村镇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64.24</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3.74</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辖1个社区居委会、22个村委会。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里坦镇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59.34</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2.38</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辖1个社区居委会、22个村委会。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大尚屯镇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133.75</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7.13</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辖1个社区居委会、59个村委会。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旺村镇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149.41</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4.08</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辖1个社区居委会、45个村委会。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留各庄镇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78.56</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4.13</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辖1个社区居委会、39个村委会。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广安镇</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68.55</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3.58</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辖37个村委会。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北魏乡</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72.87</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4.27</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辖32个村委会。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臧屯乡</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102.86</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4.67</w:t>
            </w: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辖54个村委会。</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543" w:hRule="atLeast"/>
          <w:jc w:val="center"/>
        </w:trPr>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大城工业园区</w:t>
            </w:r>
          </w:p>
        </w:tc>
        <w:tc>
          <w:tcPr>
            <w:tcW w:w="113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27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156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c>
          <w:tcPr>
            <w:tcW w:w="3224"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rPr>
                <w:rFonts w:eastAsia="仿宋_GB2312" w:cs="Times New Roman"/>
                <w:sz w:val="21"/>
                <w:szCs w:val="21"/>
              </w:rPr>
            </w:pPr>
            <w:r>
              <w:rPr>
                <w:rFonts w:eastAsia="仿宋_GB2312" w:cs="Times New Roman"/>
                <w:sz w:val="21"/>
                <w:szCs w:val="21"/>
              </w:rPr>
              <w:t>下辖4个村委会。</w:t>
            </w:r>
          </w:p>
        </w:tc>
      </w:tr>
    </w:tbl>
    <w:p>
      <w:pPr>
        <w:pStyle w:val="4"/>
        <w:spacing w:line="600" w:lineRule="exact"/>
        <w:ind w:firstLine="643"/>
        <w:jc w:val="left"/>
        <w:rPr>
          <w:bCs w:val="0"/>
        </w:rPr>
      </w:pPr>
      <w:bookmarkStart w:id="89" w:name="_Toc23790679"/>
      <w:r>
        <w:t>2.2.2产业发展状况</w:t>
      </w:r>
      <w:bookmarkEnd w:id="89"/>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大城县非公经济发达，特色突出。近年来，流域国民经济持续稳定增长，综合经济实力进一步增强。根据统计资料，2015年实现地区生产总值1115638万元。其中，第一产业增加值175919万元，第二产业增加值46316万元；第三产业增加值476556万元，规模以上工业总产值1480935万元。</w:t>
      </w:r>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区域内农业生产条件较好，总耕地面积54482.52公顷，全部为旱地，此外还有园林地7119.92公顷。近年来，区域农业产业化步伐加快，产业化龙头企业不断发展壮大，同时农业结构不断优化，特别是畜牧业发展态势良好，初步形成了小枣种植、食品加工、畜牧养殖和蔬菜种植等四大基地。</w:t>
      </w:r>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历经多年的积累和发展，区域已经形成了保温建材、有色金属、化工、摩配、食品、古典家具等特色行业。其中，保温建材行业规模居全国之最，被科技部火炬高技术产业开发中心命名为“国家火炬计划大城保温建材特色产业基地”、被全国高科技建筑建材产业委员会授予“中国绿色保温建材之都”、被河北省科技厅命名为“河北省保温建材特色产业基地”；有色金属行业列为“河北省循环经济示范试点基地”；摩配行业被中国汽车销售总公司称为“全国最大的摩托配件专业市场”；红木古典家具作为大城县特色产业，与广东中山、福建仙游并称中国古典家具三大生产基地。</w:t>
      </w:r>
    </w:p>
    <w:p>
      <w:pPr>
        <w:shd w:val="clear" w:color="auto" w:fill="FFFFFF"/>
        <w:autoSpaceDN w:val="0"/>
        <w:adjustRightInd w:val="0"/>
        <w:snapToGrid w:val="0"/>
        <w:spacing w:line="600" w:lineRule="exact"/>
        <w:ind w:firstLine="640"/>
        <w:rPr>
          <w:rFonts w:eastAsia="仿宋_GB2312" w:cs="Times New Roman"/>
          <w:bCs/>
          <w:sz w:val="32"/>
          <w:szCs w:val="32"/>
        </w:rPr>
      </w:pPr>
      <w:r>
        <w:rPr>
          <w:rFonts w:eastAsia="仿宋_GB2312" w:cs="Times New Roman"/>
          <w:bCs/>
          <w:sz w:val="32"/>
          <w:szCs w:val="32"/>
        </w:rPr>
        <w:t>根据《廊坊市“十三五”工业发展规划》，未来廊坊市还将加大“大智移云”等现代技术对传统产业的融合与渗透，进一步加大对家具、食品、金属制品等传统产业的技术改造力度，利用最新科技成果，选择适用技术，实现绿色低碳生产和智能化改造，加快形成新的竞争优势。</w:t>
      </w:r>
      <w:r>
        <w:rPr>
          <w:rFonts w:eastAsia="仿宋_GB2312" w:cs="Times New Roman"/>
          <w:b/>
          <w:bCs/>
          <w:sz w:val="32"/>
          <w:szCs w:val="32"/>
        </w:rPr>
        <w:t>一是进一步优化家具产业链条，推动大城县家具制造行业集群发展</w:t>
      </w:r>
      <w:r>
        <w:rPr>
          <w:rFonts w:eastAsia="仿宋_GB2312" w:cs="Times New Roman"/>
          <w:bCs/>
          <w:sz w:val="32"/>
          <w:szCs w:val="32"/>
        </w:rPr>
        <w:t>。以大城红木家具特色园区产业基地等为核心，推动现有产业聚集区向特色产业集群的转型升级，采用“基地+渠道+知名地域品牌”模式运作，培育一批骨干龙头企业和特色产业集群。</w:t>
      </w:r>
      <w:r>
        <w:rPr>
          <w:rFonts w:eastAsia="仿宋_GB2312" w:cs="Times New Roman"/>
          <w:b/>
          <w:bCs/>
          <w:sz w:val="32"/>
          <w:szCs w:val="32"/>
        </w:rPr>
        <w:t>二是加快特色食品产业集约集群发展。</w:t>
      </w:r>
      <w:r>
        <w:rPr>
          <w:rFonts w:eastAsia="仿宋_GB2312" w:cs="Times New Roman"/>
          <w:bCs/>
          <w:sz w:val="32"/>
          <w:szCs w:val="32"/>
        </w:rPr>
        <w:t>以安全、优质、健康、绿色为导向，重点支持大城围绕“绿色、有机、无公害”发展理念打造生鲜食品精深加工基地建设；</w:t>
      </w:r>
      <w:r>
        <w:rPr>
          <w:rFonts w:eastAsia="仿宋_GB2312" w:cs="Times New Roman"/>
          <w:b/>
          <w:bCs/>
          <w:sz w:val="32"/>
          <w:szCs w:val="32"/>
        </w:rPr>
        <w:t>三是重点发展绿色保温建筑材料生产基地和贸易集散地。</w:t>
      </w:r>
      <w:r>
        <w:rPr>
          <w:rFonts w:eastAsia="仿宋_GB2312" w:cs="Times New Roman"/>
          <w:bCs/>
          <w:sz w:val="32"/>
          <w:szCs w:val="32"/>
        </w:rPr>
        <w:t>依托大城县保温建材国家火炬产业基地，要求企业进园集中布局；依托河北华美化工建材集团公司、河北华能中天化工建材集团有限公司、河北神州保温建材集团有限公司、廊坊格瑞玻璃棉制品有限公司等技术先进的龙头企业，淘汰落后产能</w:t>
      </w:r>
      <w:r>
        <w:rPr>
          <w:rFonts w:hint="eastAsia" w:eastAsia="仿宋_GB2312" w:cs="Times New Roman"/>
          <w:bCs/>
          <w:sz w:val="32"/>
          <w:szCs w:val="32"/>
        </w:rPr>
        <w:t>，</w:t>
      </w:r>
      <w:r>
        <w:rPr>
          <w:rFonts w:eastAsia="仿宋_GB2312" w:cs="Times New Roman"/>
          <w:bCs/>
          <w:sz w:val="32"/>
          <w:szCs w:val="32"/>
        </w:rPr>
        <w:t>加大技改投资，不断提升产品科技含量。同时，统一建立堆场，解决固废任意堆放破坏环境的行为。</w:t>
      </w:r>
    </w:p>
    <w:p>
      <w:pPr>
        <w:pStyle w:val="2"/>
        <w:spacing w:line="600" w:lineRule="exact"/>
        <w:ind w:firstLine="640"/>
      </w:pPr>
      <w:bookmarkStart w:id="90" w:name="_Toc23790680"/>
      <w:r>
        <w:t>三、水环境形势状况分析</w:t>
      </w:r>
      <w:bookmarkEnd w:id="90"/>
    </w:p>
    <w:p>
      <w:pPr>
        <w:pStyle w:val="3"/>
        <w:spacing w:line="600" w:lineRule="exact"/>
        <w:ind w:firstLine="643"/>
      </w:pPr>
      <w:bookmarkStart w:id="91" w:name="_Toc23790681"/>
      <w:r>
        <w:t>3.1水质断面考核要求</w:t>
      </w:r>
      <w:bookmarkEnd w:id="91"/>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子牙河廊坊市国家考核断面为小河闸断面，为廊坊市与天津静海县交界的出境断面，位于大城县南赵扶镇东辛庄村东，考核目标为：到2020年断面氨氮≤6.5mg/L，其他指标为V类。子牙河其他入河支流，以及子牙河排干渠无水质监测断面，也未开展水质监测。</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廊坊市子牙河主要监控断面位置如图3</w:t>
      </w:r>
      <w:r>
        <w:rPr>
          <w:rFonts w:hint="eastAsia" w:eastAsia="仿宋_GB2312" w:cs="Times New Roman"/>
          <w:sz w:val="32"/>
          <w:szCs w:val="32"/>
        </w:rPr>
        <w:t>-</w:t>
      </w:r>
      <w:r>
        <w:rPr>
          <w:rFonts w:eastAsia="仿宋_GB2312" w:cs="Times New Roman"/>
          <w:sz w:val="32"/>
          <w:szCs w:val="32"/>
        </w:rPr>
        <w:t>1所示。</w:t>
      </w:r>
    </w:p>
    <w:p>
      <w:pPr>
        <w:shd w:val="clear" w:color="auto" w:fill="FFFFFF"/>
        <w:autoSpaceDN w:val="0"/>
        <w:snapToGrid w:val="0"/>
        <w:spacing w:before="192" w:beforeLines="80" w:after="120" w:afterLines="50" w:line="240" w:lineRule="auto"/>
        <w:ind w:firstLine="0" w:firstLineChars="0"/>
        <w:jc w:val="center"/>
        <w:rPr>
          <w:rFonts w:ascii="黑体" w:hAnsi="黑体" w:eastAsia="黑体" w:cs="Times New Roman"/>
          <w:sz w:val="32"/>
          <w:szCs w:val="32"/>
        </w:rPr>
      </w:pPr>
      <w:r>
        <w:rPr>
          <w:rFonts w:ascii="黑体" w:hAnsi="黑体" w:eastAsia="黑体" w:cs="Times New Roman"/>
          <w:sz w:val="32"/>
          <w:szCs w:val="32"/>
        </w:rPr>
        <w:t>表3</w:t>
      </w:r>
      <w:r>
        <w:rPr>
          <w:rFonts w:eastAsia="黑体" w:cs="Times New Roman"/>
          <w:sz w:val="32"/>
          <w:szCs w:val="32"/>
        </w:rPr>
        <w:t>-</w:t>
      </w:r>
      <w:r>
        <w:rPr>
          <w:rFonts w:ascii="黑体" w:hAnsi="黑体" w:eastAsia="黑体" w:cs="Times New Roman"/>
          <w:sz w:val="32"/>
          <w:szCs w:val="32"/>
        </w:rPr>
        <w:t>1  子牙河廊坊市水质考核断面和考核要求</w:t>
      </w:r>
    </w:p>
    <w:tbl>
      <w:tblPr>
        <w:tblStyle w:val="10"/>
        <w:tblW w:w="8703" w:type="dxa"/>
        <w:jc w:val="center"/>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8"/>
        <w:gridCol w:w="753"/>
        <w:gridCol w:w="1245"/>
        <w:gridCol w:w="1285"/>
        <w:gridCol w:w="2424"/>
        <w:gridCol w:w="1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7" w:hRule="atLeast"/>
          <w:jc w:val="center"/>
        </w:trPr>
        <w:tc>
          <w:tcPr>
            <w:tcW w:w="998" w:type="dxa"/>
            <w:vMerge w:val="restart"/>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考核县</w:t>
            </w:r>
          </w:p>
        </w:tc>
        <w:tc>
          <w:tcPr>
            <w:tcW w:w="753" w:type="dxa"/>
            <w:vMerge w:val="restart"/>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流域</w:t>
            </w:r>
          </w:p>
        </w:tc>
        <w:tc>
          <w:tcPr>
            <w:tcW w:w="1245" w:type="dxa"/>
            <w:vMerge w:val="restart"/>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所在水体</w:t>
            </w:r>
          </w:p>
        </w:tc>
        <w:tc>
          <w:tcPr>
            <w:tcW w:w="1285" w:type="dxa"/>
            <w:vMerge w:val="restart"/>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断面名称</w:t>
            </w:r>
          </w:p>
        </w:tc>
        <w:tc>
          <w:tcPr>
            <w:tcW w:w="4422" w:type="dxa"/>
            <w:gridSpan w:val="2"/>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水质考核目标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5" w:hRule="atLeast"/>
          <w:jc w:val="center"/>
        </w:trPr>
        <w:tc>
          <w:tcPr>
            <w:tcW w:w="998" w:type="dxa"/>
            <w:vMerge w:val="continue"/>
            <w:vAlign w:val="center"/>
          </w:tcPr>
          <w:p>
            <w:pPr>
              <w:spacing w:line="240" w:lineRule="auto"/>
              <w:ind w:firstLine="0" w:firstLineChars="0"/>
              <w:jc w:val="center"/>
              <w:rPr>
                <w:rFonts w:eastAsia="仿宋_GB2312" w:cs="Times New Roman"/>
                <w:b/>
                <w:sz w:val="21"/>
                <w:szCs w:val="21"/>
              </w:rPr>
            </w:pPr>
          </w:p>
        </w:tc>
        <w:tc>
          <w:tcPr>
            <w:tcW w:w="753" w:type="dxa"/>
            <w:vMerge w:val="continue"/>
            <w:vAlign w:val="center"/>
          </w:tcPr>
          <w:p>
            <w:pPr>
              <w:spacing w:line="240" w:lineRule="auto"/>
              <w:ind w:firstLine="0" w:firstLineChars="0"/>
              <w:jc w:val="center"/>
              <w:rPr>
                <w:rFonts w:eastAsia="仿宋_GB2312" w:cs="Times New Roman"/>
                <w:b/>
                <w:sz w:val="21"/>
                <w:szCs w:val="21"/>
              </w:rPr>
            </w:pPr>
          </w:p>
        </w:tc>
        <w:tc>
          <w:tcPr>
            <w:tcW w:w="1245" w:type="dxa"/>
            <w:vMerge w:val="continue"/>
            <w:vAlign w:val="center"/>
          </w:tcPr>
          <w:p>
            <w:pPr>
              <w:spacing w:line="240" w:lineRule="auto"/>
              <w:ind w:firstLine="0" w:firstLineChars="0"/>
              <w:jc w:val="center"/>
              <w:rPr>
                <w:rFonts w:eastAsia="仿宋_GB2312" w:cs="Times New Roman"/>
                <w:b/>
                <w:sz w:val="21"/>
                <w:szCs w:val="21"/>
              </w:rPr>
            </w:pPr>
          </w:p>
        </w:tc>
        <w:tc>
          <w:tcPr>
            <w:tcW w:w="1285" w:type="dxa"/>
            <w:vMerge w:val="continue"/>
            <w:vAlign w:val="center"/>
          </w:tcPr>
          <w:p>
            <w:pPr>
              <w:spacing w:line="240" w:lineRule="auto"/>
              <w:ind w:firstLine="0" w:firstLineChars="0"/>
              <w:jc w:val="center"/>
              <w:rPr>
                <w:rFonts w:eastAsia="仿宋_GB2312" w:cs="Times New Roman"/>
                <w:b/>
                <w:sz w:val="21"/>
                <w:szCs w:val="21"/>
              </w:rPr>
            </w:pPr>
          </w:p>
        </w:tc>
        <w:tc>
          <w:tcPr>
            <w:tcW w:w="2424" w:type="dxa"/>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2019年</w:t>
            </w:r>
          </w:p>
        </w:tc>
        <w:tc>
          <w:tcPr>
            <w:tcW w:w="1998" w:type="dxa"/>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2020年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8" w:hRule="atLeast"/>
          <w:jc w:val="center"/>
        </w:trPr>
        <w:tc>
          <w:tcPr>
            <w:tcW w:w="998"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大城县 </w:t>
            </w:r>
          </w:p>
        </w:tc>
        <w:tc>
          <w:tcPr>
            <w:tcW w:w="75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海河 </w:t>
            </w:r>
          </w:p>
        </w:tc>
        <w:tc>
          <w:tcPr>
            <w:tcW w:w="124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子牙河 </w:t>
            </w:r>
          </w:p>
        </w:tc>
        <w:tc>
          <w:tcPr>
            <w:tcW w:w="128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小河闸 </w:t>
            </w:r>
          </w:p>
        </w:tc>
        <w:tc>
          <w:tcPr>
            <w:tcW w:w="242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氨氮≤6.5mg/L，其他指标为V类 </w:t>
            </w:r>
          </w:p>
        </w:tc>
        <w:tc>
          <w:tcPr>
            <w:tcW w:w="1998"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 xml:space="preserve">氨氮≤6.5mg/L，其他指标为V类 </w:t>
            </w:r>
          </w:p>
        </w:tc>
      </w:tr>
    </w:tbl>
    <w:p>
      <w:pPr>
        <w:autoSpaceDN w:val="0"/>
        <w:snapToGrid w:val="0"/>
        <w:ind w:firstLine="420"/>
        <w:jc w:val="center"/>
        <w:rPr>
          <w:rFonts w:eastAsia="仿宋_GB2312" w:cs="Times New Roman"/>
          <w:sz w:val="21"/>
          <w:szCs w:val="21"/>
        </w:rPr>
      </w:pPr>
    </w:p>
    <w:p>
      <w:pPr>
        <w:autoSpaceDN w:val="0"/>
        <w:snapToGrid w:val="0"/>
        <w:ind w:firstLine="480"/>
        <w:jc w:val="center"/>
        <w:rPr>
          <w:rFonts w:eastAsia="仿宋_GB2312" w:cs="Times New Roman"/>
          <w:sz w:val="32"/>
          <w:szCs w:val="32"/>
        </w:rPr>
      </w:pPr>
      <w:r>
        <w:rPr>
          <w:rFonts w:cs="Times New Roman"/>
        </w:rPr>
        <w:drawing>
          <wp:inline distT="0" distB="0" distL="114300" distR="114300">
            <wp:extent cx="5019675" cy="3831590"/>
            <wp:effectExtent l="0" t="0" r="9525"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pic:cNvPicPr>
                      <a:picLocks noChangeAspect="1"/>
                    </pic:cNvPicPr>
                  </pic:nvPicPr>
                  <pic:blipFill>
                    <a:blip r:embed="rId35"/>
                    <a:srcRect b="3900"/>
                    <a:stretch>
                      <a:fillRect/>
                    </a:stretch>
                  </pic:blipFill>
                  <pic:spPr>
                    <a:xfrm>
                      <a:off x="0" y="0"/>
                      <a:ext cx="5019675" cy="3831590"/>
                    </a:xfrm>
                    <a:prstGeom prst="rect">
                      <a:avLst/>
                    </a:prstGeom>
                    <a:noFill/>
                    <a:ln w="9525">
                      <a:noFill/>
                    </a:ln>
                  </pic:spPr>
                </pic:pic>
              </a:graphicData>
            </a:graphic>
          </wp:inline>
        </w:drawing>
      </w:r>
    </w:p>
    <w:p>
      <w:pPr>
        <w:autoSpaceDN w:val="0"/>
        <w:snapToGrid w:val="0"/>
        <w:spacing w:after="120" w:afterLines="50" w:line="240" w:lineRule="auto"/>
        <w:ind w:firstLine="482"/>
        <w:jc w:val="center"/>
        <w:rPr>
          <w:rFonts w:eastAsia="仿宋_GB2312" w:cs="Times New Roman"/>
          <w:b/>
          <w:szCs w:val="28"/>
        </w:rPr>
      </w:pPr>
      <w:r>
        <w:rPr>
          <w:rFonts w:eastAsia="仿宋_GB2312" w:cs="Times New Roman"/>
          <w:b/>
          <w:szCs w:val="28"/>
        </w:rPr>
        <w:t>图3</w:t>
      </w:r>
      <w:r>
        <w:rPr>
          <w:rFonts w:hint="eastAsia" w:eastAsia="仿宋_GB2312" w:cs="Times New Roman"/>
          <w:sz w:val="32"/>
          <w:szCs w:val="32"/>
        </w:rPr>
        <w:t>-</w:t>
      </w:r>
      <w:r>
        <w:rPr>
          <w:rFonts w:eastAsia="仿宋_GB2312" w:cs="Times New Roman"/>
          <w:b/>
          <w:szCs w:val="28"/>
        </w:rPr>
        <w:t>1</w:t>
      </w:r>
      <w:r>
        <w:rPr>
          <w:rFonts w:hint="eastAsia" w:eastAsia="仿宋_GB2312" w:cs="Times New Roman"/>
          <w:b/>
          <w:szCs w:val="28"/>
        </w:rPr>
        <w:t>　</w:t>
      </w:r>
      <w:r>
        <w:rPr>
          <w:rFonts w:eastAsia="仿宋_GB2312" w:cs="Times New Roman"/>
          <w:b/>
          <w:szCs w:val="28"/>
        </w:rPr>
        <w:t>子牙河出入境断面位置</w:t>
      </w:r>
    </w:p>
    <w:p>
      <w:pPr>
        <w:adjustRightInd w:val="0"/>
        <w:snapToGrid w:val="0"/>
        <w:spacing w:line="590" w:lineRule="exact"/>
        <w:ind w:firstLine="640"/>
        <w:rPr>
          <w:rFonts w:eastAsia="仿宋_GB2312" w:cs="Times New Roman"/>
          <w:b/>
          <w:szCs w:val="28"/>
        </w:rPr>
      </w:pPr>
      <w:r>
        <w:rPr>
          <w:rFonts w:eastAsia="仿宋_GB2312" w:cs="Times New Roman"/>
          <w:sz w:val="32"/>
          <w:szCs w:val="32"/>
        </w:rPr>
        <w:t>国控断面水质评价数据采用国家监测数据，水质评价采用单因子标准指数法进行评价，评价指标与方法参考《地表水环境质量评价办法》（环办〔2011〕22号）、《地表水环境质量标准》（GB3838</w:t>
      </w:r>
      <w:r>
        <w:rPr>
          <w:rFonts w:hint="eastAsia" w:eastAsia="仿宋_GB2312" w:cs="Times New Roman"/>
          <w:sz w:val="32"/>
          <w:szCs w:val="32"/>
        </w:rPr>
        <w:t>—</w:t>
      </w:r>
      <w:r>
        <w:rPr>
          <w:rFonts w:eastAsia="仿宋_GB2312" w:cs="Times New Roman"/>
          <w:sz w:val="32"/>
          <w:szCs w:val="32"/>
        </w:rPr>
        <w:t>2002）的有关内容。</w:t>
      </w:r>
    </w:p>
    <w:p>
      <w:pPr>
        <w:pStyle w:val="3"/>
        <w:autoSpaceDN w:val="0"/>
        <w:adjustRightInd w:val="0"/>
        <w:snapToGrid w:val="0"/>
        <w:spacing w:line="590" w:lineRule="exact"/>
        <w:ind w:firstLine="643"/>
        <w:rPr>
          <w:rFonts w:eastAsia="楷体_GB2312"/>
          <w:bCs w:val="0"/>
        </w:rPr>
      </w:pPr>
      <w:bookmarkStart w:id="92" w:name="_Toc23790682"/>
      <w:r>
        <w:rPr>
          <w:rFonts w:eastAsia="楷体_GB2312"/>
          <w:bCs w:val="0"/>
        </w:rPr>
        <w:t>3.2</w:t>
      </w:r>
      <w:r>
        <w:rPr>
          <w:rFonts w:eastAsia="楷体_GB2312"/>
        </w:rPr>
        <w:t>达标方案</w:t>
      </w:r>
      <w:r>
        <w:rPr>
          <w:rFonts w:eastAsia="楷体_GB2312"/>
          <w:bCs w:val="0"/>
        </w:rPr>
        <w:t>实施前水质状况</w:t>
      </w:r>
      <w:bookmarkEnd w:id="92"/>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2005</w:t>
      </w:r>
      <w:r>
        <w:rPr>
          <w:rFonts w:hint="eastAsia" w:eastAsia="仿宋_GB2312" w:cs="Times New Roman"/>
          <w:sz w:val="32"/>
          <w:szCs w:val="32"/>
        </w:rPr>
        <w:t>—</w:t>
      </w:r>
      <w:r>
        <w:rPr>
          <w:rFonts w:eastAsia="仿宋_GB2312" w:cs="Times New Roman"/>
          <w:sz w:val="32"/>
          <w:szCs w:val="32"/>
        </w:rPr>
        <w:t>2015年间，子牙河常年断流。2016年4月间，对子牙河沿程实地踏勘发现，大城县入境断面董家房子断面处宽阔的河床已经成为林地，多年无水；大城县出境断面小河闸处尚有流量源自下游天津河流倒流，但水质较差、水体发黑、异味明显；大城县段沿程河道除采砂挖土等留下的水坑和部分低洼河段有部分雨季积水外，大部分河段河槽裸露、不见流水、土地沙化、杂草丛生。</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达标方案编制实施之前，廊坊市子牙河沿程典型断面情况如图3</w:t>
      </w:r>
      <w:r>
        <w:rPr>
          <w:rFonts w:hint="eastAsia" w:eastAsia="仿宋_GB2312" w:cs="Times New Roman"/>
          <w:sz w:val="32"/>
          <w:szCs w:val="32"/>
        </w:rPr>
        <w:t>-</w:t>
      </w:r>
      <w:r>
        <w:rPr>
          <w:rFonts w:eastAsia="仿宋_GB2312" w:cs="Times New Roman"/>
          <w:sz w:val="32"/>
          <w:szCs w:val="32"/>
        </w:rPr>
        <w:t>2所示。</w:t>
      </w:r>
    </w:p>
    <w:p>
      <w:pPr>
        <w:autoSpaceDN w:val="0"/>
        <w:snapToGrid w:val="0"/>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2553970" cy="1874520"/>
            <wp:effectExtent l="0" t="0" r="17780" b="11430"/>
            <wp:docPr id="32" name="图片 26" descr="D:\廊坊资料\廊坊（大城县）调研4月7日\董家房子断面\IMG_20160407_110403.jpg"/>
            <wp:cNvGraphicFramePr/>
            <a:graphic xmlns:a="http://schemas.openxmlformats.org/drawingml/2006/main">
              <a:graphicData uri="http://schemas.openxmlformats.org/drawingml/2006/picture">
                <pic:pic xmlns:pic="http://schemas.openxmlformats.org/drawingml/2006/picture">
                  <pic:nvPicPr>
                    <pic:cNvPr id="32" name="图片 26" descr="D:\廊坊资料\廊坊（大城县）调研4月7日\董家房子断面\IMG_20160407_110403.jpg"/>
                    <pic:cNvPicPr/>
                  </pic:nvPicPr>
                  <pic:blipFill>
                    <a:blip r:embed="rId36"/>
                    <a:stretch>
                      <a:fillRect/>
                    </a:stretch>
                  </pic:blipFill>
                  <pic:spPr>
                    <a:xfrm>
                      <a:off x="0" y="0"/>
                      <a:ext cx="2553970" cy="1874520"/>
                    </a:xfrm>
                    <a:prstGeom prst="rect">
                      <a:avLst/>
                    </a:prstGeom>
                    <a:noFill/>
                    <a:ln w="9525">
                      <a:noFill/>
                    </a:ln>
                  </pic:spPr>
                </pic:pic>
              </a:graphicData>
            </a:graphic>
          </wp:inline>
        </w:drawing>
      </w:r>
      <w:r>
        <w:rPr>
          <w:rFonts w:eastAsia="仿宋_GB2312" w:cs="Times New Roman"/>
          <w:sz w:val="32"/>
          <w:szCs w:val="32"/>
        </w:rPr>
        <w:t xml:space="preserve"> </w:t>
      </w:r>
      <w:r>
        <w:rPr>
          <w:rFonts w:eastAsia="仿宋_GB2312" w:cs="Times New Roman"/>
          <w:sz w:val="32"/>
          <w:szCs w:val="32"/>
        </w:rPr>
        <w:drawing>
          <wp:inline distT="0" distB="0" distL="114300" distR="114300">
            <wp:extent cx="2553970" cy="1870710"/>
            <wp:effectExtent l="0" t="0" r="17780" b="15240"/>
            <wp:docPr id="33" name="图片 27" descr="D:\廊坊资料\廊坊（大城县）调研4月7日\董家房子断面\IMG_20160407_11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descr="D:\廊坊资料\廊坊（大城县）调研4月7日\董家房子断面\IMG_20160407_110359.jpg"/>
                    <pic:cNvPicPr>
                      <a:picLocks noChangeAspect="1"/>
                    </pic:cNvPicPr>
                  </pic:nvPicPr>
                  <pic:blipFill>
                    <a:blip r:embed="rId37"/>
                    <a:stretch>
                      <a:fillRect/>
                    </a:stretch>
                  </pic:blipFill>
                  <pic:spPr>
                    <a:xfrm>
                      <a:off x="0" y="0"/>
                      <a:ext cx="2553970" cy="1870710"/>
                    </a:xfrm>
                    <a:prstGeom prst="rect">
                      <a:avLst/>
                    </a:prstGeom>
                    <a:noFill/>
                    <a:ln w="9525">
                      <a:noFill/>
                    </a:ln>
                  </pic:spPr>
                </pic:pic>
              </a:graphicData>
            </a:graphic>
          </wp:inline>
        </w:drawing>
      </w:r>
    </w:p>
    <w:p>
      <w:pPr>
        <w:autoSpaceDN w:val="0"/>
        <w:snapToGrid w:val="0"/>
        <w:spacing w:before="120" w:beforeLines="50" w:after="240" w:afterLines="100" w:line="240" w:lineRule="auto"/>
        <w:ind w:firstLine="0" w:firstLineChars="0"/>
        <w:jc w:val="center"/>
        <w:rPr>
          <w:rFonts w:eastAsia="仿宋_GB2312" w:cs="Times New Roman"/>
          <w:sz w:val="28"/>
          <w:szCs w:val="28"/>
        </w:rPr>
      </w:pPr>
      <w:r>
        <w:rPr>
          <w:rFonts w:eastAsia="仿宋_GB2312" w:cs="Times New Roman"/>
          <w:sz w:val="28"/>
          <w:szCs w:val="28"/>
        </w:rPr>
        <w:t>a（入境断面董家房子断面）</w:t>
      </w:r>
    </w:p>
    <w:p>
      <w:pPr>
        <w:autoSpaceDN w:val="0"/>
        <w:snapToGrid w:val="0"/>
        <w:ind w:firstLine="0" w:firstLineChars="0"/>
        <w:jc w:val="center"/>
        <w:rPr>
          <w:rFonts w:eastAsia="仿宋_GB2312" w:cs="Times New Roman"/>
          <w:sz w:val="28"/>
          <w:szCs w:val="28"/>
        </w:rPr>
      </w:pPr>
      <w:r>
        <w:rPr>
          <w:rFonts w:eastAsia="仿宋_GB2312" w:cs="Times New Roman"/>
          <w:sz w:val="28"/>
          <w:szCs w:val="28"/>
        </w:rPr>
        <w:drawing>
          <wp:inline distT="0" distB="0" distL="114300" distR="114300">
            <wp:extent cx="2553970" cy="1914525"/>
            <wp:effectExtent l="0" t="0" r="17780" b="9525"/>
            <wp:docPr id="34" name="图片 28"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descr="image8"/>
                    <pic:cNvPicPr>
                      <a:picLocks noChangeAspect="1"/>
                    </pic:cNvPicPr>
                  </pic:nvPicPr>
                  <pic:blipFill>
                    <a:blip r:embed="rId38"/>
                    <a:stretch>
                      <a:fillRect/>
                    </a:stretch>
                  </pic:blipFill>
                  <pic:spPr>
                    <a:xfrm>
                      <a:off x="0" y="0"/>
                      <a:ext cx="2553970" cy="1914525"/>
                    </a:xfrm>
                    <a:prstGeom prst="rect">
                      <a:avLst/>
                    </a:prstGeom>
                    <a:noFill/>
                    <a:ln w="9525">
                      <a:noFill/>
                    </a:ln>
                  </pic:spPr>
                </pic:pic>
              </a:graphicData>
            </a:graphic>
          </wp:inline>
        </w:drawing>
      </w:r>
      <w:r>
        <w:rPr>
          <w:rFonts w:eastAsia="仿宋_GB2312" w:cs="Times New Roman"/>
          <w:sz w:val="28"/>
          <w:szCs w:val="28"/>
        </w:rPr>
        <w:t xml:space="preserve"> </w:t>
      </w:r>
      <w:r>
        <w:rPr>
          <w:rFonts w:eastAsia="仿宋_GB2312" w:cs="Times New Roman"/>
          <w:sz w:val="28"/>
          <w:szCs w:val="28"/>
        </w:rPr>
        <w:drawing>
          <wp:inline distT="0" distB="0" distL="114300" distR="114300">
            <wp:extent cx="2553970" cy="1905000"/>
            <wp:effectExtent l="0" t="0" r="17780" b="0"/>
            <wp:docPr id="35" name="图片 29" descr="D:\廊坊资料\廊坊（大城县）调研4月7日\点5\IMG_20160407_092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descr="D:\廊坊资料\廊坊（大城县）调研4月7日\点5\IMG_20160407_092308.jpg"/>
                    <pic:cNvPicPr>
                      <a:picLocks noChangeAspect="1"/>
                    </pic:cNvPicPr>
                  </pic:nvPicPr>
                  <pic:blipFill>
                    <a:blip r:embed="rId39"/>
                    <a:stretch>
                      <a:fillRect/>
                    </a:stretch>
                  </pic:blipFill>
                  <pic:spPr>
                    <a:xfrm>
                      <a:off x="0" y="0"/>
                      <a:ext cx="2553970" cy="1905000"/>
                    </a:xfrm>
                    <a:prstGeom prst="rect">
                      <a:avLst/>
                    </a:prstGeom>
                    <a:noFill/>
                    <a:ln w="9525">
                      <a:noFill/>
                    </a:ln>
                  </pic:spPr>
                </pic:pic>
              </a:graphicData>
            </a:graphic>
          </wp:inline>
        </w:drawing>
      </w:r>
    </w:p>
    <w:p>
      <w:pPr>
        <w:autoSpaceDN w:val="0"/>
        <w:snapToGrid w:val="0"/>
        <w:spacing w:before="120" w:beforeLines="50" w:after="240" w:afterLines="100" w:line="240" w:lineRule="auto"/>
        <w:ind w:firstLine="280" w:firstLineChars="100"/>
        <w:jc w:val="center"/>
        <w:rPr>
          <w:rFonts w:eastAsia="仿宋_GB2312" w:cs="Times New Roman"/>
          <w:sz w:val="28"/>
          <w:szCs w:val="28"/>
        </w:rPr>
      </w:pPr>
      <w:r>
        <w:rPr>
          <w:rFonts w:eastAsia="仿宋_GB2312" w:cs="Times New Roman"/>
          <w:sz w:val="28"/>
          <w:szCs w:val="28"/>
        </w:rPr>
        <w:drawing>
          <wp:anchor distT="0" distB="0" distL="114300" distR="114300" simplePos="0" relativeHeight="251669504" behindDoc="1" locked="0" layoutInCell="1" allowOverlap="1">
            <wp:simplePos x="0" y="0"/>
            <wp:positionH relativeFrom="column">
              <wp:posOffset>214630</wp:posOffset>
            </wp:positionH>
            <wp:positionV relativeFrom="paragraph">
              <wp:posOffset>386715</wp:posOffset>
            </wp:positionV>
            <wp:extent cx="2552700" cy="1949450"/>
            <wp:effectExtent l="0" t="0" r="0" b="12700"/>
            <wp:wrapTight wrapText="bothSides">
              <wp:wrapPolygon>
                <wp:start x="0" y="0"/>
                <wp:lineTo x="0" y="21319"/>
                <wp:lineTo x="21439" y="21319"/>
                <wp:lineTo x="21439" y="0"/>
                <wp:lineTo x="0" y="0"/>
              </wp:wrapPolygon>
            </wp:wrapTight>
            <wp:docPr id="36" name="图片 461" descr="D:\廊坊资料\廊坊（大城县）调研4月7日\点3\IMG_20160407_085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61" descr="D:\廊坊资料\廊坊（大城县）调研4月7日\点3\IMG_20160407_085524.jpg"/>
                    <pic:cNvPicPr>
                      <a:picLocks noChangeAspect="1"/>
                    </pic:cNvPicPr>
                  </pic:nvPicPr>
                  <pic:blipFill>
                    <a:blip r:embed="rId40"/>
                    <a:stretch>
                      <a:fillRect/>
                    </a:stretch>
                  </pic:blipFill>
                  <pic:spPr>
                    <a:xfrm>
                      <a:off x="0" y="0"/>
                      <a:ext cx="2552700" cy="1949450"/>
                    </a:xfrm>
                    <a:prstGeom prst="rect">
                      <a:avLst/>
                    </a:prstGeom>
                    <a:noFill/>
                    <a:ln w="9525">
                      <a:noFill/>
                    </a:ln>
                  </pic:spPr>
                </pic:pic>
              </a:graphicData>
            </a:graphic>
          </wp:anchor>
        </w:drawing>
      </w:r>
      <w:r>
        <w:rPr>
          <w:rFonts w:eastAsia="仿宋_GB2312" w:cs="Times New Roman"/>
          <w:sz w:val="28"/>
          <w:szCs w:val="28"/>
        </w:rPr>
        <w:t>b（龙华桥村断面）                c（王演马村断面）</w:t>
      </w:r>
    </w:p>
    <w:p>
      <w:pPr>
        <w:autoSpaceDN w:val="0"/>
        <w:snapToGrid w:val="0"/>
        <w:spacing w:before="120" w:beforeLines="50" w:after="120" w:afterLines="50"/>
        <w:ind w:firstLine="480"/>
        <w:rPr>
          <w:rFonts w:eastAsia="仿宋_GB2312" w:cs="Times New Roman"/>
          <w:sz w:val="28"/>
          <w:szCs w:val="28"/>
        </w:rPr>
      </w:pPr>
      <w:r>
        <w:rPr>
          <w:rFonts w:cs="Times New Roman"/>
        </w:rPr>
        <w:drawing>
          <wp:anchor distT="0" distB="0" distL="114300" distR="114300" simplePos="0" relativeHeight="251668480" behindDoc="1" locked="0" layoutInCell="1" allowOverlap="1">
            <wp:simplePos x="0" y="0"/>
            <wp:positionH relativeFrom="page">
              <wp:posOffset>3827145</wp:posOffset>
            </wp:positionH>
            <wp:positionV relativeFrom="page">
              <wp:posOffset>7220585</wp:posOffset>
            </wp:positionV>
            <wp:extent cx="2626360" cy="1961515"/>
            <wp:effectExtent l="0" t="0" r="2540" b="635"/>
            <wp:wrapTight wrapText="bothSides">
              <wp:wrapPolygon>
                <wp:start x="0" y="0"/>
                <wp:lineTo x="0" y="21397"/>
                <wp:lineTo x="21464" y="21397"/>
                <wp:lineTo x="21464" y="0"/>
                <wp:lineTo x="0" y="0"/>
              </wp:wrapPolygon>
            </wp:wrapTight>
            <wp:docPr id="37" name="图片 150" descr="D:\廊坊资料\廊坊（大城县）调研4月7日\下午-土坝\IMG_20160407_154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0" descr="D:\廊坊资料\廊坊（大城县）调研4月7日\下午-土坝\IMG_20160407_154018.jpg"/>
                    <pic:cNvPicPr>
                      <a:picLocks noChangeAspect="1"/>
                    </pic:cNvPicPr>
                  </pic:nvPicPr>
                  <pic:blipFill>
                    <a:blip r:embed="rId41"/>
                    <a:stretch>
                      <a:fillRect/>
                    </a:stretch>
                  </pic:blipFill>
                  <pic:spPr>
                    <a:xfrm>
                      <a:off x="0" y="0"/>
                      <a:ext cx="2626360" cy="1961515"/>
                    </a:xfrm>
                    <a:prstGeom prst="rect">
                      <a:avLst/>
                    </a:prstGeom>
                    <a:noFill/>
                    <a:ln w="9525">
                      <a:noFill/>
                    </a:ln>
                  </pic:spPr>
                </pic:pic>
              </a:graphicData>
            </a:graphic>
          </wp:anchor>
        </w:drawing>
      </w:r>
      <w:r>
        <w:rPr>
          <w:rFonts w:hint="eastAsia" w:eastAsia="仿宋_GB2312" w:cs="Times New Roman"/>
          <w:sz w:val="28"/>
          <w:szCs w:val="28"/>
        </w:rPr>
        <w:t xml:space="preserve">    </w:t>
      </w:r>
      <w:r>
        <w:rPr>
          <w:rFonts w:eastAsia="仿宋_GB2312" w:cs="Times New Roman"/>
          <w:sz w:val="28"/>
          <w:szCs w:val="28"/>
        </w:rPr>
        <w:t xml:space="preserve">d（高李庄村断面）           </w:t>
      </w:r>
      <w:r>
        <w:rPr>
          <w:rFonts w:hint="eastAsia" w:eastAsia="仿宋_GB2312" w:cs="Times New Roman"/>
          <w:sz w:val="28"/>
          <w:szCs w:val="28"/>
        </w:rPr>
        <w:t xml:space="preserve"> </w:t>
      </w:r>
      <w:r>
        <w:rPr>
          <w:rFonts w:eastAsia="仿宋_GB2312" w:cs="Times New Roman"/>
          <w:sz w:val="28"/>
          <w:szCs w:val="28"/>
        </w:rPr>
        <w:t xml:space="preserve">    e（土坝断面）</w:t>
      </w:r>
    </w:p>
    <w:p>
      <w:pPr>
        <w:autoSpaceDN w:val="0"/>
        <w:snapToGrid w:val="0"/>
        <w:ind w:firstLine="0" w:firstLineChars="0"/>
        <w:jc w:val="center"/>
        <w:rPr>
          <w:rFonts w:eastAsia="仿宋_GB2312" w:cs="Times New Roman"/>
          <w:b/>
          <w:sz w:val="28"/>
          <w:szCs w:val="28"/>
        </w:rPr>
      </w:pPr>
      <w:r>
        <w:rPr>
          <w:rFonts w:eastAsia="仿宋_GB2312" w:cs="Times New Roman"/>
          <w:sz w:val="28"/>
          <w:szCs w:val="28"/>
        </w:rPr>
        <w:drawing>
          <wp:inline distT="0" distB="0" distL="114300" distR="114300">
            <wp:extent cx="2649220" cy="1895475"/>
            <wp:effectExtent l="0" t="0" r="17780" b="9525"/>
            <wp:docPr id="38" name="图片 30" descr="D:\廊坊资料\廊坊（大城县）调研4月7日\下午-交接断面\IMG_20160407_151830.jpg"/>
            <wp:cNvGraphicFramePr/>
            <a:graphic xmlns:a="http://schemas.openxmlformats.org/drawingml/2006/main">
              <a:graphicData uri="http://schemas.openxmlformats.org/drawingml/2006/picture">
                <pic:pic xmlns:pic="http://schemas.openxmlformats.org/drawingml/2006/picture">
                  <pic:nvPicPr>
                    <pic:cNvPr id="38" name="图片 30" descr="D:\廊坊资料\廊坊（大城县）调研4月7日\下午-交接断面\IMG_20160407_151830.jpg"/>
                    <pic:cNvPicPr/>
                  </pic:nvPicPr>
                  <pic:blipFill>
                    <a:blip r:embed="rId42"/>
                    <a:stretch>
                      <a:fillRect/>
                    </a:stretch>
                  </pic:blipFill>
                  <pic:spPr>
                    <a:xfrm>
                      <a:off x="0" y="0"/>
                      <a:ext cx="2649220" cy="1895475"/>
                    </a:xfrm>
                    <a:prstGeom prst="rect">
                      <a:avLst/>
                    </a:prstGeom>
                    <a:noFill/>
                    <a:ln w="9525">
                      <a:noFill/>
                    </a:ln>
                  </pic:spPr>
                </pic:pic>
              </a:graphicData>
            </a:graphic>
          </wp:inline>
        </w:drawing>
      </w:r>
      <w:r>
        <w:rPr>
          <w:rFonts w:eastAsia="仿宋_GB2312" w:cs="Times New Roman"/>
          <w:sz w:val="28"/>
          <w:szCs w:val="28"/>
        </w:rPr>
        <w:t xml:space="preserve"> </w:t>
      </w:r>
      <w:r>
        <w:rPr>
          <w:rFonts w:eastAsia="仿宋_GB2312" w:cs="Times New Roman"/>
          <w:sz w:val="28"/>
          <w:szCs w:val="28"/>
        </w:rPr>
        <w:drawing>
          <wp:inline distT="0" distB="0" distL="114300" distR="114300">
            <wp:extent cx="2615565" cy="1904365"/>
            <wp:effectExtent l="0" t="0" r="13335" b="635"/>
            <wp:docPr id="39" name="图片 31" descr="D:\廊坊资料\廊坊（大城县）调研4月7日\下午-交接断面\IMG_20160407_151608.jpg"/>
            <wp:cNvGraphicFramePr/>
            <a:graphic xmlns:a="http://schemas.openxmlformats.org/drawingml/2006/main">
              <a:graphicData uri="http://schemas.openxmlformats.org/drawingml/2006/picture">
                <pic:pic xmlns:pic="http://schemas.openxmlformats.org/drawingml/2006/picture">
                  <pic:nvPicPr>
                    <pic:cNvPr id="39" name="图片 31" descr="D:\廊坊资料\廊坊（大城县）调研4月7日\下午-交接断面\IMG_20160407_151608.jpg"/>
                    <pic:cNvPicPr/>
                  </pic:nvPicPr>
                  <pic:blipFill>
                    <a:blip r:embed="rId43"/>
                    <a:stretch>
                      <a:fillRect/>
                    </a:stretch>
                  </pic:blipFill>
                  <pic:spPr>
                    <a:xfrm>
                      <a:off x="0" y="0"/>
                      <a:ext cx="2615565" cy="1904365"/>
                    </a:xfrm>
                    <a:prstGeom prst="rect">
                      <a:avLst/>
                    </a:prstGeom>
                    <a:noFill/>
                    <a:ln w="9525">
                      <a:noFill/>
                    </a:ln>
                  </pic:spPr>
                </pic:pic>
              </a:graphicData>
            </a:graphic>
          </wp:inline>
        </w:drawing>
      </w:r>
    </w:p>
    <w:p>
      <w:pPr>
        <w:autoSpaceDN w:val="0"/>
        <w:snapToGrid w:val="0"/>
        <w:spacing w:before="120" w:beforeLines="50" w:line="240" w:lineRule="auto"/>
        <w:ind w:firstLine="560"/>
        <w:jc w:val="center"/>
        <w:rPr>
          <w:rFonts w:eastAsia="仿宋_GB2312" w:cs="Times New Roman"/>
          <w:b/>
          <w:sz w:val="28"/>
          <w:szCs w:val="28"/>
        </w:rPr>
      </w:pPr>
      <w:r>
        <w:rPr>
          <w:rFonts w:eastAsia="仿宋_GB2312" w:cs="Times New Roman"/>
          <w:sz w:val="28"/>
          <w:szCs w:val="28"/>
        </w:rPr>
        <w:t>f（出境断面小河闸断面）</w:t>
      </w:r>
    </w:p>
    <w:p>
      <w:pPr>
        <w:autoSpaceDN w:val="0"/>
        <w:snapToGrid w:val="0"/>
        <w:spacing w:line="240" w:lineRule="auto"/>
        <w:ind w:firstLine="482"/>
        <w:jc w:val="center"/>
        <w:rPr>
          <w:rFonts w:eastAsia="仿宋_GB2312" w:cs="Times New Roman"/>
          <w:b/>
          <w:szCs w:val="28"/>
        </w:rPr>
      </w:pPr>
      <w:r>
        <w:rPr>
          <w:rFonts w:eastAsia="仿宋_GB2312" w:cs="Times New Roman"/>
          <w:b/>
          <w:szCs w:val="28"/>
        </w:rPr>
        <w:t>图3</w:t>
      </w:r>
      <w:r>
        <w:rPr>
          <w:rFonts w:hint="eastAsia" w:eastAsia="仿宋_GB2312" w:cs="Times New Roman"/>
          <w:sz w:val="32"/>
          <w:szCs w:val="32"/>
        </w:rPr>
        <w:t>-</w:t>
      </w:r>
      <w:r>
        <w:rPr>
          <w:rFonts w:eastAsia="仿宋_GB2312" w:cs="Times New Roman"/>
          <w:b/>
          <w:szCs w:val="28"/>
        </w:rPr>
        <w:t>2</w:t>
      </w:r>
      <w:r>
        <w:rPr>
          <w:rFonts w:hint="eastAsia" w:eastAsia="仿宋_GB2312" w:cs="Times New Roman"/>
          <w:b/>
          <w:szCs w:val="28"/>
        </w:rPr>
        <w:t>　</w:t>
      </w:r>
      <w:r>
        <w:rPr>
          <w:rFonts w:eastAsia="仿宋_GB2312" w:cs="Times New Roman"/>
          <w:b/>
          <w:szCs w:val="28"/>
        </w:rPr>
        <w:t>方案实施前2016年4月子牙河大城段典型断面</w:t>
      </w:r>
    </w:p>
    <w:p>
      <w:pPr>
        <w:autoSpaceDN w:val="0"/>
        <w:adjustRightInd w:val="0"/>
        <w:snapToGrid w:val="0"/>
        <w:spacing w:before="120" w:beforeLines="50" w:line="590" w:lineRule="exact"/>
        <w:ind w:firstLine="640"/>
        <w:rPr>
          <w:rFonts w:eastAsia="仿宋_GB2312" w:cs="Times New Roman"/>
          <w:sz w:val="32"/>
          <w:szCs w:val="32"/>
        </w:rPr>
      </w:pPr>
      <w:r>
        <w:rPr>
          <w:rFonts w:eastAsia="仿宋_GB2312" w:cs="Times New Roman"/>
          <w:sz w:val="32"/>
          <w:szCs w:val="32"/>
        </w:rPr>
        <w:t>调研中未发现直排子牙河的工业废污水排污口或生活污水排污口，也未发现河道两侧有集中化畜禽养殖场。此外，子牙河大城段河道中断续分布的坑塘水质也较好，未受到明显污染，表明子牙河水质和河道周边点源直接排放没有明显关系。</w:t>
      </w:r>
    </w:p>
    <w:p>
      <w:pPr>
        <w:pStyle w:val="3"/>
        <w:autoSpaceDN w:val="0"/>
        <w:adjustRightInd w:val="0"/>
        <w:snapToGrid w:val="0"/>
        <w:spacing w:line="590" w:lineRule="exact"/>
        <w:ind w:firstLine="643"/>
        <w:rPr>
          <w:rFonts w:eastAsia="楷体_GB2312"/>
          <w:bCs w:val="0"/>
        </w:rPr>
      </w:pPr>
      <w:bookmarkStart w:id="93" w:name="_Toc23790683"/>
      <w:r>
        <w:rPr>
          <w:rFonts w:eastAsia="楷体_GB2312"/>
          <w:bCs w:val="0"/>
        </w:rPr>
        <w:t>3.3</w:t>
      </w:r>
      <w:r>
        <w:rPr>
          <w:rFonts w:eastAsia="楷体_GB2312"/>
        </w:rPr>
        <w:t>达标方案</w:t>
      </w:r>
      <w:r>
        <w:rPr>
          <w:rFonts w:eastAsia="楷体_GB2312"/>
          <w:bCs w:val="0"/>
        </w:rPr>
        <w:t>实施后水质状况</w:t>
      </w:r>
      <w:bookmarkEnd w:id="93"/>
    </w:p>
    <w:p>
      <w:pPr>
        <w:pStyle w:val="4"/>
        <w:autoSpaceDN w:val="0"/>
        <w:adjustRightInd w:val="0"/>
        <w:snapToGrid w:val="0"/>
        <w:spacing w:line="590" w:lineRule="exact"/>
        <w:ind w:firstLine="643"/>
      </w:pPr>
      <w:bookmarkStart w:id="94" w:name="_Toc23790684"/>
      <w:r>
        <w:t>3.3.1水质监测</w:t>
      </w:r>
      <w:bookmarkEnd w:id="94"/>
    </w:p>
    <w:p>
      <w:pPr>
        <w:autoSpaceDE w:val="0"/>
        <w:autoSpaceDN w:val="0"/>
        <w:adjustRightInd w:val="0"/>
        <w:snapToGrid w:val="0"/>
        <w:spacing w:line="590" w:lineRule="exact"/>
        <w:ind w:firstLine="632"/>
        <w:rPr>
          <w:rFonts w:eastAsia="仿宋_GB2312" w:cs="Times New Roman"/>
          <w:spacing w:val="-2"/>
          <w:sz w:val="32"/>
          <w:szCs w:val="32"/>
        </w:rPr>
      </w:pPr>
      <w:r>
        <w:rPr>
          <w:rFonts w:eastAsia="仿宋_GB2312" w:cs="Times New Roman"/>
          <w:spacing w:val="-2"/>
          <w:sz w:val="32"/>
          <w:szCs w:val="32"/>
        </w:rPr>
        <w:t>2016年，子牙河大城段全年断流，未开展水质监测，无监测数据。2017年，河北省廊坊市环境监测中心联合天津市静海区监测站对子牙河出境小河闸断面进行了常规监测，监测次数为7次（1</w:t>
      </w:r>
      <w:r>
        <w:rPr>
          <w:rFonts w:hint="eastAsia" w:eastAsia="仿宋_GB2312" w:cs="Times New Roman"/>
          <w:spacing w:val="-2"/>
          <w:sz w:val="32"/>
          <w:szCs w:val="32"/>
        </w:rPr>
        <w:t>—</w:t>
      </w:r>
      <w:r>
        <w:rPr>
          <w:rFonts w:eastAsia="仿宋_GB2312" w:cs="Times New Roman"/>
          <w:spacing w:val="-2"/>
          <w:sz w:val="32"/>
          <w:szCs w:val="32"/>
        </w:rPr>
        <w:t>5月断流</w:t>
      </w:r>
      <w:r>
        <w:rPr>
          <w:rFonts w:hint="eastAsia" w:eastAsia="仿宋_GB2312" w:cs="Times New Roman"/>
          <w:spacing w:val="-2"/>
          <w:sz w:val="32"/>
          <w:szCs w:val="32"/>
        </w:rPr>
        <w:t>）</w:t>
      </w:r>
      <w:r>
        <w:rPr>
          <w:rFonts w:eastAsia="仿宋_GB2312" w:cs="Times New Roman"/>
          <w:spacing w:val="-2"/>
          <w:sz w:val="32"/>
          <w:szCs w:val="32"/>
        </w:rPr>
        <w:t>，结果显示年均值COD35mg/L、氨氮0.36mg/L、总磷0.116mg/L，全部监测指标均达到地表水</w:t>
      </w:r>
      <w:r>
        <w:rPr>
          <w:rFonts w:cs="Times New Roman"/>
          <w:spacing w:val="-2"/>
          <w:sz w:val="32"/>
          <w:szCs w:val="32"/>
        </w:rPr>
        <w:t>Ⅴ</w:t>
      </w:r>
      <w:r>
        <w:rPr>
          <w:rFonts w:eastAsia="仿宋_GB2312" w:cs="Times New Roman"/>
          <w:spacing w:val="-2"/>
          <w:sz w:val="32"/>
          <w:szCs w:val="32"/>
        </w:rPr>
        <w:t>类水体标准；2018年，对小河闸断面监测12次，结果显示年均值COD33mg/L、氨氮0.44mg/L、总磷0.07mg/L，各项指标达到地表水V类水体标准。根据2017、2018年水质监测结果，对照《目标责任书》对子牙河小河闸断面的考核要求，断面已经提前两年完成消除劣V类任务。2019年1</w:t>
      </w:r>
      <w:r>
        <w:rPr>
          <w:rFonts w:hint="eastAsia" w:eastAsia="仿宋_GB2312" w:cs="Times New Roman"/>
          <w:spacing w:val="-2"/>
          <w:sz w:val="32"/>
          <w:szCs w:val="32"/>
        </w:rPr>
        <w:t>—</w:t>
      </w:r>
      <w:r>
        <w:rPr>
          <w:rFonts w:eastAsia="仿宋_GB2312" w:cs="Times New Roman"/>
          <w:spacing w:val="-2"/>
          <w:sz w:val="32"/>
          <w:szCs w:val="32"/>
        </w:rPr>
        <w:t>8月水质也较好，1</w:t>
      </w:r>
      <w:r>
        <w:rPr>
          <w:rFonts w:hint="eastAsia" w:eastAsia="仿宋_GB2312" w:cs="Times New Roman"/>
          <w:spacing w:val="-2"/>
          <w:sz w:val="32"/>
          <w:szCs w:val="32"/>
        </w:rPr>
        <w:t>—</w:t>
      </w:r>
      <w:r>
        <w:rPr>
          <w:rFonts w:eastAsia="仿宋_GB2312" w:cs="Times New Roman"/>
          <w:spacing w:val="-2"/>
          <w:sz w:val="32"/>
          <w:szCs w:val="32"/>
        </w:rPr>
        <w:t>8月均值为</w:t>
      </w:r>
      <w:r>
        <w:rPr>
          <w:rFonts w:cs="Times New Roman"/>
          <w:spacing w:val="-2"/>
          <w:sz w:val="32"/>
          <w:szCs w:val="32"/>
        </w:rPr>
        <w:t>Ⅳ</w:t>
      </w:r>
      <w:r>
        <w:rPr>
          <w:rFonts w:eastAsia="仿宋_GB2312" w:cs="Times New Roman"/>
          <w:spacing w:val="-2"/>
          <w:sz w:val="32"/>
          <w:szCs w:val="32"/>
        </w:rPr>
        <w:t>类，除8月为劣V类外（受下游天津回水影响），其余月份水质均达到或优于V类。2017</w:t>
      </w:r>
      <w:r>
        <w:rPr>
          <w:rFonts w:hint="eastAsia" w:eastAsia="仿宋_GB2312" w:cs="Times New Roman"/>
          <w:spacing w:val="-2"/>
          <w:sz w:val="32"/>
          <w:szCs w:val="32"/>
        </w:rPr>
        <w:t>—</w:t>
      </w:r>
      <w:r>
        <w:rPr>
          <w:rFonts w:eastAsia="仿宋_GB2312" w:cs="Times New Roman"/>
          <w:spacing w:val="-2"/>
          <w:sz w:val="32"/>
          <w:szCs w:val="32"/>
        </w:rPr>
        <w:t>2019年子牙河小河闸断面水质监测及评价结果详见表3</w:t>
      </w:r>
      <w:r>
        <w:rPr>
          <w:rFonts w:hint="eastAsia" w:eastAsia="仿宋_GB2312" w:cs="Times New Roman"/>
          <w:spacing w:val="-2"/>
          <w:sz w:val="32"/>
          <w:szCs w:val="32"/>
        </w:rPr>
        <w:t>-</w:t>
      </w:r>
      <w:r>
        <w:rPr>
          <w:rFonts w:eastAsia="仿宋_GB2312" w:cs="Times New Roman"/>
          <w:spacing w:val="-2"/>
          <w:sz w:val="32"/>
          <w:szCs w:val="32"/>
        </w:rPr>
        <w:t>2。</w:t>
      </w:r>
    </w:p>
    <w:p>
      <w:pPr>
        <w:widowControl/>
        <w:spacing w:before="120" w:beforeLines="50" w:after="120" w:afterLines="50" w:line="240" w:lineRule="auto"/>
        <w:ind w:firstLine="0" w:firstLineChars="0"/>
        <w:jc w:val="center"/>
        <w:rPr>
          <w:rFonts w:eastAsia="黑体" w:cs="Times New Roman"/>
          <w:sz w:val="32"/>
          <w:szCs w:val="32"/>
        </w:rPr>
      </w:pPr>
      <w:r>
        <w:rPr>
          <w:rFonts w:eastAsia="黑体" w:cs="Times New Roman"/>
          <w:sz w:val="32"/>
          <w:szCs w:val="32"/>
        </w:rPr>
        <w:t>表3</w:t>
      </w:r>
      <w:r>
        <w:rPr>
          <w:rFonts w:hint="eastAsia" w:eastAsia="仿宋_GB2312" w:cs="Times New Roman"/>
          <w:sz w:val="32"/>
          <w:szCs w:val="32"/>
        </w:rPr>
        <w:t>-</w:t>
      </w:r>
      <w:r>
        <w:rPr>
          <w:rFonts w:eastAsia="黑体" w:cs="Times New Roman"/>
          <w:sz w:val="32"/>
          <w:szCs w:val="32"/>
        </w:rPr>
        <w:t>2  2017</w:t>
      </w:r>
      <w:r>
        <w:rPr>
          <w:rFonts w:hint="eastAsia" w:eastAsia="仿宋_GB2312" w:cs="Times New Roman"/>
          <w:sz w:val="32"/>
          <w:szCs w:val="32"/>
        </w:rPr>
        <w:t>—</w:t>
      </w:r>
      <w:r>
        <w:rPr>
          <w:rFonts w:eastAsia="黑体" w:cs="Times New Roman"/>
          <w:sz w:val="32"/>
          <w:szCs w:val="32"/>
        </w:rPr>
        <w:t>2019年小河闸断面水质监测结果</w:t>
      </w:r>
    </w:p>
    <w:tbl>
      <w:tblPr>
        <w:tblStyle w:val="10"/>
        <w:tblW w:w="880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641"/>
        <w:gridCol w:w="1042"/>
        <w:gridCol w:w="1357"/>
        <w:gridCol w:w="1059"/>
        <w:gridCol w:w="1021"/>
        <w:gridCol w:w="826"/>
        <w:gridCol w:w="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6" w:hRule="atLeast"/>
          <w:jc w:val="center"/>
        </w:trPr>
        <w:tc>
          <w:tcPr>
            <w:tcW w:w="685"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年</w:t>
            </w:r>
          </w:p>
        </w:tc>
        <w:tc>
          <w:tcPr>
            <w:tcW w:w="641"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月</w:t>
            </w:r>
          </w:p>
        </w:tc>
        <w:tc>
          <w:tcPr>
            <w:tcW w:w="1042"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CODmn（mg/L）</w:t>
            </w:r>
          </w:p>
        </w:tc>
        <w:tc>
          <w:tcPr>
            <w:tcW w:w="1357"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氨氮（mg/L）</w:t>
            </w:r>
          </w:p>
        </w:tc>
        <w:tc>
          <w:tcPr>
            <w:tcW w:w="1059"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CODcr（mg/L）</w:t>
            </w:r>
          </w:p>
        </w:tc>
        <w:tc>
          <w:tcPr>
            <w:tcW w:w="1021"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总磷（mg/L）</w:t>
            </w:r>
          </w:p>
        </w:tc>
        <w:tc>
          <w:tcPr>
            <w:tcW w:w="826"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水质类别</w:t>
            </w:r>
          </w:p>
        </w:tc>
        <w:tc>
          <w:tcPr>
            <w:tcW w:w="2176" w:type="dxa"/>
            <w:vAlign w:val="center"/>
          </w:tcPr>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超标因子</w:t>
            </w:r>
          </w:p>
          <w:p>
            <w:pPr>
              <w:autoSpaceDN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和倍数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5.35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0.359</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33</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6.85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0.387</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25</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0.08</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6.6</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0.22</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24</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6.12</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0.891</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25</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0.04</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0.59</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29</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0.51</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w:t>
            </w: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总磷（0.3）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0.03</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0.04</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0.015</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0.04</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7.1</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0.36</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29.7</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0.116</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0.225</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23.5</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11.5</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0.12</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31</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0.06</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8.9</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36</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0.06</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13.9</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0.08</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11.7</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49</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w:t>
            </w: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5"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18</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34</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w:t>
            </w: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高锰酸盐指数（0.2）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12.6</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0.64</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40</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14.8</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0.85</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30</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0.14</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0.42</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14.6</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0.36</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39</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0.09</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14.9</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0.51</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28</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0.08</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1042"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6.1</w:t>
            </w:r>
          </w:p>
        </w:tc>
        <w:tc>
          <w:tcPr>
            <w:tcW w:w="1357"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0.59</w:t>
            </w:r>
          </w:p>
        </w:tc>
        <w:tc>
          <w:tcPr>
            <w:tcW w:w="1059"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w:t>
            </w:r>
          </w:p>
        </w:tc>
        <w:tc>
          <w:tcPr>
            <w:tcW w:w="1021" w:type="dxa"/>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41"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1042"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12.3</w:t>
            </w:r>
          </w:p>
        </w:tc>
        <w:tc>
          <w:tcPr>
            <w:tcW w:w="1357"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0.44</w:t>
            </w:r>
          </w:p>
        </w:tc>
        <w:tc>
          <w:tcPr>
            <w:tcW w:w="1059"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33.1</w:t>
            </w:r>
          </w:p>
        </w:tc>
        <w:tc>
          <w:tcPr>
            <w:tcW w:w="1021"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0.073</w:t>
            </w:r>
          </w:p>
        </w:tc>
        <w:tc>
          <w:tcPr>
            <w:tcW w:w="826"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tcBorders>
              <w:bottom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7.6</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0.49</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0.01</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5.4</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0.19</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0.52</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21</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0.04</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Ⅳ</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5.7</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0.26</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Ⅲ</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10.8</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34</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9.7</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0.32</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0.16</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9.5</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cs="Times New Roman"/>
                <w:sz w:val="21"/>
                <w:szCs w:val="21"/>
              </w:rPr>
              <w:t>Ⅴ</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jc w:val="center"/>
        </w:trPr>
        <w:tc>
          <w:tcPr>
            <w:tcW w:w="685"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64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10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9.2</w:t>
            </w:r>
          </w:p>
        </w:tc>
        <w:tc>
          <w:tcPr>
            <w:tcW w:w="13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2.2</w:t>
            </w:r>
          </w:p>
        </w:tc>
        <w:tc>
          <w:tcPr>
            <w:tcW w:w="1059"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34</w:t>
            </w:r>
          </w:p>
        </w:tc>
        <w:tc>
          <w:tcPr>
            <w:tcW w:w="1021"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0.03</w:t>
            </w:r>
          </w:p>
        </w:tc>
        <w:tc>
          <w:tcPr>
            <w:tcW w:w="82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w:t>
            </w:r>
            <w:r>
              <w:rPr>
                <w:rFonts w:cs="Times New Roman"/>
                <w:sz w:val="21"/>
                <w:szCs w:val="21"/>
              </w:rPr>
              <w:t>Ⅴ</w:t>
            </w:r>
          </w:p>
        </w:tc>
        <w:tc>
          <w:tcPr>
            <w:tcW w:w="2176"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氨氮（0.1）</w:t>
            </w:r>
          </w:p>
        </w:tc>
      </w:tr>
    </w:tbl>
    <w:p>
      <w:pPr>
        <w:pStyle w:val="4"/>
        <w:spacing w:line="540" w:lineRule="exact"/>
        <w:ind w:firstLine="643"/>
      </w:pPr>
      <w:bookmarkStart w:id="95" w:name="_Toc23790685"/>
      <w:r>
        <w:t>3.3.2实地调查踏勘</w:t>
      </w:r>
      <w:bookmarkEnd w:id="95"/>
    </w:p>
    <w:p>
      <w:pPr>
        <w:autoSpaceDE w:val="0"/>
        <w:autoSpaceDN w:val="0"/>
        <w:adjustRightInd w:val="0"/>
        <w:spacing w:line="540" w:lineRule="exact"/>
        <w:ind w:firstLine="616"/>
        <w:rPr>
          <w:rFonts w:eastAsia="仿宋_GB2312" w:cs="Times New Roman"/>
          <w:spacing w:val="-6"/>
          <w:sz w:val="32"/>
          <w:szCs w:val="32"/>
        </w:rPr>
      </w:pPr>
      <w:r>
        <w:rPr>
          <w:rFonts w:eastAsia="仿宋_GB2312" w:cs="Times New Roman"/>
          <w:spacing w:val="-6"/>
          <w:sz w:val="32"/>
          <w:szCs w:val="32"/>
        </w:rPr>
        <w:t>2019年5月间，对子牙河沿程实地踏勘发现，现状子牙河大城县入境断面董家房子村断面因地势较高，加之2018年补水过程后上游沧州市河间县境内一直未开闸放水，河道已经干涸；臧屯乡以下至群英闸断面全程有水，水质较好，河道长满芦苇，水生态状况较佳；因群英闸常年封闭不放水，群英闸以下至出境断面小河闸断面为下游天津市静海县倒灌水，水质较上游群英闸上明显变差。</w:t>
      </w:r>
    </w:p>
    <w:p>
      <w:pPr>
        <w:autoSpaceDE w:val="0"/>
        <w:autoSpaceDN w:val="0"/>
        <w:adjustRightInd w:val="0"/>
        <w:spacing w:line="540" w:lineRule="exact"/>
        <w:ind w:firstLine="640"/>
        <w:rPr>
          <w:rFonts w:eastAsia="仿宋_GB2312" w:cs="Times New Roman"/>
          <w:sz w:val="32"/>
          <w:szCs w:val="32"/>
        </w:rPr>
      </w:pPr>
      <w:r>
        <w:rPr>
          <w:rFonts w:eastAsia="仿宋_GB2312" w:cs="Times New Roman"/>
          <w:sz w:val="32"/>
          <w:szCs w:val="32"/>
        </w:rPr>
        <w:t>子牙河支流白马河河道内水质为劣V类，但不黑不臭，河道内长满芦苇，水生态尚可；下游南赵扶扬水站附近河道受截污不彻底、垃圾未清理等原因影响，水质较差。</w:t>
      </w:r>
    </w:p>
    <w:p>
      <w:pPr>
        <w:autoSpaceDE w:val="0"/>
        <w:autoSpaceDN w:val="0"/>
        <w:adjustRightInd w:val="0"/>
        <w:spacing w:after="168" w:afterLines="70" w:line="540" w:lineRule="exact"/>
        <w:ind w:firstLine="640"/>
        <w:rPr>
          <w:rFonts w:eastAsia="仿宋_GB2312" w:cs="Times New Roman"/>
          <w:sz w:val="32"/>
          <w:szCs w:val="32"/>
        </w:rPr>
      </w:pPr>
      <w:r>
        <w:rPr>
          <w:rFonts w:eastAsia="仿宋_GB2312" w:cs="Times New Roman"/>
          <w:sz w:val="32"/>
          <w:szCs w:val="32"/>
        </w:rPr>
        <w:t>现状廊坊市子牙河段沿程典型断面情况如图3</w:t>
      </w:r>
      <w:r>
        <w:rPr>
          <w:rFonts w:hint="eastAsia" w:eastAsia="仿宋_GB2312" w:cs="Times New Roman"/>
          <w:sz w:val="32"/>
          <w:szCs w:val="32"/>
        </w:rPr>
        <w:t>-</w:t>
      </w:r>
      <w:r>
        <w:rPr>
          <w:rFonts w:eastAsia="仿宋_GB2312" w:cs="Times New Roman"/>
          <w:sz w:val="32"/>
          <w:szCs w:val="32"/>
        </w:rPr>
        <w:t>3所示。</w:t>
      </w:r>
    </w:p>
    <w:p>
      <w:pPr>
        <w:autoSpaceDE w:val="0"/>
        <w:autoSpaceDN w:val="0"/>
        <w:adjustRightInd w:val="0"/>
        <w:snapToGrid w:val="0"/>
        <w:ind w:firstLine="0" w:firstLineChars="0"/>
        <w:jc w:val="center"/>
        <w:rPr>
          <w:rFonts w:eastAsia="仿宋_GB2312" w:cs="Times New Roman"/>
          <w:sz w:val="28"/>
          <w:szCs w:val="28"/>
        </w:rPr>
      </w:pPr>
      <w:r>
        <w:rPr>
          <w:rFonts w:eastAsia="仿宋_GB2312" w:cs="Times New Roman"/>
          <w:sz w:val="28"/>
          <w:szCs w:val="28"/>
        </w:rPr>
        <w:drawing>
          <wp:inline distT="0" distB="0" distL="114300" distR="114300">
            <wp:extent cx="2548255" cy="1723390"/>
            <wp:effectExtent l="0" t="0" r="4445" b="10160"/>
            <wp:docPr id="40" name="图片 32" descr="http://image.foooooot.com/75fa50a5be38ea05a23c8396c36a1291-.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2" descr="http://image.foooooot.com/75fa50a5be38ea05a23c8396c36a1291-.gallery"/>
                    <pic:cNvPicPr>
                      <a:picLocks noChangeAspect="1"/>
                    </pic:cNvPicPr>
                  </pic:nvPicPr>
                  <pic:blipFill>
                    <a:blip r:embed="rId44"/>
                    <a:stretch>
                      <a:fillRect/>
                    </a:stretch>
                  </pic:blipFill>
                  <pic:spPr>
                    <a:xfrm>
                      <a:off x="0" y="0"/>
                      <a:ext cx="2548255" cy="1723390"/>
                    </a:xfrm>
                    <a:prstGeom prst="rect">
                      <a:avLst/>
                    </a:prstGeom>
                    <a:noFill/>
                    <a:ln w="9525">
                      <a:noFill/>
                    </a:ln>
                  </pic:spPr>
                </pic:pic>
              </a:graphicData>
            </a:graphic>
          </wp:inline>
        </w:drawing>
      </w:r>
      <w:r>
        <w:rPr>
          <w:rFonts w:eastAsia="仿宋_GB2312" w:cs="Times New Roman"/>
          <w:sz w:val="28"/>
          <w:szCs w:val="28"/>
        </w:rPr>
        <w:t xml:space="preserve"> </w:t>
      </w:r>
      <w:r>
        <w:rPr>
          <w:rFonts w:eastAsia="仿宋_GB2312" w:cs="Times New Roman"/>
          <w:sz w:val="28"/>
          <w:szCs w:val="28"/>
        </w:rPr>
        <w:drawing>
          <wp:inline distT="0" distB="0" distL="114300" distR="114300">
            <wp:extent cx="2334260" cy="1694180"/>
            <wp:effectExtent l="0" t="0" r="8890" b="1270"/>
            <wp:docPr id="41" name="图片 33" descr="http://image.foooooot.com/e9e92a6394ad0804289c857d08ec0d49-.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3" descr="http://image.foooooot.com/e9e92a6394ad0804289c857d08ec0d49-.gallery"/>
                    <pic:cNvPicPr>
                      <a:picLocks noChangeAspect="1"/>
                    </pic:cNvPicPr>
                  </pic:nvPicPr>
                  <pic:blipFill>
                    <a:blip r:embed="rId45"/>
                    <a:stretch>
                      <a:fillRect/>
                    </a:stretch>
                  </pic:blipFill>
                  <pic:spPr>
                    <a:xfrm>
                      <a:off x="0" y="0"/>
                      <a:ext cx="2334260" cy="1694180"/>
                    </a:xfrm>
                    <a:prstGeom prst="rect">
                      <a:avLst/>
                    </a:prstGeom>
                    <a:noFill/>
                    <a:ln w="9525">
                      <a:noFill/>
                    </a:ln>
                  </pic:spPr>
                </pic:pic>
              </a:graphicData>
            </a:graphic>
          </wp:inline>
        </w:drawing>
      </w:r>
    </w:p>
    <w:p>
      <w:pPr>
        <w:autoSpaceDN w:val="0"/>
        <w:snapToGrid w:val="0"/>
        <w:spacing w:after="120" w:afterLines="50" w:line="240" w:lineRule="auto"/>
        <w:ind w:firstLine="0" w:firstLineChars="0"/>
        <w:jc w:val="center"/>
        <w:rPr>
          <w:rFonts w:eastAsia="仿宋_GB2312" w:cs="Times New Roman"/>
          <w:sz w:val="28"/>
          <w:szCs w:val="28"/>
        </w:rPr>
      </w:pPr>
      <w:r>
        <w:rPr>
          <w:rFonts w:eastAsia="仿宋_GB2312" w:cs="Times New Roman"/>
          <w:sz w:val="28"/>
          <w:szCs w:val="28"/>
        </w:rPr>
        <w:t>a（入境断面小王庄断面）             b（群英闸断面）</w:t>
      </w:r>
    </w:p>
    <w:p>
      <w:pPr>
        <w:autoSpaceDE w:val="0"/>
        <w:autoSpaceDN w:val="0"/>
        <w:adjustRightInd w:val="0"/>
        <w:snapToGrid w:val="0"/>
        <w:ind w:firstLine="0" w:firstLineChars="0"/>
        <w:jc w:val="center"/>
        <w:rPr>
          <w:rFonts w:eastAsia="仿宋_GB2312" w:cs="Times New Roman"/>
          <w:sz w:val="28"/>
          <w:szCs w:val="28"/>
        </w:rPr>
      </w:pPr>
      <w:r>
        <w:rPr>
          <w:rFonts w:eastAsia="仿宋_GB2312" w:cs="Times New Roman"/>
          <w:sz w:val="28"/>
          <w:szCs w:val="28"/>
        </w:rPr>
        <w:drawing>
          <wp:inline distT="0" distB="0" distL="114300" distR="114300">
            <wp:extent cx="2463165" cy="1755775"/>
            <wp:effectExtent l="0" t="0" r="13335" b="15875"/>
            <wp:docPr id="42" name="图片 34" descr="http://image.foooooot.com/6f035dd1b012d968d3a9c8da9dc0324b-.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4" descr="http://image.foooooot.com/6f035dd1b012d968d3a9c8da9dc0324b-.gallery"/>
                    <pic:cNvPicPr>
                      <a:picLocks noChangeAspect="1"/>
                    </pic:cNvPicPr>
                  </pic:nvPicPr>
                  <pic:blipFill>
                    <a:blip r:embed="rId46"/>
                    <a:stretch>
                      <a:fillRect/>
                    </a:stretch>
                  </pic:blipFill>
                  <pic:spPr>
                    <a:xfrm>
                      <a:off x="0" y="0"/>
                      <a:ext cx="2463165" cy="1755775"/>
                    </a:xfrm>
                    <a:prstGeom prst="rect">
                      <a:avLst/>
                    </a:prstGeom>
                    <a:noFill/>
                    <a:ln w="9525">
                      <a:noFill/>
                    </a:ln>
                  </pic:spPr>
                </pic:pic>
              </a:graphicData>
            </a:graphic>
          </wp:inline>
        </w:drawing>
      </w:r>
      <w:r>
        <w:rPr>
          <w:rFonts w:eastAsia="仿宋_GB2312" w:cs="Times New Roman"/>
          <w:sz w:val="28"/>
          <w:szCs w:val="28"/>
        </w:rPr>
        <w:t xml:space="preserve"> </w:t>
      </w:r>
      <w:r>
        <w:rPr>
          <w:rFonts w:eastAsia="仿宋_GB2312" w:cs="Times New Roman"/>
          <w:sz w:val="28"/>
          <w:szCs w:val="28"/>
        </w:rPr>
        <w:drawing>
          <wp:inline distT="0" distB="0" distL="114300" distR="114300">
            <wp:extent cx="2269490" cy="1728470"/>
            <wp:effectExtent l="0" t="0" r="16510" b="5080"/>
            <wp:docPr id="43" name="图片 35" descr="http://image.foooooot.com/28efe5ea464352642232b6b15971c758-.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5" descr="http://image.foooooot.com/28efe5ea464352642232b6b15971c758-.gallery"/>
                    <pic:cNvPicPr>
                      <a:picLocks noChangeAspect="1"/>
                    </pic:cNvPicPr>
                  </pic:nvPicPr>
                  <pic:blipFill>
                    <a:blip r:embed="rId47"/>
                    <a:stretch>
                      <a:fillRect/>
                    </a:stretch>
                  </pic:blipFill>
                  <pic:spPr>
                    <a:xfrm>
                      <a:off x="0" y="0"/>
                      <a:ext cx="2269490" cy="1728470"/>
                    </a:xfrm>
                    <a:prstGeom prst="rect">
                      <a:avLst/>
                    </a:prstGeom>
                    <a:noFill/>
                    <a:ln w="9525">
                      <a:noFill/>
                    </a:ln>
                  </pic:spPr>
                </pic:pic>
              </a:graphicData>
            </a:graphic>
          </wp:inline>
        </w:drawing>
      </w:r>
    </w:p>
    <w:p>
      <w:pPr>
        <w:autoSpaceDE w:val="0"/>
        <w:autoSpaceDN w:val="0"/>
        <w:adjustRightInd w:val="0"/>
        <w:snapToGrid w:val="0"/>
        <w:spacing w:after="120" w:afterLines="50" w:line="240" w:lineRule="auto"/>
        <w:ind w:firstLine="0" w:firstLineChars="0"/>
        <w:jc w:val="center"/>
        <w:rPr>
          <w:rFonts w:eastAsia="仿宋_GB2312" w:cs="Times New Roman"/>
          <w:sz w:val="28"/>
          <w:szCs w:val="28"/>
        </w:rPr>
      </w:pPr>
      <w:r>
        <w:rPr>
          <w:rFonts w:eastAsia="仿宋_GB2312" w:cs="Times New Roman"/>
          <w:sz w:val="28"/>
          <w:szCs w:val="28"/>
        </w:rPr>
        <w:t xml:space="preserve">c（杨家口排干渠）       </w:t>
      </w:r>
      <w:r>
        <w:rPr>
          <w:rFonts w:hint="eastAsia" w:eastAsia="仿宋_GB2312" w:cs="Times New Roman"/>
          <w:sz w:val="28"/>
          <w:szCs w:val="28"/>
        </w:rPr>
        <w:t xml:space="preserve">     </w:t>
      </w:r>
      <w:r>
        <w:rPr>
          <w:rFonts w:eastAsia="仿宋_GB2312" w:cs="Times New Roman"/>
          <w:sz w:val="28"/>
          <w:szCs w:val="28"/>
        </w:rPr>
        <w:t xml:space="preserve">  d（小河闸断面）</w:t>
      </w:r>
    </w:p>
    <w:p>
      <w:pPr>
        <w:autoSpaceDN w:val="0"/>
        <w:snapToGrid w:val="0"/>
        <w:spacing w:before="72" w:beforeLines="30" w:line="240" w:lineRule="auto"/>
        <w:ind w:firstLine="0" w:firstLineChars="0"/>
        <w:jc w:val="center"/>
        <w:rPr>
          <w:rFonts w:eastAsia="仿宋_GB2312" w:cs="Times New Roman"/>
          <w:b/>
          <w:szCs w:val="24"/>
        </w:rPr>
      </w:pPr>
      <w:r>
        <w:rPr>
          <w:rFonts w:eastAsia="仿宋_GB2312" w:cs="Times New Roman"/>
          <w:b/>
          <w:szCs w:val="24"/>
        </w:rPr>
        <w:t>图3</w:t>
      </w:r>
      <w:r>
        <w:rPr>
          <w:rFonts w:hint="eastAsia" w:eastAsia="仿宋_GB2312" w:cs="Times New Roman"/>
          <w:szCs w:val="24"/>
        </w:rPr>
        <w:t>-</w:t>
      </w:r>
      <w:r>
        <w:rPr>
          <w:rFonts w:eastAsia="仿宋_GB2312" w:cs="Times New Roman"/>
          <w:b/>
          <w:szCs w:val="24"/>
        </w:rPr>
        <w:t>3</w:t>
      </w:r>
      <w:r>
        <w:rPr>
          <w:rFonts w:hint="eastAsia" w:eastAsia="仿宋_GB2312" w:cs="Times New Roman"/>
          <w:b/>
          <w:szCs w:val="24"/>
        </w:rPr>
        <w:t>　</w:t>
      </w:r>
      <w:r>
        <w:rPr>
          <w:rFonts w:eastAsia="仿宋_GB2312" w:cs="Times New Roman"/>
          <w:b/>
          <w:szCs w:val="24"/>
        </w:rPr>
        <w:t>方案实施后2019年5月子牙河大城段典型断面</w:t>
      </w:r>
    </w:p>
    <w:p>
      <w:pPr>
        <w:pStyle w:val="2"/>
        <w:adjustRightInd w:val="0"/>
        <w:snapToGrid w:val="0"/>
        <w:spacing w:line="600" w:lineRule="exact"/>
        <w:ind w:firstLine="640"/>
        <w:jc w:val="both"/>
      </w:pPr>
      <w:bookmarkStart w:id="96" w:name="_Toc23790686"/>
      <w:r>
        <w:t>四、污染源状况</w:t>
      </w:r>
      <w:bookmarkEnd w:id="96"/>
    </w:p>
    <w:p>
      <w:pPr>
        <w:pStyle w:val="3"/>
        <w:spacing w:line="600" w:lineRule="exact"/>
        <w:ind w:firstLine="643"/>
        <w:rPr>
          <w:rFonts w:eastAsia="楷体_GB2312"/>
        </w:rPr>
      </w:pPr>
      <w:bookmarkStart w:id="97" w:name="_Toc454455861"/>
      <w:bookmarkStart w:id="98" w:name="_Toc460430331"/>
      <w:bookmarkStart w:id="99" w:name="_Toc458373082"/>
      <w:bookmarkStart w:id="100" w:name="_Toc23790687"/>
      <w:r>
        <w:rPr>
          <w:rFonts w:eastAsia="楷体_GB2312"/>
        </w:rPr>
        <w:t>4.1面源</w:t>
      </w:r>
      <w:bookmarkEnd w:id="97"/>
      <w:bookmarkEnd w:id="98"/>
      <w:bookmarkEnd w:id="99"/>
      <w:r>
        <w:rPr>
          <w:rFonts w:eastAsia="楷体_GB2312"/>
        </w:rPr>
        <w:t>污染</w:t>
      </w:r>
      <w:bookmarkEnd w:id="100"/>
    </w:p>
    <w:p>
      <w:pPr>
        <w:pStyle w:val="4"/>
        <w:adjustRightInd w:val="0"/>
        <w:snapToGrid w:val="0"/>
        <w:spacing w:line="600" w:lineRule="exact"/>
        <w:ind w:firstLine="643"/>
      </w:pPr>
      <w:bookmarkStart w:id="101" w:name="_Toc23790688"/>
      <w:r>
        <w:t>4.1.1农村生活面源</w:t>
      </w:r>
      <w:bookmarkEnd w:id="101"/>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2016年4月，对子牙河沿程调研发现，子牙河干流周边的农村垃圾问题已经成为影响子牙河水环境的最主要污染负荷来源。子牙河周边农村普遍未设置垃圾池、垃圾桶，尚未实现生活垃圾统一收集、转运和处置，尤其是垃圾填埋场处理能力不能满足日益增长的农村垃圾处理需求，大量的垃圾随意丢弃在田间地头，甚至直接堆放在子牙河河床上，成为影响河道汛期水质的重要污染源。</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2019年5月，对子牙河沿程实地调研发现，大城县政府通过全县域整体购买服务，全县村庄及周边、城乡结合部等已经全部纳入保洁公司服务范围之内。全县农户设置垃圾池、垃圾桶，村庄安排保洁员，并统一设置垃圾收集点或大型收集箱，乡镇配备密闭垃圾收运车和转运站，县城建设垃圾填埋场，“户分类、村收集、乡镇转运、县集中处理”的城乡一体化垃圾处理模式基本建成。现状子牙河大堤和河道内已无生活垃圾或建筑垃圾堆存。</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两次调研发现子牙河大城县段留各庄镇东留各庄村、臧屯乡毕道口村、南赵扶镇白洋桥村、张庄村等4个在子牙河大堤防以内村庄尚未搬迁，居民产生的农村生活污水、分散畜禽养殖废水等直接排入子牙河问题尚未解决。</w:t>
      </w:r>
    </w:p>
    <w:p>
      <w:pPr>
        <w:pStyle w:val="4"/>
        <w:spacing w:line="600" w:lineRule="exact"/>
        <w:ind w:firstLine="643"/>
      </w:pPr>
      <w:bookmarkStart w:id="102" w:name="_Toc23790689"/>
      <w:r>
        <w:t>4.1.2种植业面源</w:t>
      </w:r>
      <w:bookmarkEnd w:id="102"/>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现状大城县有耕地面积54482.52公顷，园林地7119.92公顷，基本上为旱地“望天田”，无地表水灌溉水源。因地下水水位不断下降，流域已禁采地下水进行农业灌溉。近年来已不再种植春小麦等高耗水作物，基本无灌溉退水，种植业面源污染负荷产生量较小。同时，受子牙河两侧大堤阻隔，流域内雨季地表径流无法直接进入河道，因此种植业面源对子牙河污染不大。</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2016年4月和2019年5月间，对子牙河沿程调研发现，因子牙河长期断流，部分区域有群众在河道上进行垦荒耕种等农业生产活动，水土流失、种植业农药化肥施用产生的面源污染将对子牙河水质造成一定影响。</w:t>
      </w:r>
    </w:p>
    <w:p>
      <w:pPr>
        <w:pStyle w:val="3"/>
        <w:spacing w:line="600" w:lineRule="exact"/>
        <w:ind w:firstLine="643"/>
        <w:rPr>
          <w:rFonts w:eastAsia="楷体_GB2312"/>
        </w:rPr>
      </w:pPr>
      <w:bookmarkStart w:id="103" w:name="_Toc458373083"/>
      <w:bookmarkStart w:id="104" w:name="_Toc454455862"/>
      <w:bookmarkStart w:id="105" w:name="_Toc460430332"/>
      <w:bookmarkStart w:id="106" w:name="_Toc23790690"/>
      <w:r>
        <w:rPr>
          <w:rFonts w:eastAsia="楷体_GB2312"/>
        </w:rPr>
        <w:t>4.2点源</w:t>
      </w:r>
      <w:bookmarkEnd w:id="103"/>
      <w:bookmarkEnd w:id="104"/>
      <w:bookmarkEnd w:id="105"/>
      <w:r>
        <w:rPr>
          <w:rFonts w:eastAsia="楷体_GB2312"/>
        </w:rPr>
        <w:t>污染</w:t>
      </w:r>
      <w:bookmarkEnd w:id="106"/>
    </w:p>
    <w:p>
      <w:pPr>
        <w:pStyle w:val="4"/>
        <w:spacing w:line="600" w:lineRule="exact"/>
        <w:ind w:firstLine="643"/>
      </w:pPr>
      <w:bookmarkStart w:id="107" w:name="_Toc23790691"/>
      <w:r>
        <w:t>4.2.1城镇生活源</w:t>
      </w:r>
      <w:bookmarkEnd w:id="107"/>
    </w:p>
    <w:p>
      <w:pPr>
        <w:autoSpaceDN w:val="0"/>
        <w:adjustRightInd w:val="0"/>
        <w:snapToGrid w:val="0"/>
        <w:spacing w:line="600" w:lineRule="exact"/>
        <w:ind w:firstLine="624"/>
        <w:rPr>
          <w:rFonts w:eastAsia="仿宋_GB2312" w:cs="Times New Roman"/>
          <w:spacing w:val="-4"/>
          <w:sz w:val="32"/>
          <w:szCs w:val="32"/>
        </w:rPr>
      </w:pPr>
      <w:r>
        <w:rPr>
          <w:rFonts w:eastAsia="仿宋_GB2312" w:cs="Times New Roman"/>
          <w:spacing w:val="-4"/>
          <w:sz w:val="32"/>
          <w:szCs w:val="32"/>
        </w:rPr>
        <w:t>2016年以前，流域内仅有大城县城建环保污水处理有限公司（大城县城东污水处理厂一期）一家城镇生活污水处理厂，污水处理厂服务面积约10.8平方公里，服务人口约10万人，设计处理能力2万</w:t>
      </w:r>
      <w:r>
        <w:rPr>
          <w:rFonts w:hint="eastAsia" w:eastAsia="仿宋_GB2312" w:cs="Times New Roman"/>
          <w:spacing w:val="-4"/>
          <w:sz w:val="32"/>
          <w:szCs w:val="32"/>
        </w:rPr>
        <w:t>吨/日</w:t>
      </w:r>
      <w:r>
        <w:rPr>
          <w:rFonts w:eastAsia="仿宋_GB2312" w:cs="Times New Roman"/>
          <w:spacing w:val="-4"/>
          <w:sz w:val="32"/>
          <w:szCs w:val="32"/>
        </w:rPr>
        <w:t>，实际处理量约为1.6万</w:t>
      </w:r>
      <w:r>
        <w:rPr>
          <w:rFonts w:hint="eastAsia" w:eastAsia="仿宋_GB2312" w:cs="Times New Roman"/>
          <w:spacing w:val="-4"/>
          <w:sz w:val="32"/>
          <w:szCs w:val="32"/>
        </w:rPr>
        <w:t>吨/日</w:t>
      </w:r>
      <w:r>
        <w:rPr>
          <w:rFonts w:eastAsia="仿宋_GB2312" w:cs="Times New Roman"/>
          <w:spacing w:val="-4"/>
          <w:sz w:val="32"/>
          <w:szCs w:val="32"/>
        </w:rPr>
        <w:t>，设计排放标准为一级B，污水处理厂尾水排入城区南赵扶排干渠（白马河）作为景观用水。</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根据达标方案要求，大城县城东污水处理厂一期项目进一步提升改造后，污水经预处理、生化处理和深度处理后，出水可稳定达到《城镇污水处理厂污染物排放标准》（GB18918</w:t>
      </w:r>
      <w:r>
        <w:rPr>
          <w:rFonts w:hint="eastAsia" w:eastAsia="仿宋_GB2312" w:cs="Times New Roman"/>
          <w:sz w:val="32"/>
          <w:szCs w:val="32"/>
        </w:rPr>
        <w:t>—</w:t>
      </w:r>
      <w:r>
        <w:rPr>
          <w:rFonts w:eastAsia="仿宋_GB2312" w:cs="Times New Roman"/>
          <w:sz w:val="32"/>
          <w:szCs w:val="32"/>
        </w:rPr>
        <w:t>2002）一级A排放标准</w:t>
      </w:r>
      <w:r>
        <w:rPr>
          <w:rFonts w:eastAsia="仿宋_GB2312" w:cs="Times New Roman"/>
          <w:spacing w:val="-6"/>
          <w:sz w:val="32"/>
          <w:szCs w:val="32"/>
        </w:rPr>
        <w:t>。</w:t>
      </w:r>
      <w:r>
        <w:rPr>
          <w:rFonts w:eastAsia="仿宋_GB2312" w:cs="Times New Roman"/>
          <w:sz w:val="32"/>
          <w:szCs w:val="32"/>
        </w:rPr>
        <w:t>2017年，大城县城东污水处理厂一期项目实际处理量约为1.8万吨/</w:t>
      </w:r>
      <w:r>
        <w:rPr>
          <w:rFonts w:hint="eastAsia" w:eastAsia="仿宋_GB2312" w:cs="Times New Roman"/>
          <w:sz w:val="32"/>
          <w:szCs w:val="32"/>
        </w:rPr>
        <w:t>日</w:t>
      </w:r>
      <w:r>
        <w:rPr>
          <w:rFonts w:eastAsia="仿宋_GB2312" w:cs="Times New Roman"/>
          <w:sz w:val="32"/>
          <w:szCs w:val="32"/>
        </w:rPr>
        <w:t>，接近满负荷运行，污水处理厂化学需氧量进口浓度314.5mg/L，出口浓度12.4mg/L，核算化学需氧量负荷去除量1964.5吨/年，排放量87.1吨/年；氨氮进口浓度40.3mg/L</w:t>
      </w:r>
      <w:r>
        <w:rPr>
          <w:rFonts w:hint="eastAsia" w:eastAsia="仿宋_GB2312" w:cs="Times New Roman"/>
          <w:sz w:val="32"/>
          <w:szCs w:val="32"/>
        </w:rPr>
        <w:t>，</w:t>
      </w:r>
      <w:r>
        <w:rPr>
          <w:rFonts w:eastAsia="仿宋_GB2312" w:cs="Times New Roman"/>
          <w:sz w:val="32"/>
          <w:szCs w:val="32"/>
        </w:rPr>
        <w:t>出口浓度0.69mg/L，核算氨氮负荷去除量258.4吨/年，排放量4.5吨/年；总磷进口浓度5.62mg/L，出口浓度0.26mg/L，核算总磷负荷去除量3.5吨/年，排放量1.7吨/年。</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考虑到大城县城东污水处理厂一期项目已经接近满负荷运行，2017年7月</w:t>
      </w:r>
      <w:r>
        <w:rPr>
          <w:rFonts w:hint="eastAsia" w:eastAsia="仿宋_GB2312" w:cs="Times New Roman"/>
          <w:sz w:val="32"/>
          <w:szCs w:val="32"/>
        </w:rPr>
        <w:t>—</w:t>
      </w:r>
      <w:r>
        <w:rPr>
          <w:rFonts w:eastAsia="仿宋_GB2312" w:cs="Times New Roman"/>
          <w:sz w:val="32"/>
          <w:szCs w:val="32"/>
        </w:rPr>
        <w:t>2018年8月间，大城县进一步实施了大城县污水处理厂二期项目。该项目位于大城县城东2公里津保路污水处理厂一期北侧，规模为2万吨/</w:t>
      </w:r>
      <w:r>
        <w:rPr>
          <w:rFonts w:hint="eastAsia" w:eastAsia="仿宋_GB2312" w:cs="Times New Roman"/>
          <w:sz w:val="32"/>
          <w:szCs w:val="32"/>
        </w:rPr>
        <w:t>日</w:t>
      </w:r>
      <w:r>
        <w:rPr>
          <w:rFonts w:eastAsia="仿宋_GB2312" w:cs="Times New Roman"/>
          <w:sz w:val="32"/>
          <w:szCs w:val="32"/>
        </w:rPr>
        <w:t>，总投资约5275.59万元，出水执行《城镇污水处理厂污染物排放标准》（GB18918</w:t>
      </w:r>
      <w:r>
        <w:rPr>
          <w:rFonts w:hint="eastAsia" w:eastAsia="仿宋_GB2312" w:cs="Times New Roman"/>
          <w:sz w:val="32"/>
          <w:szCs w:val="32"/>
        </w:rPr>
        <w:t>—</w:t>
      </w:r>
      <w:r>
        <w:rPr>
          <w:rFonts w:eastAsia="仿宋_GB2312" w:cs="Times New Roman"/>
          <w:sz w:val="32"/>
          <w:szCs w:val="32"/>
        </w:rPr>
        <w:t xml:space="preserve">2002）一级A排放标准。项目已经于2019年3月8日完成环保验收，目前正在进行规划和消防验收工作。 </w:t>
      </w:r>
    </w:p>
    <w:p>
      <w:pPr>
        <w:autoSpaceDN w:val="0"/>
        <w:adjustRightInd w:val="0"/>
        <w:snapToGrid w:val="0"/>
        <w:spacing w:line="600" w:lineRule="exact"/>
        <w:ind w:firstLine="640"/>
        <w:rPr>
          <w:rFonts w:eastAsia="仿宋_GB2312" w:cs="Times New Roman"/>
          <w:spacing w:val="-6"/>
          <w:sz w:val="32"/>
          <w:szCs w:val="32"/>
        </w:rPr>
      </w:pPr>
      <w:r>
        <w:rPr>
          <w:rFonts w:eastAsia="仿宋_GB2312" w:cs="Times New Roman"/>
          <w:sz w:val="32"/>
          <w:szCs w:val="32"/>
        </w:rPr>
        <w:t>通过污水处理厂一、二期建设，大城县污水处理厂处理能力基本能够满足县城生活污水的处理。</w:t>
      </w:r>
    </w:p>
    <w:p>
      <w:pPr>
        <w:autoSpaceDN w:val="0"/>
        <w:adjustRightInd w:val="0"/>
        <w:snapToGrid w:val="0"/>
        <w:spacing w:line="600" w:lineRule="exact"/>
        <w:ind w:firstLine="624"/>
        <w:rPr>
          <w:rFonts w:eastAsia="仿宋_GB2312" w:cs="Times New Roman"/>
          <w:spacing w:val="-4"/>
          <w:sz w:val="32"/>
          <w:szCs w:val="32"/>
        </w:rPr>
      </w:pPr>
      <w:r>
        <w:rPr>
          <w:rFonts w:eastAsia="仿宋_GB2312" w:cs="Times New Roman"/>
          <w:spacing w:val="-4"/>
          <w:sz w:val="32"/>
          <w:szCs w:val="32"/>
        </w:rPr>
        <w:t>由于大城县城区污水改造建设较为滞后，现状大城县城区依然以雨污合流制为主，仅在北环路、西环路、南环路、新兴北路、红木城道路、上上家园道路、廊泊路（车站</w:t>
      </w:r>
      <w:r>
        <w:rPr>
          <w:rFonts w:hint="eastAsia" w:eastAsia="仿宋_GB2312" w:cs="Times New Roman"/>
          <w:sz w:val="32"/>
          <w:szCs w:val="32"/>
        </w:rPr>
        <w:t>—</w:t>
      </w:r>
      <w:r>
        <w:rPr>
          <w:rFonts w:eastAsia="仿宋_GB2312" w:cs="Times New Roman"/>
          <w:spacing w:val="-4"/>
          <w:sz w:val="32"/>
          <w:szCs w:val="32"/>
        </w:rPr>
        <w:t>北环）实现了雨污分流。截止到2018年底，城区排水管道总长度为61.668公里，其中污水管道总长度13.441公里，雨水管道总长度18.978公里，雨污合流管道总长度29.249公里。2019年5月间，对白马河沿程调研过程发现，白马河周边截污工程完成不彻底，部分地区生活废水污水未能进入污水处理厂，直排进入白马河，环境问题较为突出。</w:t>
      </w:r>
    </w:p>
    <w:p>
      <w:pPr>
        <w:pStyle w:val="4"/>
        <w:spacing w:line="600" w:lineRule="exact"/>
        <w:ind w:firstLine="643"/>
      </w:pPr>
      <w:bookmarkStart w:id="108" w:name="_Toc23790692"/>
      <w:r>
        <w:t>4.2.2工业源</w:t>
      </w:r>
      <w:bookmarkEnd w:id="108"/>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子牙河干流两侧无大型工业企业分布。2016年4月和2019年5月，子牙河干流沿程调研均未发现有直接排入子牙河的工业废污水排放口。</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从子牙河流域来看，流域内大城县非公有制经济发达，特色突出。历经多年的积累和发展，已经形成了以大城工业园区和特色产业集聚区为载体的绝热节能材料、有色金属加工贸易、化工、摩汽配件、食品、古典家具等特色行业，产业类型以排放大气污染物和固体废弃物为主，涉水行业不多。</w:t>
      </w:r>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根据廊坊市环境统计数据，方案实施前的2015年，大城县有规模以上主要工业企业78家，其中涉水企业13家，工业源COD排放量61.8吨/年，氨氮排放量1.9吨/年；方案实施后2017年，大城县有规模以上主要工业企业62家，其中涉水企业仅有5家，工业废水排放量19.1万吨/年，工业废水处理量19.2万吨/年，工业源COD排放量43.1吨/年，氨氮排放量5.4吨/年。</w:t>
      </w:r>
    </w:p>
    <w:p>
      <w:pPr>
        <w:autoSpaceDN w:val="0"/>
        <w:snapToGrid w:val="0"/>
        <w:spacing w:before="120" w:beforeLines="50" w:after="120" w:afterLines="50" w:line="240" w:lineRule="auto"/>
        <w:ind w:firstLine="0" w:firstLineChars="0"/>
        <w:jc w:val="center"/>
        <w:rPr>
          <w:rFonts w:eastAsia="黑体" w:cs="Times New Roman"/>
          <w:bCs/>
          <w:sz w:val="32"/>
          <w:szCs w:val="32"/>
        </w:rPr>
      </w:pPr>
      <w:r>
        <w:rPr>
          <w:rFonts w:eastAsia="黑体" w:cs="Times New Roman"/>
          <w:bCs/>
          <w:sz w:val="32"/>
          <w:szCs w:val="32"/>
        </w:rPr>
        <w:t>表4</w:t>
      </w:r>
      <w:r>
        <w:rPr>
          <w:rFonts w:hint="eastAsia" w:eastAsia="仿宋_GB2312" w:cs="Times New Roman"/>
          <w:sz w:val="32"/>
          <w:szCs w:val="32"/>
        </w:rPr>
        <w:t>-</w:t>
      </w:r>
      <w:r>
        <w:rPr>
          <w:rFonts w:eastAsia="黑体" w:cs="Times New Roman"/>
          <w:bCs/>
          <w:sz w:val="32"/>
          <w:szCs w:val="32"/>
        </w:rPr>
        <w:t>1  2017年子牙河流域主要涉水工业污染源</w:t>
      </w:r>
    </w:p>
    <w:tbl>
      <w:tblPr>
        <w:tblStyle w:val="10"/>
        <w:tblW w:w="8800"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2257"/>
        <w:gridCol w:w="1352"/>
        <w:gridCol w:w="1113"/>
        <w:gridCol w:w="978"/>
        <w:gridCol w:w="135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858"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工业企业名称</w:t>
            </w:r>
          </w:p>
        </w:tc>
        <w:tc>
          <w:tcPr>
            <w:tcW w:w="135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行业类型</w:t>
            </w:r>
          </w:p>
        </w:tc>
        <w:tc>
          <w:tcPr>
            <w:tcW w:w="1113"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乡镇</w:t>
            </w:r>
          </w:p>
        </w:tc>
        <w:tc>
          <w:tcPr>
            <w:tcW w:w="97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工业废水排放量（t/y）</w:t>
            </w:r>
          </w:p>
        </w:tc>
        <w:tc>
          <w:tcPr>
            <w:tcW w:w="1350"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工业源COD排放量（t/y）</w:t>
            </w:r>
          </w:p>
        </w:tc>
        <w:tc>
          <w:tcPr>
            <w:tcW w:w="1750"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工业源氨氮排放量（t/y）</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07"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廊坊首跃铝业有限公司</w:t>
            </w:r>
          </w:p>
        </w:tc>
        <w:tc>
          <w:tcPr>
            <w:tcW w:w="135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铝压延加工</w:t>
            </w:r>
          </w:p>
        </w:tc>
        <w:tc>
          <w:tcPr>
            <w:tcW w:w="111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旺村镇</w:t>
            </w:r>
          </w:p>
        </w:tc>
        <w:tc>
          <w:tcPr>
            <w:tcW w:w="9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98100</w:t>
            </w:r>
          </w:p>
        </w:tc>
        <w:tc>
          <w:tcPr>
            <w:tcW w:w="13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22.05</w:t>
            </w:r>
          </w:p>
        </w:tc>
        <w:tc>
          <w:tcPr>
            <w:tcW w:w="17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2.52</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07"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大城县盛达铝业有限公司</w:t>
            </w:r>
          </w:p>
        </w:tc>
        <w:tc>
          <w:tcPr>
            <w:tcW w:w="135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铝压延加工</w:t>
            </w:r>
          </w:p>
        </w:tc>
        <w:tc>
          <w:tcPr>
            <w:tcW w:w="111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旺村镇</w:t>
            </w:r>
          </w:p>
        </w:tc>
        <w:tc>
          <w:tcPr>
            <w:tcW w:w="9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3500</w:t>
            </w:r>
          </w:p>
        </w:tc>
        <w:tc>
          <w:tcPr>
            <w:tcW w:w="13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0.47</w:t>
            </w:r>
          </w:p>
        </w:tc>
        <w:tc>
          <w:tcPr>
            <w:tcW w:w="17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1.05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07"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大城县众兴金属表面处理有限公司</w:t>
            </w:r>
          </w:p>
        </w:tc>
        <w:tc>
          <w:tcPr>
            <w:tcW w:w="135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金属表面处理及热处理加工</w:t>
            </w:r>
          </w:p>
        </w:tc>
        <w:tc>
          <w:tcPr>
            <w:tcW w:w="111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工业园区</w:t>
            </w:r>
          </w:p>
        </w:tc>
        <w:tc>
          <w:tcPr>
            <w:tcW w:w="9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44100</w:t>
            </w:r>
          </w:p>
        </w:tc>
        <w:tc>
          <w:tcPr>
            <w:tcW w:w="13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6.28</w:t>
            </w:r>
          </w:p>
        </w:tc>
        <w:tc>
          <w:tcPr>
            <w:tcW w:w="17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0.37</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07"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河北美利瑞港科技有限公司</w:t>
            </w:r>
          </w:p>
        </w:tc>
        <w:tc>
          <w:tcPr>
            <w:tcW w:w="135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工业颜料制造</w:t>
            </w:r>
          </w:p>
        </w:tc>
        <w:tc>
          <w:tcPr>
            <w:tcW w:w="111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权村镇</w:t>
            </w:r>
          </w:p>
        </w:tc>
        <w:tc>
          <w:tcPr>
            <w:tcW w:w="9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31416</w:t>
            </w:r>
          </w:p>
        </w:tc>
        <w:tc>
          <w:tcPr>
            <w:tcW w:w="13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4.08</w:t>
            </w:r>
          </w:p>
        </w:tc>
        <w:tc>
          <w:tcPr>
            <w:tcW w:w="17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0.41</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Ex>
        <w:trPr>
          <w:trHeight w:val="507" w:hRule="atLeast"/>
          <w:jc w:val="center"/>
        </w:trPr>
        <w:tc>
          <w:tcPr>
            <w:tcW w:w="225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大城县兴达金属表面处理有限公司</w:t>
            </w:r>
          </w:p>
        </w:tc>
        <w:tc>
          <w:tcPr>
            <w:tcW w:w="135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eastAsia="仿宋_GB2312" w:cs="Times New Roman"/>
                <w:bCs/>
                <w:sz w:val="21"/>
                <w:szCs w:val="21"/>
              </w:rPr>
            </w:pPr>
            <w:r>
              <w:rPr>
                <w:rFonts w:eastAsia="仿宋_GB2312" w:cs="Times New Roman"/>
                <w:bCs/>
                <w:sz w:val="21"/>
                <w:szCs w:val="21"/>
              </w:rPr>
              <w:t>金属表面处理及热处理加工</w:t>
            </w:r>
          </w:p>
        </w:tc>
        <w:tc>
          <w:tcPr>
            <w:tcW w:w="111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大尚屯镇</w:t>
            </w:r>
          </w:p>
        </w:tc>
        <w:tc>
          <w:tcPr>
            <w:tcW w:w="9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13800</w:t>
            </w:r>
          </w:p>
        </w:tc>
        <w:tc>
          <w:tcPr>
            <w:tcW w:w="13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10.17</w:t>
            </w:r>
          </w:p>
        </w:tc>
        <w:tc>
          <w:tcPr>
            <w:tcW w:w="175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1.05</w:t>
            </w:r>
          </w:p>
        </w:tc>
      </w:tr>
    </w:tbl>
    <w:p>
      <w:pPr>
        <w:autoSpaceDN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从现状年工业源污染负荷排放行业分布来看，工业源COD、氨氮负荷排放量以铝压延加工为主，分别占工业源总量的52%、66%；其次为金属表面处理及热处理加工，COD、氨氮负荷排放分别占工业源总量的38%、26%；再次为工业颜料制造行业，COD、氨氮负荷排放分别占工业源总量的9%、8%。</w:t>
      </w:r>
    </w:p>
    <w:p>
      <w:pPr>
        <w:autoSpaceDN w:val="0"/>
        <w:snapToGrid w:val="0"/>
        <w:spacing w:before="120" w:beforeLines="50" w:after="120" w:afterLines="50" w:line="240" w:lineRule="auto"/>
        <w:ind w:firstLine="0" w:firstLineChars="0"/>
        <w:jc w:val="center"/>
        <w:rPr>
          <w:rFonts w:eastAsia="黑体" w:cs="Times New Roman"/>
          <w:bCs/>
          <w:sz w:val="32"/>
          <w:szCs w:val="32"/>
        </w:rPr>
      </w:pPr>
      <w:r>
        <w:rPr>
          <w:rFonts w:eastAsia="黑体" w:cs="Times New Roman"/>
          <w:bCs/>
          <w:sz w:val="32"/>
          <w:szCs w:val="32"/>
        </w:rPr>
        <w:t>表4</w:t>
      </w:r>
      <w:r>
        <w:rPr>
          <w:rFonts w:hint="eastAsia" w:eastAsia="仿宋_GB2312" w:cs="Times New Roman"/>
          <w:sz w:val="32"/>
          <w:szCs w:val="32"/>
        </w:rPr>
        <w:t>-</w:t>
      </w:r>
      <w:r>
        <w:rPr>
          <w:rFonts w:eastAsia="黑体" w:cs="Times New Roman"/>
          <w:bCs/>
          <w:sz w:val="32"/>
          <w:szCs w:val="32"/>
        </w:rPr>
        <w:t>2  2017年大城县分行业工业源排放量</w:t>
      </w:r>
    </w:p>
    <w:tbl>
      <w:tblPr>
        <w:tblStyle w:val="10"/>
        <w:tblW w:w="8738"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3242"/>
        <w:gridCol w:w="2678"/>
        <w:gridCol w:w="2818"/>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7" w:hRule="atLeast"/>
          <w:jc w:val="center"/>
        </w:trPr>
        <w:tc>
          <w:tcPr>
            <w:tcW w:w="32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行业类型</w:t>
            </w:r>
          </w:p>
        </w:tc>
        <w:tc>
          <w:tcPr>
            <w:tcW w:w="267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工业源COD排放量（t/y）</w:t>
            </w:r>
          </w:p>
        </w:tc>
        <w:tc>
          <w:tcPr>
            <w:tcW w:w="281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工业源氨氮排放量（t/y）</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7" w:hRule="atLeast"/>
          <w:jc w:val="center"/>
        </w:trPr>
        <w:tc>
          <w:tcPr>
            <w:tcW w:w="32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铝压延加工</w:t>
            </w:r>
          </w:p>
        </w:tc>
        <w:tc>
          <w:tcPr>
            <w:tcW w:w="26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22.5</w:t>
            </w:r>
          </w:p>
        </w:tc>
        <w:tc>
          <w:tcPr>
            <w:tcW w:w="281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3.6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7" w:hRule="atLeast"/>
          <w:jc w:val="center"/>
        </w:trPr>
        <w:tc>
          <w:tcPr>
            <w:tcW w:w="32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金属表面处理及热处理加工</w:t>
            </w:r>
          </w:p>
        </w:tc>
        <w:tc>
          <w:tcPr>
            <w:tcW w:w="26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16.5</w:t>
            </w:r>
          </w:p>
        </w:tc>
        <w:tc>
          <w:tcPr>
            <w:tcW w:w="281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7" w:hRule="atLeast"/>
          <w:jc w:val="center"/>
        </w:trPr>
        <w:tc>
          <w:tcPr>
            <w:tcW w:w="32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工业颜料制造</w:t>
            </w:r>
          </w:p>
        </w:tc>
        <w:tc>
          <w:tcPr>
            <w:tcW w:w="26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4.1</w:t>
            </w:r>
          </w:p>
        </w:tc>
        <w:tc>
          <w:tcPr>
            <w:tcW w:w="281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7" w:hRule="atLeast"/>
          <w:jc w:val="center"/>
        </w:trPr>
        <w:tc>
          <w:tcPr>
            <w:tcW w:w="3242"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合计</w:t>
            </w:r>
          </w:p>
        </w:tc>
        <w:tc>
          <w:tcPr>
            <w:tcW w:w="267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43.1</w:t>
            </w:r>
          </w:p>
        </w:tc>
        <w:tc>
          <w:tcPr>
            <w:tcW w:w="2818" w:type="dxa"/>
            <w:tcBorders>
              <w:top w:val="single" w:color="auto" w:sz="4" w:space="0"/>
              <w:left w:val="single" w:color="auto" w:sz="4" w:space="0"/>
              <w:bottom w:val="single" w:color="auto" w:sz="4" w:space="0"/>
              <w:right w:val="single" w:color="auto" w:sz="4" w:space="0"/>
            </w:tcBorders>
            <w:vAlign w:val="center"/>
          </w:tcPr>
          <w:p>
            <w:pPr>
              <w:autoSpaceDN w:val="0"/>
              <w:snapToGrid w:val="0"/>
              <w:spacing w:line="240" w:lineRule="auto"/>
              <w:ind w:firstLine="0" w:firstLineChars="0"/>
              <w:jc w:val="center"/>
              <w:rPr>
                <w:rFonts w:eastAsia="仿宋_GB2312" w:cs="Times New Roman"/>
                <w:bCs/>
                <w:sz w:val="21"/>
                <w:szCs w:val="21"/>
              </w:rPr>
            </w:pPr>
            <w:r>
              <w:rPr>
                <w:rFonts w:eastAsia="仿宋_GB2312" w:cs="Times New Roman"/>
                <w:bCs/>
                <w:sz w:val="21"/>
                <w:szCs w:val="21"/>
              </w:rPr>
              <w:t>5.4</w:t>
            </w:r>
          </w:p>
        </w:tc>
      </w:tr>
    </w:tbl>
    <w:p>
      <w:pPr>
        <w:autoSpaceDN w:val="0"/>
        <w:snapToGrid w:val="0"/>
        <w:spacing w:line="590" w:lineRule="exact"/>
        <w:ind w:firstLine="640"/>
        <w:rPr>
          <w:rFonts w:eastAsia="仿宋_GB2312" w:cs="Times New Roman"/>
          <w:sz w:val="32"/>
          <w:szCs w:val="32"/>
        </w:rPr>
      </w:pPr>
      <w:r>
        <w:rPr>
          <w:rFonts w:eastAsia="仿宋_GB2312" w:cs="Times New Roman"/>
          <w:sz w:val="32"/>
          <w:szCs w:val="32"/>
        </w:rPr>
        <w:t>从现状工业源污染负荷的主要排放区域情况来看，工业源COD、氨氮负荷主要集中在旺村镇、大尚屯镇、工业园区和权村镇4个镇区，分别占全县工业源COD排放量的52%、24%、15%和9%，全县工业源氨氮排放量的66%、19%、7%和8%，其他乡镇基本无工业源负荷排放。子牙河干流入河控制区涉及范围内工业源负荷占全县总负荷排放量的10%以下。</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从重金属排放情况来看，2017年，流域内有大城县兴达金属表面处理有限公司、大城县兴众金属表面处理有限公司2家涉水重金属排放企业，废水排放量合计5.8万吨/年，2家企业产生的工业废污水均全部处理，无重金属排放负荷排放量。</w:t>
      </w:r>
    </w:p>
    <w:p>
      <w:pPr>
        <w:pStyle w:val="4"/>
        <w:spacing w:line="590" w:lineRule="exact"/>
        <w:ind w:firstLine="643"/>
      </w:pPr>
      <w:bookmarkStart w:id="109" w:name="_Toc23790693"/>
      <w:r>
        <w:t>4.2.3畜禽养殖源</w:t>
      </w:r>
      <w:bookmarkEnd w:id="109"/>
    </w:p>
    <w:p>
      <w:pPr>
        <w:autoSpaceDN w:val="0"/>
        <w:snapToGrid w:val="0"/>
        <w:spacing w:line="590" w:lineRule="exact"/>
        <w:ind w:firstLine="640"/>
        <w:rPr>
          <w:rFonts w:eastAsia="仿宋_GB2312" w:cs="Times New Roman"/>
          <w:sz w:val="32"/>
          <w:szCs w:val="32"/>
        </w:rPr>
      </w:pPr>
      <w:r>
        <w:rPr>
          <w:rFonts w:eastAsia="仿宋_GB2312" w:cs="Times New Roman"/>
          <w:sz w:val="32"/>
          <w:szCs w:val="32"/>
        </w:rPr>
        <w:t>2016年4月和2019年5月，两次子牙河沿程调研未发现子牙河河床上或周边有规模化畜禽养殖场，但留各庄镇东留各庄村、臧屯乡毕道口村、南赵扶镇白洋桥村、张庄村等4个在子牙河大堤防以内的村庄有部分散养畜禽尚未清理搬迁。</w:t>
      </w:r>
    </w:p>
    <w:p>
      <w:pPr>
        <w:autoSpaceDN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从流域畜禽养殖业整体情况来看，大城县涉及区域畜禽养殖业较为发达，主要养殖类别为生猪、肉牛。根据廊坊市大城县畜牧局提供的养殖场统计资料，2018年大城县区域共有养殖场612家，生猪出栏量129262头/年，肉牛出栏量578头/年，肉羊出栏量4070头/年，蛋鸡存栏量21550羽/年。根据《畜禽养殖污染物排放标准》（GB18596</w:t>
      </w:r>
      <w:r>
        <w:rPr>
          <w:rFonts w:hint="eastAsia" w:eastAsia="仿宋_GB2312" w:cs="Times New Roman"/>
          <w:sz w:val="32"/>
          <w:szCs w:val="32"/>
        </w:rPr>
        <w:t>—</w:t>
      </w:r>
      <w:r>
        <w:rPr>
          <w:rFonts w:eastAsia="仿宋_GB2312" w:cs="Times New Roman"/>
          <w:spacing w:val="-4"/>
          <w:sz w:val="32"/>
          <w:szCs w:val="32"/>
        </w:rPr>
        <w:t>2001），将不同畜禽种类的养殖量换算成当量猪的养殖量，折算总养殖量13.42万头标准猪。全县生猪养殖以大尚屯、南赵扶、旺村、广安为主要养殖乡镇，泊庄、杨家口、大汪、东咬头、梁贾村、九间房、桃子、阁里、大孟桥为重点村街；奶牛养殖以旺村、大尚屯为主要养殖乡镇；蛋鸡养殖以留各庄、大尚屯为主要养殖乡镇；肉鸡养殖以旺村镇为主要养殖区。</w:t>
      </w:r>
    </w:p>
    <w:p>
      <w:pPr>
        <w:autoSpaceDN w:val="0"/>
        <w:snapToGrid w:val="0"/>
        <w:spacing w:before="120" w:beforeLines="50" w:after="120" w:afterLines="50" w:line="240" w:lineRule="auto"/>
        <w:ind w:firstLine="0" w:firstLineChars="0"/>
        <w:jc w:val="center"/>
        <w:rPr>
          <w:rFonts w:eastAsia="黑体" w:cs="Times New Roman"/>
          <w:bCs/>
          <w:sz w:val="32"/>
          <w:szCs w:val="32"/>
        </w:rPr>
      </w:pPr>
      <w:r>
        <w:rPr>
          <w:rFonts w:eastAsia="黑体" w:cs="Times New Roman"/>
          <w:bCs/>
          <w:sz w:val="32"/>
          <w:szCs w:val="32"/>
        </w:rPr>
        <w:t>表4</w:t>
      </w:r>
      <w:r>
        <w:rPr>
          <w:rFonts w:hint="eastAsia" w:eastAsia="仿宋_GB2312" w:cs="Times New Roman"/>
          <w:sz w:val="32"/>
          <w:szCs w:val="32"/>
        </w:rPr>
        <w:t>-</w:t>
      </w:r>
      <w:r>
        <w:rPr>
          <w:rFonts w:eastAsia="黑体" w:cs="Times New Roman"/>
          <w:bCs/>
          <w:sz w:val="32"/>
          <w:szCs w:val="32"/>
        </w:rPr>
        <w:t>3  2018年大城县主要畜禽养殖量</w:t>
      </w:r>
    </w:p>
    <w:tbl>
      <w:tblPr>
        <w:tblStyle w:val="10"/>
        <w:tblW w:w="879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3"/>
        <w:gridCol w:w="2932"/>
        <w:gridCol w:w="2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7" w:hRule="atLeast"/>
          <w:jc w:val="center"/>
        </w:trPr>
        <w:tc>
          <w:tcPr>
            <w:tcW w:w="2933" w:type="dxa"/>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畜禽养殖种类</w:t>
            </w:r>
          </w:p>
        </w:tc>
        <w:tc>
          <w:tcPr>
            <w:tcW w:w="2932" w:type="dxa"/>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场（户）数</w:t>
            </w:r>
          </w:p>
        </w:tc>
        <w:tc>
          <w:tcPr>
            <w:tcW w:w="2931" w:type="dxa"/>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年存栏（出栏）数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2933"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蛋鸡</w:t>
            </w:r>
          </w:p>
        </w:tc>
        <w:tc>
          <w:tcPr>
            <w:tcW w:w="2932"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20</w:t>
            </w:r>
          </w:p>
        </w:tc>
        <w:tc>
          <w:tcPr>
            <w:tcW w:w="2931"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21550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2933"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肉鸡</w:t>
            </w:r>
          </w:p>
        </w:tc>
        <w:tc>
          <w:tcPr>
            <w:tcW w:w="2932"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w:t>
            </w:r>
          </w:p>
        </w:tc>
        <w:tc>
          <w:tcPr>
            <w:tcW w:w="2931"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2933"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肉牛</w:t>
            </w:r>
          </w:p>
        </w:tc>
        <w:tc>
          <w:tcPr>
            <w:tcW w:w="2932"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42</w:t>
            </w:r>
          </w:p>
        </w:tc>
        <w:tc>
          <w:tcPr>
            <w:tcW w:w="2931"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2933"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肉羊</w:t>
            </w:r>
          </w:p>
        </w:tc>
        <w:tc>
          <w:tcPr>
            <w:tcW w:w="2932"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70</w:t>
            </w:r>
          </w:p>
        </w:tc>
        <w:tc>
          <w:tcPr>
            <w:tcW w:w="2931"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jc w:val="center"/>
        </w:trPr>
        <w:tc>
          <w:tcPr>
            <w:tcW w:w="2933"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生猪</w:t>
            </w:r>
          </w:p>
        </w:tc>
        <w:tc>
          <w:tcPr>
            <w:tcW w:w="2932"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480</w:t>
            </w:r>
          </w:p>
        </w:tc>
        <w:tc>
          <w:tcPr>
            <w:tcW w:w="2931" w:type="dxa"/>
            <w:vAlign w:val="center"/>
          </w:tcPr>
          <w:p>
            <w:pPr>
              <w:spacing w:line="240" w:lineRule="auto"/>
              <w:ind w:firstLine="0" w:firstLineChars="0"/>
              <w:jc w:val="center"/>
              <w:rPr>
                <w:rFonts w:eastAsia="仿宋_GB2312" w:cs="Times New Roman"/>
                <w:bCs/>
                <w:sz w:val="21"/>
                <w:szCs w:val="21"/>
              </w:rPr>
            </w:pPr>
            <w:r>
              <w:rPr>
                <w:rFonts w:eastAsia="仿宋_GB2312" w:cs="Times New Roman"/>
                <w:bCs/>
                <w:sz w:val="21"/>
                <w:szCs w:val="21"/>
              </w:rPr>
              <w:t>129262</w:t>
            </w:r>
          </w:p>
        </w:tc>
      </w:tr>
    </w:tbl>
    <w:p>
      <w:pPr>
        <w:autoSpaceDN w:val="0"/>
        <w:snapToGrid w:val="0"/>
        <w:spacing w:line="590" w:lineRule="exact"/>
        <w:ind w:firstLine="624"/>
        <w:rPr>
          <w:rFonts w:eastAsia="仿宋_GB2312" w:cs="Times New Roman"/>
          <w:spacing w:val="-4"/>
          <w:sz w:val="32"/>
          <w:szCs w:val="32"/>
        </w:rPr>
      </w:pPr>
      <w:r>
        <w:rPr>
          <w:rFonts w:eastAsia="仿宋_GB2312" w:cs="Times New Roman"/>
          <w:spacing w:val="-4"/>
          <w:sz w:val="32"/>
          <w:szCs w:val="32"/>
        </w:rPr>
        <w:t>根据2018年大城县养殖场养殖情况数据，采用产排污系数法估算全县畜禽养殖产污量，估算区域全部612家畜禽养殖场总COD排放量306.5吨/年，氨氮排放量61.3吨/年，总磷排放量6.1吨/年。</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从畜禽养殖污染物产生的主要养殖种类来看，COD、氨氮和总磷负荷排放以生猪养殖为主，占总量的92.4%，其次为肉牛养殖，占总量的5.1%，其他畜禽养殖排放量较少。</w:t>
      </w:r>
    </w:p>
    <w:p>
      <w:pPr>
        <w:autoSpaceDN w:val="0"/>
        <w:snapToGrid w:val="0"/>
        <w:spacing w:after="120" w:afterLines="50" w:line="590" w:lineRule="exact"/>
        <w:ind w:firstLine="640"/>
        <w:rPr>
          <w:rFonts w:eastAsia="仿宋_GB2312" w:cs="Times New Roman"/>
          <w:sz w:val="32"/>
          <w:szCs w:val="32"/>
        </w:rPr>
      </w:pPr>
      <w:r>
        <w:rPr>
          <w:rFonts w:eastAsia="仿宋_GB2312" w:cs="Times New Roman"/>
          <w:sz w:val="32"/>
          <w:szCs w:val="32"/>
        </w:rPr>
        <w:t>从畜禽养殖污染物产生的主要养殖区域情况来看，COD负荷主要集中区域包括大尚屯镇、旺村镇、留各庄镇、南赵扶镇等乡镇，氨氮负荷主要集中区域包括大尚屯镇、广安镇、留各庄镇、权村镇等乡镇。干流入河控制区涉及范围内，畜禽养殖业COD产生量占流域总量的24%，氨氮产生量占流域总量的20%，一般防控区范围内COD产生量占流域总量的76%，氨氮产生量占流域总量的80%。</w:t>
      </w:r>
    </w:p>
    <w:p>
      <w:pPr>
        <w:autoSpaceDN w:val="0"/>
        <w:snapToGrid w:val="0"/>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5264150" cy="2232025"/>
            <wp:effectExtent l="0" t="0" r="12700" b="15875"/>
            <wp:docPr id="44" name="图片 36"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6" descr="001"/>
                    <pic:cNvPicPr>
                      <a:picLocks noChangeAspect="1"/>
                    </pic:cNvPicPr>
                  </pic:nvPicPr>
                  <pic:blipFill>
                    <a:blip r:embed="rId48"/>
                    <a:stretch>
                      <a:fillRect/>
                    </a:stretch>
                  </pic:blipFill>
                  <pic:spPr>
                    <a:xfrm>
                      <a:off x="0" y="0"/>
                      <a:ext cx="5264150" cy="2232025"/>
                    </a:xfrm>
                    <a:prstGeom prst="rect">
                      <a:avLst/>
                    </a:prstGeom>
                    <a:noFill/>
                    <a:ln w="9525">
                      <a:noFill/>
                    </a:ln>
                  </pic:spPr>
                </pic:pic>
              </a:graphicData>
            </a:graphic>
          </wp:inline>
        </w:drawing>
      </w:r>
    </w:p>
    <w:p>
      <w:pPr>
        <w:autoSpaceDN w:val="0"/>
        <w:snapToGrid w:val="0"/>
        <w:ind w:firstLine="0" w:firstLineChars="0"/>
        <w:jc w:val="center"/>
        <w:rPr>
          <w:rFonts w:eastAsia="仿宋_GB2312" w:cs="Times New Roman"/>
          <w:b/>
          <w:szCs w:val="28"/>
        </w:rPr>
      </w:pPr>
      <w:r>
        <w:rPr>
          <w:rFonts w:eastAsia="仿宋_GB2312" w:cs="Times New Roman"/>
          <w:b/>
          <w:szCs w:val="28"/>
        </w:rPr>
        <w:t>图4</w:t>
      </w:r>
      <w:r>
        <w:rPr>
          <w:rFonts w:hint="eastAsia" w:eastAsia="仿宋_GB2312" w:cs="Times New Roman"/>
          <w:sz w:val="32"/>
          <w:szCs w:val="32"/>
        </w:rPr>
        <w:t>-</w:t>
      </w:r>
      <w:r>
        <w:rPr>
          <w:rFonts w:eastAsia="仿宋_GB2312" w:cs="Times New Roman"/>
          <w:b/>
          <w:szCs w:val="28"/>
        </w:rPr>
        <w:t>1</w:t>
      </w:r>
      <w:r>
        <w:rPr>
          <w:rFonts w:hint="eastAsia" w:eastAsia="仿宋_GB2312" w:cs="Times New Roman"/>
          <w:b/>
          <w:szCs w:val="28"/>
        </w:rPr>
        <w:t xml:space="preserve">  </w:t>
      </w:r>
      <w:r>
        <w:rPr>
          <w:rFonts w:eastAsia="仿宋_GB2312" w:cs="Times New Roman"/>
          <w:b/>
          <w:szCs w:val="28"/>
        </w:rPr>
        <w:t>2018年大城县分乡镇畜禽养殖业产污量</w:t>
      </w:r>
    </w:p>
    <w:p>
      <w:pPr>
        <w:pStyle w:val="2"/>
        <w:adjustRightInd w:val="0"/>
        <w:snapToGrid w:val="0"/>
        <w:spacing w:line="580" w:lineRule="exact"/>
        <w:ind w:firstLine="640"/>
        <w:jc w:val="both"/>
      </w:pPr>
      <w:bookmarkStart w:id="110" w:name="_Toc23790694"/>
      <w:r>
        <w:t>五、原达标方案实施情况评估</w:t>
      </w:r>
      <w:bookmarkEnd w:id="110"/>
    </w:p>
    <w:p>
      <w:pPr>
        <w:pStyle w:val="3"/>
        <w:spacing w:line="580" w:lineRule="exact"/>
        <w:ind w:firstLine="643"/>
        <w:rPr>
          <w:rFonts w:eastAsia="楷体_GB2312"/>
        </w:rPr>
      </w:pPr>
      <w:bookmarkStart w:id="111" w:name="_Toc23790695"/>
      <w:r>
        <w:rPr>
          <w:rFonts w:eastAsia="楷体_GB2312"/>
        </w:rPr>
        <w:t>5.1总体情况</w:t>
      </w:r>
      <w:bookmarkEnd w:id="111"/>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水污染防治行动计划》要求未达到水质目标要求的地区要制定达标方案，由于子牙河小河闸断面未达到国家考核目标，为了改善子牙河水质，确保考核达标，廊坊市政府印发实施了《廊坊市子牙河水质达标方案》（以下简称“原达标方案”）。原达标方案以2015年为基准年，针对子牙河廊坊段河道基本无生态流量，河道周边无直排城镇生活、工业和畜禽养殖业点源排污口，河道两侧河堤完善，正常水文情况，流域面源难以入河，但在特殊洪水年份可通过排干渠汇入子牙河，并对干流水环境造成影响的实际条件下，制定了以污染源综合整治为主，以环境修复、生态补水为辅，落实“治污水、抓节水、调客水、压采水”四大举措，通过干流入河控制区和流域一般防控区分区、分类整治，重点解决断流河段水环境风险、水生态退化等突出问题，缓解水资源匮乏压力，确保子牙河河道清洁、无污染，有效保障上游调水或季节性来水条件下的水环境质量。原达标方案中共设计17项重点治理工程，包含子牙河流域污染源治理类型项目共13项、流域生态修复与保护类型项目共4项。</w:t>
      </w:r>
    </w:p>
    <w:p>
      <w:pPr>
        <w:autoSpaceDN w:val="0"/>
        <w:adjustRightInd w:val="0"/>
        <w:snapToGrid w:val="0"/>
        <w:spacing w:line="580" w:lineRule="exact"/>
        <w:ind w:firstLine="640"/>
        <w:rPr>
          <w:rFonts w:eastAsia="仿宋_GB2312" w:cs="Times New Roman"/>
          <w:sz w:val="32"/>
          <w:szCs w:val="32"/>
        </w:rPr>
      </w:pPr>
      <w:r>
        <w:rPr>
          <w:rFonts w:eastAsia="仿宋_GB2312" w:cs="Times New Roman"/>
          <w:color w:val="000000"/>
          <w:sz w:val="32"/>
          <w:szCs w:val="32"/>
        </w:rPr>
        <w:t>通过原达标方案的实施，</w:t>
      </w:r>
      <w:r>
        <w:rPr>
          <w:rFonts w:eastAsia="仿宋_GB2312" w:cs="Times New Roman"/>
          <w:sz w:val="32"/>
          <w:szCs w:val="32"/>
        </w:rPr>
        <w:t>子牙河出境小河闸</w:t>
      </w:r>
      <w:r>
        <w:rPr>
          <w:rFonts w:eastAsia="仿宋_GB2312" w:cs="Times New Roman"/>
          <w:color w:val="000000"/>
          <w:sz w:val="32"/>
          <w:szCs w:val="32"/>
        </w:rPr>
        <w:t>断面水质改善明显，除2016年因断流未开展监测外，</w:t>
      </w:r>
      <w:r>
        <w:rPr>
          <w:rFonts w:eastAsia="仿宋_GB2312" w:cs="Times New Roman"/>
          <w:sz w:val="32"/>
          <w:szCs w:val="32"/>
        </w:rPr>
        <w:t>2017、2018年，全部监测指标均达到地表水</w:t>
      </w:r>
      <w:r>
        <w:rPr>
          <w:rFonts w:cs="Times New Roman"/>
          <w:sz w:val="32"/>
          <w:szCs w:val="32"/>
        </w:rPr>
        <w:t>Ⅴ</w:t>
      </w:r>
      <w:r>
        <w:rPr>
          <w:rFonts w:eastAsia="仿宋_GB2312" w:cs="Times New Roman"/>
          <w:sz w:val="32"/>
          <w:szCs w:val="32"/>
        </w:rPr>
        <w:t>类水体标准，对照《目标责任书》对小河闸断面的考核要求，已经提前两年完成消除劣V类任务。</w:t>
      </w:r>
    </w:p>
    <w:p>
      <w:pPr>
        <w:autoSpaceDN w:val="0"/>
        <w:adjustRightInd w:val="0"/>
        <w:snapToGrid w:val="0"/>
        <w:spacing w:line="580" w:lineRule="exact"/>
        <w:ind w:firstLine="640"/>
        <w:rPr>
          <w:rFonts w:eastAsia="仿宋_GB2312" w:cs="Times New Roman"/>
          <w:color w:val="000000"/>
          <w:sz w:val="32"/>
          <w:szCs w:val="32"/>
        </w:rPr>
      </w:pPr>
      <w:r>
        <w:rPr>
          <w:rFonts w:eastAsia="仿宋_GB2312" w:cs="Times New Roman"/>
          <w:color w:val="000000"/>
          <w:sz w:val="32"/>
          <w:szCs w:val="32"/>
        </w:rPr>
        <w:t>通过原达标方案的实施，子牙河流域水污染防治能力得到了很大的提升，大城县已完成了13项重点工程，未完成工程4项。其中2项工程处于在建状况，2项工程由于现状条件的改变，已不具备实施的必要性，建议取消。</w:t>
      </w:r>
    </w:p>
    <w:p>
      <w:pPr>
        <w:autoSpaceDN w:val="0"/>
        <w:adjustRightInd w:val="0"/>
        <w:snapToGrid w:val="0"/>
        <w:spacing w:line="580" w:lineRule="exact"/>
        <w:ind w:firstLine="640"/>
        <w:rPr>
          <w:rFonts w:eastAsia="仿宋_GB2312" w:cs="Times New Roman"/>
          <w:color w:val="000000"/>
          <w:sz w:val="32"/>
          <w:szCs w:val="32"/>
        </w:rPr>
      </w:pPr>
      <w:r>
        <w:rPr>
          <w:rFonts w:eastAsia="仿宋_GB2312" w:cs="Times New Roman"/>
          <w:color w:val="000000"/>
          <w:sz w:val="32"/>
          <w:szCs w:val="32"/>
        </w:rPr>
        <w:t>通过原达标方案实施情况的评估和子牙河流域实际情况的分析，流域现状条件发生巨大变化，部分原有的水环境问题已基本得到解决，新的水环境问题成为当前的重点，水质改善的重点任务和方向发生转移。</w:t>
      </w:r>
    </w:p>
    <w:p>
      <w:pPr>
        <w:pStyle w:val="3"/>
        <w:spacing w:line="580" w:lineRule="exact"/>
        <w:ind w:firstLine="643"/>
        <w:rPr>
          <w:rFonts w:eastAsia="楷体_GB2312"/>
        </w:rPr>
      </w:pPr>
      <w:bookmarkStart w:id="112" w:name="_Toc23790696"/>
      <w:r>
        <w:rPr>
          <w:rFonts w:eastAsia="楷体_GB2312"/>
        </w:rPr>
        <w:t>5.2水质改善情况</w:t>
      </w:r>
      <w:bookmarkEnd w:id="112"/>
    </w:p>
    <w:p>
      <w:pPr>
        <w:autoSpaceDN w:val="0"/>
        <w:adjustRightInd w:val="0"/>
        <w:snapToGrid w:val="0"/>
        <w:spacing w:line="580" w:lineRule="exact"/>
        <w:ind w:firstLine="640"/>
        <w:rPr>
          <w:rFonts w:eastAsia="仿宋_GB2312" w:cs="Times New Roman"/>
          <w:color w:val="000000"/>
          <w:sz w:val="32"/>
          <w:szCs w:val="32"/>
        </w:rPr>
      </w:pPr>
      <w:r>
        <w:rPr>
          <w:rFonts w:eastAsia="仿宋_GB2312" w:cs="Times New Roman"/>
          <w:color w:val="000000"/>
          <w:sz w:val="32"/>
          <w:szCs w:val="32"/>
        </w:rPr>
        <w:t>根据国控断面水质监测结果，原达标方案实施前的2005</w:t>
      </w:r>
      <w:r>
        <w:rPr>
          <w:rFonts w:hint="eastAsia" w:eastAsia="仿宋_GB2312" w:cs="Times New Roman"/>
          <w:sz w:val="32"/>
          <w:szCs w:val="32"/>
        </w:rPr>
        <w:t>—</w:t>
      </w:r>
      <w:r>
        <w:rPr>
          <w:rFonts w:eastAsia="仿宋_GB2312" w:cs="Times New Roman"/>
          <w:color w:val="000000"/>
          <w:sz w:val="32"/>
          <w:szCs w:val="32"/>
        </w:rPr>
        <w:t>2016年间，子牙河长年断流，小河闸断面未开展水质监测。</w:t>
      </w:r>
    </w:p>
    <w:p>
      <w:pPr>
        <w:autoSpaceDN w:val="0"/>
        <w:adjustRightInd w:val="0"/>
        <w:snapToGrid w:val="0"/>
        <w:spacing w:line="580" w:lineRule="exact"/>
        <w:ind w:firstLine="640"/>
        <w:rPr>
          <w:rFonts w:eastAsia="仿宋_GB2312" w:cs="Times New Roman"/>
          <w:color w:val="000000"/>
          <w:sz w:val="32"/>
          <w:szCs w:val="32"/>
        </w:rPr>
      </w:pPr>
      <w:r>
        <w:rPr>
          <w:rFonts w:eastAsia="仿宋_GB2312" w:cs="Times New Roman"/>
          <w:color w:val="000000"/>
          <w:sz w:val="32"/>
          <w:szCs w:val="32"/>
        </w:rPr>
        <w:t>原达标方案实施后，2016年，子牙河大城段全年断流，小河闸断面未开展水质监测，无监测数据。2017年，小河闸断面1</w:t>
      </w:r>
      <w:r>
        <w:rPr>
          <w:rFonts w:hint="eastAsia" w:eastAsia="仿宋_GB2312" w:cs="Times New Roman"/>
          <w:sz w:val="32"/>
          <w:szCs w:val="32"/>
        </w:rPr>
        <w:t>—</w:t>
      </w:r>
      <w:r>
        <w:rPr>
          <w:rFonts w:eastAsia="仿宋_GB2312" w:cs="Times New Roman"/>
          <w:color w:val="000000"/>
          <w:sz w:val="32"/>
          <w:szCs w:val="32"/>
        </w:rPr>
        <w:t>5月断流，6</w:t>
      </w:r>
      <w:r>
        <w:rPr>
          <w:rFonts w:hint="eastAsia" w:eastAsia="仿宋_GB2312" w:cs="Times New Roman"/>
          <w:sz w:val="32"/>
          <w:szCs w:val="32"/>
        </w:rPr>
        <w:t>—</w:t>
      </w:r>
      <w:r>
        <w:rPr>
          <w:rFonts w:eastAsia="仿宋_GB2312" w:cs="Times New Roman"/>
          <w:color w:val="000000"/>
          <w:sz w:val="32"/>
          <w:szCs w:val="32"/>
        </w:rPr>
        <w:t>12月共进行7次监测，结果显示断面年均值COD35mg/L、氨氮0.36mg/L、总磷0.116mg/L，全部监测指标均达到地表水</w:t>
      </w:r>
      <w:r>
        <w:rPr>
          <w:rFonts w:cs="Times New Roman"/>
          <w:color w:val="000000"/>
          <w:sz w:val="32"/>
          <w:szCs w:val="32"/>
        </w:rPr>
        <w:t>Ⅴ</w:t>
      </w:r>
      <w:r>
        <w:rPr>
          <w:rFonts w:eastAsia="仿宋_GB2312" w:cs="Times New Roman"/>
          <w:color w:val="000000"/>
          <w:sz w:val="32"/>
          <w:szCs w:val="32"/>
        </w:rPr>
        <w:t>类水体标准。2018年，小河闸断面1</w:t>
      </w:r>
      <w:r>
        <w:rPr>
          <w:rFonts w:hint="eastAsia" w:eastAsia="仿宋_GB2312" w:cs="Times New Roman"/>
          <w:sz w:val="32"/>
          <w:szCs w:val="32"/>
        </w:rPr>
        <w:t>—</w:t>
      </w:r>
      <w:r>
        <w:rPr>
          <w:rFonts w:eastAsia="仿宋_GB2312" w:cs="Times New Roman"/>
          <w:color w:val="000000"/>
          <w:sz w:val="32"/>
          <w:szCs w:val="32"/>
        </w:rPr>
        <w:t>12月均有水，共监测12次，结果显示年均值COD33mg/L、氨氮0.44mg/L、总磷0.07mg/L，各项指标达到地表水V类水体标准。2019年1</w:t>
      </w:r>
      <w:r>
        <w:rPr>
          <w:rFonts w:hint="eastAsia" w:eastAsia="仿宋_GB2312" w:cs="Times New Roman"/>
          <w:sz w:val="32"/>
          <w:szCs w:val="32"/>
        </w:rPr>
        <w:t>—</w:t>
      </w:r>
      <w:r>
        <w:rPr>
          <w:rFonts w:eastAsia="仿宋_GB2312" w:cs="Times New Roman"/>
          <w:color w:val="000000"/>
          <w:sz w:val="32"/>
          <w:szCs w:val="32"/>
        </w:rPr>
        <w:t>8月水质也较好，1</w:t>
      </w:r>
      <w:r>
        <w:rPr>
          <w:rFonts w:hint="eastAsia" w:eastAsia="仿宋_GB2312" w:cs="Times New Roman"/>
          <w:sz w:val="32"/>
          <w:szCs w:val="32"/>
        </w:rPr>
        <w:t>—</w:t>
      </w:r>
      <w:r>
        <w:rPr>
          <w:rFonts w:eastAsia="仿宋_GB2312" w:cs="Times New Roman"/>
          <w:color w:val="000000"/>
          <w:sz w:val="32"/>
          <w:szCs w:val="32"/>
        </w:rPr>
        <w:t>8月均值为</w:t>
      </w:r>
      <w:r>
        <w:rPr>
          <w:rFonts w:cs="Times New Roman"/>
          <w:color w:val="000000"/>
          <w:sz w:val="32"/>
          <w:szCs w:val="32"/>
        </w:rPr>
        <w:t>Ⅳ</w:t>
      </w:r>
      <w:r>
        <w:rPr>
          <w:rFonts w:eastAsia="仿宋_GB2312" w:cs="Times New Roman"/>
          <w:color w:val="000000"/>
          <w:sz w:val="32"/>
          <w:szCs w:val="32"/>
        </w:rPr>
        <w:t>类。小河闸断面提前完成消除劣V类任务。</w:t>
      </w:r>
    </w:p>
    <w:p>
      <w:pPr>
        <w:pStyle w:val="3"/>
        <w:spacing w:line="580" w:lineRule="exact"/>
        <w:ind w:firstLine="643"/>
        <w:rPr>
          <w:rFonts w:eastAsia="楷体_GB2312"/>
        </w:rPr>
      </w:pPr>
      <w:bookmarkStart w:id="113" w:name="_Toc23790697"/>
      <w:r>
        <w:rPr>
          <w:rFonts w:eastAsia="楷体_GB2312"/>
        </w:rPr>
        <w:t>5.3工程实施情况</w:t>
      </w:r>
      <w:bookmarkEnd w:id="113"/>
    </w:p>
    <w:p>
      <w:pPr>
        <w:pStyle w:val="4"/>
        <w:spacing w:line="580" w:lineRule="exact"/>
        <w:ind w:firstLine="643"/>
      </w:pPr>
      <w:bookmarkStart w:id="114" w:name="_Toc23790698"/>
      <w:r>
        <w:t>5.3.1已完成工程项目</w:t>
      </w:r>
      <w:bookmarkEnd w:id="114"/>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截止2018年12月，子牙河廊坊市控制单元已经完成项目13个，其中流域污染源治理类项目10项（包括垃圾污染治理工程3项，城镇集中式生活污水处理设施建设及配套管网工程3项，工业污水治理项目2项，畜禽养殖业治理项目3项），流域生态修复类项目3项（地下水压采工程和水源涵养工程）。已完成工程项目具体情况见表5</w:t>
      </w:r>
      <w:r>
        <w:rPr>
          <w:rFonts w:hint="eastAsia" w:eastAsia="仿宋_GB2312" w:cs="Times New Roman"/>
          <w:sz w:val="32"/>
          <w:szCs w:val="32"/>
        </w:rPr>
        <w:t>-</w:t>
      </w:r>
      <w:r>
        <w:rPr>
          <w:rFonts w:eastAsia="仿宋_GB2312" w:cs="Times New Roman"/>
          <w:sz w:val="32"/>
          <w:szCs w:val="32"/>
        </w:rPr>
        <w:t>1。</w:t>
      </w:r>
    </w:p>
    <w:p>
      <w:pPr>
        <w:pStyle w:val="2"/>
        <w:autoSpaceDN w:val="0"/>
        <w:snapToGrid w:val="0"/>
        <w:spacing w:line="590" w:lineRule="exact"/>
        <w:ind w:firstLine="640"/>
        <w:jc w:val="center"/>
        <w:rPr>
          <w:rFonts w:eastAsia="仿宋_GB2312"/>
          <w:bCs w:val="0"/>
          <w:szCs w:val="28"/>
        </w:rPr>
        <w:sectPr>
          <w:headerReference r:id="rId15" w:type="default"/>
          <w:footerReference r:id="rId17" w:type="default"/>
          <w:headerReference r:id="rId16" w:type="even"/>
          <w:footerReference r:id="rId18" w:type="even"/>
          <w:pgSz w:w="11906" w:h="16838"/>
          <w:pgMar w:top="1984" w:right="1531" w:bottom="1474" w:left="1531" w:header="851" w:footer="850" w:gutter="0"/>
          <w:pgNumType w:start="333"/>
          <w:cols w:space="720" w:num="1"/>
          <w:docGrid w:linePitch="326" w:charSpace="0"/>
        </w:sectPr>
      </w:pPr>
    </w:p>
    <w:p>
      <w:pPr>
        <w:autoSpaceDN w:val="0"/>
        <w:snapToGrid w:val="0"/>
        <w:spacing w:after="120" w:afterLines="50" w:line="600" w:lineRule="exact"/>
        <w:ind w:firstLine="0" w:firstLineChars="0"/>
        <w:jc w:val="center"/>
        <w:rPr>
          <w:rFonts w:eastAsia="黑体" w:cs="Times New Roman"/>
          <w:bCs/>
          <w:sz w:val="32"/>
          <w:szCs w:val="32"/>
        </w:rPr>
      </w:pPr>
      <w:r>
        <w:rPr>
          <w:rFonts w:eastAsia="黑体" w:cs="Times New Roman"/>
          <w:bCs/>
          <w:sz w:val="32"/>
          <w:szCs w:val="32"/>
        </w:rPr>
        <w:t>表5</w:t>
      </w:r>
      <w:r>
        <w:rPr>
          <w:rFonts w:hint="eastAsia" w:eastAsia="仿宋_GB2312" w:cs="Times New Roman"/>
          <w:sz w:val="32"/>
          <w:szCs w:val="32"/>
        </w:rPr>
        <w:t>-</w:t>
      </w:r>
      <w:r>
        <w:rPr>
          <w:rFonts w:eastAsia="黑体" w:cs="Times New Roman"/>
          <w:bCs/>
          <w:sz w:val="32"/>
          <w:szCs w:val="32"/>
        </w:rPr>
        <w:t>1  已完成工程项目清单</w:t>
      </w:r>
    </w:p>
    <w:tbl>
      <w:tblPr>
        <w:tblStyle w:val="10"/>
        <w:tblW w:w="13287" w:type="dxa"/>
        <w:jc w:val="center"/>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54"/>
        <w:gridCol w:w="941"/>
        <w:gridCol w:w="55"/>
        <w:gridCol w:w="927"/>
        <w:gridCol w:w="123"/>
        <w:gridCol w:w="1050"/>
        <w:gridCol w:w="939"/>
        <w:gridCol w:w="1363"/>
        <w:gridCol w:w="1106"/>
        <w:gridCol w:w="4366"/>
        <w:gridCol w:w="819"/>
        <w:gridCol w:w="706"/>
        <w:gridCol w:w="3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53" w:hRule="atLeast"/>
          <w:tblHeader/>
          <w:jc w:val="center"/>
        </w:trPr>
        <w:tc>
          <w:tcPr>
            <w:tcW w:w="554"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序号</w:t>
            </w:r>
          </w:p>
        </w:tc>
        <w:tc>
          <w:tcPr>
            <w:tcW w:w="941"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隶属关系</w:t>
            </w:r>
          </w:p>
        </w:tc>
        <w:tc>
          <w:tcPr>
            <w:tcW w:w="982" w:type="dxa"/>
            <w:gridSpan w:val="2"/>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项目类型</w:t>
            </w:r>
          </w:p>
        </w:tc>
        <w:tc>
          <w:tcPr>
            <w:tcW w:w="1173" w:type="dxa"/>
            <w:gridSpan w:val="2"/>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项目名称</w:t>
            </w:r>
          </w:p>
        </w:tc>
        <w:tc>
          <w:tcPr>
            <w:tcW w:w="939"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建设地点</w:t>
            </w:r>
          </w:p>
        </w:tc>
        <w:tc>
          <w:tcPr>
            <w:tcW w:w="1363"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建设周期</w:t>
            </w:r>
          </w:p>
        </w:tc>
        <w:tc>
          <w:tcPr>
            <w:tcW w:w="1106"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承担单位</w:t>
            </w:r>
          </w:p>
        </w:tc>
        <w:tc>
          <w:tcPr>
            <w:tcW w:w="4366"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实施情况</w:t>
            </w:r>
          </w:p>
        </w:tc>
        <w:tc>
          <w:tcPr>
            <w:tcW w:w="819"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总投资（万元）</w:t>
            </w:r>
          </w:p>
        </w:tc>
        <w:tc>
          <w:tcPr>
            <w:tcW w:w="706" w:type="dxa"/>
            <w:vAlign w:val="center"/>
          </w:tcPr>
          <w:p>
            <w:pPr>
              <w:spacing w:line="240" w:lineRule="auto"/>
              <w:ind w:firstLine="0" w:firstLineChars="0"/>
              <w:jc w:val="center"/>
              <w:rPr>
                <w:rFonts w:hint="eastAsia" w:eastAsia="仿宋_GB2312" w:cs="Times New Roman"/>
                <w:b/>
                <w:bCs/>
                <w:sz w:val="21"/>
                <w:szCs w:val="21"/>
              </w:rPr>
            </w:pPr>
            <w:r>
              <w:rPr>
                <w:rFonts w:eastAsia="仿宋_GB2312" w:cs="Times New Roman"/>
                <w:b/>
                <w:bCs/>
                <w:sz w:val="21"/>
                <w:szCs w:val="21"/>
              </w:rPr>
              <w:t>关联</w:t>
            </w:r>
          </w:p>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水体</w:t>
            </w:r>
          </w:p>
        </w:tc>
        <w:tc>
          <w:tcPr>
            <w:tcW w:w="338" w:type="dxa"/>
            <w:vAlign w:val="center"/>
          </w:tcPr>
          <w:p>
            <w:pPr>
              <w:spacing w:line="240" w:lineRule="auto"/>
              <w:ind w:firstLine="0" w:firstLineChars="0"/>
              <w:jc w:val="center"/>
              <w:rPr>
                <w:rFonts w:eastAsia="仿宋_GB2312" w:cs="Times New Roman"/>
                <w:b/>
                <w:bCs/>
                <w:sz w:val="21"/>
                <w:szCs w:val="21"/>
              </w:rPr>
            </w:pPr>
            <w:r>
              <w:rPr>
                <w:rFonts w:eastAsia="仿宋_GB2312" w:cs="Times New Roman"/>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96" w:hRule="atLeast"/>
          <w:jc w:val="center"/>
        </w:trPr>
        <w:tc>
          <w:tcPr>
            <w:tcW w:w="13287" w:type="dxa"/>
            <w:gridSpan w:val="13"/>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1</w:t>
            </w:r>
            <w:r>
              <w:rPr>
                <w:rFonts w:hint="eastAsia" w:eastAsia="仿宋_GB2312" w:cs="Times New Roman"/>
                <w:b/>
                <w:sz w:val="21"/>
                <w:szCs w:val="21"/>
              </w:rPr>
              <w:t>-</w:t>
            </w:r>
            <w:r>
              <w:rPr>
                <w:rFonts w:eastAsia="仿宋_GB2312" w:cs="Times New Roman"/>
                <w:b/>
                <w:sz w:val="21"/>
                <w:szCs w:val="21"/>
              </w:rPr>
              <w:t>流域污染源治理类项目小计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747"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941"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垃圾污染治理工程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大城县子牙河周边城乡一体化垃圾收集处理模式建设工程</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大城县子牙河周边1km范围内</w:t>
            </w:r>
          </w:p>
        </w:tc>
        <w:tc>
          <w:tcPr>
            <w:tcW w:w="1363" w:type="dxa"/>
            <w:vAlign w:val="center"/>
          </w:tcPr>
          <w:p>
            <w:pPr>
              <w:spacing w:line="240" w:lineRule="auto"/>
              <w:ind w:firstLine="0" w:firstLineChars="0"/>
              <w:jc w:val="center"/>
              <w:rPr>
                <w:rFonts w:hint="eastAsia"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2018</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hint="eastAsia" w:eastAsia="仿宋_GB2312" w:cs="Times New Roman"/>
                <w:sz w:val="21"/>
                <w:szCs w:val="21"/>
              </w:rPr>
            </w:pPr>
            <w:r>
              <w:rPr>
                <w:rFonts w:eastAsia="仿宋_GB2312" w:cs="Times New Roman"/>
                <w:sz w:val="21"/>
                <w:szCs w:val="21"/>
              </w:rPr>
              <w:t>子牙河周边1km范围内，南赵扶镇、臧屯乡、权村镇、留各庄镇和广安镇等5个重点乡镇，65个行政村“户分类、村收集、乡镇转运、县集中处理”的城乡一体化垃圾处理模式基本建成</w:t>
            </w:r>
            <w:r>
              <w:rPr>
                <w:rFonts w:hint="eastAsia" w:eastAsia="仿宋_GB2312" w:cs="Times New Roman"/>
                <w:sz w:val="21"/>
                <w:szCs w:val="21"/>
              </w:rPr>
              <w:t>。</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471"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941"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垃圾污染治理工程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大城县子牙河周边非法垃圾堆放点清理取缔</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大城县子牙河周边1km范围内</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清理取缔大城县子牙河周边1km范围内的非法垃圾堆放点，清理河道内和岸边的乱搭、乱建、乱堆、乱放和违章种植、养殖等，所清理垃圾全部运往大城县垃圾填埋场处理。</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837"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941"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城镇集中式生活污水处理设施建设及配套管网工程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大城县城建环保污水处理有限公司二期工程</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大城县城区</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大城县城建环保污水处理有限公司二期工程位于大城县城东2公里津保路污水处理厂一期北侧，规模为2.0万吨/日，出水执行《城镇污水处理厂污染物排放标准》（GB18918-2002）一级A排放标准。</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5275</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893"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941"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城镇集中式生活污水处理设施建设及配套管网工程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大城县旺村镇镇区（含大城现代制造业产业园区）配套污水管网建设</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大城县旺村镇</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2018</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建设旺村镇镇区（含大城现代制造业产业园区）配套污水管网，实现旺村镇区流标村、张荆河村和大城现代制造产业园污水管网全覆盖，并接入现代园污水处理厂，实现废水基本全收集、全处理。</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50"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941"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工业污染治理工程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大城县旺村有色金属产业园污水处理厂工程</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大城县旺村镇</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建设大城县旺村有色金属产业园污水处理厂，处理规模2000吨/日。</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1050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660"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941"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城镇集中式生活污水处理设施建设及配套管网工程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大城县子牙河沿岸、白马河沿岸非法排污口封堵工程</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子牙河、白马河周边</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封堵子牙河沿岸所有入河排污口，严格禁止单位及个人向子牙河排放废污水；清查并封堵白马河所有非法入河排污口，将污废水采用纳管或排污单位自建污废水处理设施等方式进行处理，禁止非法排污。</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子牙河、白马河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62"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941"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畜禽养殖污染治理工程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大城县子牙河周边禁养区畜禽养殖污染治理</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子牙河周边</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依法关闭或搬迁子牙河周边禁养区内的畜禽养殖场（小区）和养殖专业户。</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500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23"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941"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畜禽养殖污染治理工程</w:t>
            </w:r>
          </w:p>
        </w:tc>
        <w:tc>
          <w:tcPr>
            <w:tcW w:w="1173" w:type="dxa"/>
            <w:gridSpan w:val="2"/>
            <w:vAlign w:val="center"/>
          </w:tcPr>
          <w:p>
            <w:pPr>
              <w:spacing w:line="240" w:lineRule="auto"/>
              <w:ind w:firstLine="0" w:firstLineChars="0"/>
              <w:rPr>
                <w:rFonts w:eastAsia="仿宋_GB2312" w:cs="Times New Roman"/>
                <w:spacing w:val="-12"/>
                <w:sz w:val="21"/>
                <w:szCs w:val="21"/>
              </w:rPr>
            </w:pPr>
            <w:r>
              <w:rPr>
                <w:rFonts w:eastAsia="仿宋_GB2312" w:cs="Times New Roman"/>
                <w:spacing w:val="-12"/>
                <w:sz w:val="21"/>
                <w:szCs w:val="21"/>
              </w:rPr>
              <w:t>大城县大尚屯镇动物无害化处理厂建设</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大尚屯镇</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2018</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建设大城县大尚屯镇建设动物无害化处理厂1座，处理畜禽养殖场病死畜禽。</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500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263"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941"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w:t>
            </w:r>
          </w:p>
        </w:tc>
        <w:tc>
          <w:tcPr>
            <w:tcW w:w="982"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畜禽养殖污染治理工程</w:t>
            </w:r>
          </w:p>
        </w:tc>
        <w:tc>
          <w:tcPr>
            <w:tcW w:w="1173"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大城县子牙河流域10家规模化畜禽养殖场（小区）污染治理项目</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各乡镇涉及畜禽养殖场</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2018</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pacing w:val="-6"/>
                <w:sz w:val="21"/>
                <w:szCs w:val="21"/>
              </w:rPr>
            </w:pPr>
            <w:r>
              <w:rPr>
                <w:rFonts w:eastAsia="仿宋_GB2312" w:cs="Times New Roman"/>
                <w:spacing w:val="-6"/>
                <w:sz w:val="21"/>
                <w:szCs w:val="21"/>
              </w:rPr>
              <w:t>子牙河沿岸权村镇、留各庄镇、广安镇、臧屯乡、平舒镇、南赵扶镇、旺村镇等七个乡镇的规模化畜禽养殖场（小区）全部取消水冲粪方式，全面推广干清粪方式，全面禁止规模化畜禽养殖场（小区）粪便/尿液无处理直排现象。建设旺村镇大城县华野奶牛养殖农民专业合作社、大城县恒利奶牛养殖有限公司、大城县绿茵畜牧养殖有限公司、翟国峰养殖场，臧屯乡大城县德诚养殖场（白永前养殖场），大尚屯镇冯少华养殖场、黄牛养殖场，北魏乡房吉存养殖场，留各庄镇张雅静养殖场、广安镇张宝才养殖场等10家规模化畜禽养殖场粪便污水贮存、处理和资源化利用设施。</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454</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723"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94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982" w:type="dxa"/>
            <w:gridSpan w:val="2"/>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工业废水治理项目</w:t>
            </w:r>
          </w:p>
        </w:tc>
        <w:tc>
          <w:tcPr>
            <w:tcW w:w="1173" w:type="dxa"/>
            <w:gridSpan w:val="2"/>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大城县工业园区污水排放设施在线监控设施建设工程</w:t>
            </w:r>
          </w:p>
        </w:tc>
        <w:tc>
          <w:tcPr>
            <w:tcW w:w="9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涉水工业园区</w:t>
            </w:r>
          </w:p>
        </w:tc>
        <w:tc>
          <w:tcPr>
            <w:tcW w:w="1363"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6" w:type="dxa"/>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hint="eastAsia" w:eastAsia="仿宋_GB2312" w:cs="Times New Roman"/>
                <w:sz w:val="21"/>
                <w:szCs w:val="21"/>
              </w:rPr>
            </w:pPr>
            <w:r>
              <w:rPr>
                <w:rFonts w:eastAsia="仿宋_GB2312" w:cs="Times New Roman"/>
                <w:sz w:val="21"/>
                <w:szCs w:val="21"/>
              </w:rPr>
              <w:t>大城县现代制造业工业园区、大城气雾剂产业园区污水排放设施在线监控设施建设</w:t>
            </w:r>
            <w:r>
              <w:rPr>
                <w:rFonts w:hint="eastAsia" w:eastAsia="仿宋_GB2312" w:cs="Times New Roman"/>
                <w:sz w:val="21"/>
                <w:szCs w:val="21"/>
              </w:rPr>
              <w:t>。</w:t>
            </w:r>
          </w:p>
        </w:tc>
        <w:tc>
          <w:tcPr>
            <w:tcW w:w="81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2300</w:t>
            </w:r>
          </w:p>
        </w:tc>
        <w:tc>
          <w:tcPr>
            <w:tcW w:w="706"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07" w:hRule="atLeast"/>
          <w:jc w:val="center"/>
        </w:trPr>
        <w:tc>
          <w:tcPr>
            <w:tcW w:w="13287" w:type="dxa"/>
            <w:gridSpan w:val="13"/>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2</w:t>
            </w:r>
            <w:r>
              <w:rPr>
                <w:rFonts w:hint="eastAsia" w:eastAsia="仿宋_GB2312" w:cs="Times New Roman"/>
                <w:b/>
                <w:sz w:val="21"/>
                <w:szCs w:val="21"/>
              </w:rPr>
              <w:t>-</w:t>
            </w:r>
            <w:r>
              <w:rPr>
                <w:rFonts w:eastAsia="仿宋_GB2312" w:cs="Times New Roman"/>
                <w:b/>
                <w:sz w:val="21"/>
                <w:szCs w:val="21"/>
              </w:rPr>
              <w:t>流域生态修复与保护类项目小计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80"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996" w:type="dxa"/>
            <w:gridSpan w:val="2"/>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050" w:type="dxa"/>
            <w:gridSpan w:val="2"/>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水源涵养工程</w:t>
            </w:r>
          </w:p>
        </w:tc>
        <w:tc>
          <w:tcPr>
            <w:tcW w:w="1050"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子牙河沿岸绿化工程</w:t>
            </w:r>
          </w:p>
        </w:tc>
        <w:tc>
          <w:tcPr>
            <w:tcW w:w="939"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子牙河周边</w:t>
            </w:r>
          </w:p>
        </w:tc>
        <w:tc>
          <w:tcPr>
            <w:tcW w:w="1363"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6" w:type="dxa"/>
            <w:tcBorders>
              <w:top w:val="nil"/>
              <w:left w:val="nil"/>
              <w:bottom w:val="single" w:color="auto" w:sz="4" w:space="0"/>
              <w:right w:val="single" w:color="auto" w:sz="4" w:space="0"/>
            </w:tcBorders>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hint="eastAsia" w:eastAsia="仿宋_GB2312" w:cs="Times New Roman"/>
                <w:sz w:val="21"/>
                <w:szCs w:val="21"/>
              </w:rPr>
            </w:pPr>
            <w:r>
              <w:rPr>
                <w:rFonts w:eastAsia="仿宋_GB2312" w:cs="Times New Roman"/>
                <w:sz w:val="21"/>
                <w:szCs w:val="21"/>
              </w:rPr>
              <w:t>子牙河大堤及两侧1</w:t>
            </w:r>
            <w:r>
              <w:rPr>
                <w:rFonts w:hint="eastAsia" w:eastAsia="仿宋_GB2312" w:cs="Times New Roman"/>
                <w:sz w:val="21"/>
                <w:szCs w:val="21"/>
              </w:rPr>
              <w:t>~</w:t>
            </w:r>
            <w:r>
              <w:rPr>
                <w:rFonts w:eastAsia="仿宋_GB2312" w:cs="Times New Roman"/>
                <w:sz w:val="21"/>
                <w:szCs w:val="21"/>
              </w:rPr>
              <w:t>2km范围内宜林荒地绿化带建设</w:t>
            </w:r>
            <w:r>
              <w:rPr>
                <w:rFonts w:hint="eastAsia" w:eastAsia="仿宋_GB2312" w:cs="Times New Roman"/>
                <w:sz w:val="21"/>
                <w:szCs w:val="21"/>
              </w:rPr>
              <w:t>。</w:t>
            </w:r>
          </w:p>
        </w:tc>
        <w:tc>
          <w:tcPr>
            <w:tcW w:w="819"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1000</w:t>
            </w:r>
          </w:p>
        </w:tc>
        <w:tc>
          <w:tcPr>
            <w:tcW w:w="706"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058"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996" w:type="dxa"/>
            <w:gridSpan w:val="2"/>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050"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地下水压采工程</w:t>
            </w:r>
          </w:p>
        </w:tc>
        <w:tc>
          <w:tcPr>
            <w:tcW w:w="1050"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子牙河流域10家农业节水压采项目</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大城县留各庄镇、里坦镇、南赵扶镇、臧屯乡等乡镇及乡村</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2018</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推广规模化高效节水灌溉和农作物节水抗旱技术，完成留各庄镇、里坦镇、南赵扶镇、臧屯乡等乡镇喷灌、滴灌节水改造1.2万亩，积极推行退地减水2000亩。</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589" w:hRule="atLeast"/>
          <w:jc w:val="center"/>
        </w:trPr>
        <w:tc>
          <w:tcPr>
            <w:tcW w:w="554"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996" w:type="dxa"/>
            <w:gridSpan w:val="2"/>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050" w:type="dxa"/>
            <w:gridSpan w:val="2"/>
            <w:vAlign w:val="center"/>
          </w:tcPr>
          <w:p>
            <w:pPr>
              <w:spacing w:line="240" w:lineRule="auto"/>
              <w:ind w:firstLine="0" w:firstLineChars="0"/>
              <w:rPr>
                <w:rFonts w:eastAsia="仿宋_GB2312" w:cs="Times New Roman"/>
                <w:sz w:val="21"/>
                <w:szCs w:val="21"/>
              </w:rPr>
            </w:pPr>
            <w:r>
              <w:rPr>
                <w:rFonts w:eastAsia="仿宋_GB2312" w:cs="Times New Roman"/>
                <w:sz w:val="21"/>
                <w:szCs w:val="21"/>
              </w:rPr>
              <w:t>地下水压采工程</w:t>
            </w:r>
          </w:p>
        </w:tc>
        <w:tc>
          <w:tcPr>
            <w:tcW w:w="1050"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自备井关闭和南水北调地表水厂水源切换工程建设工程</w:t>
            </w:r>
          </w:p>
        </w:tc>
        <w:tc>
          <w:tcPr>
            <w:tcW w:w="939"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大城县城区</w:t>
            </w:r>
          </w:p>
        </w:tc>
        <w:tc>
          <w:tcPr>
            <w:tcW w:w="136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2017</w:t>
            </w:r>
            <w:r>
              <w:rPr>
                <w:rFonts w:hint="eastAsia" w:eastAsia="仿宋_GB2312" w:cs="Times New Roman"/>
                <w:sz w:val="21"/>
                <w:szCs w:val="21"/>
              </w:rPr>
              <w:t>年</w:t>
            </w:r>
          </w:p>
        </w:tc>
        <w:tc>
          <w:tcPr>
            <w:tcW w:w="1106" w:type="dxa"/>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4366" w:type="dxa"/>
            <w:vAlign w:val="center"/>
          </w:tcPr>
          <w:p>
            <w:pPr>
              <w:spacing w:line="240" w:lineRule="auto"/>
              <w:ind w:firstLine="0" w:firstLineChars="0"/>
              <w:rPr>
                <w:rFonts w:eastAsia="仿宋_GB2312" w:cs="Times New Roman"/>
                <w:sz w:val="21"/>
                <w:szCs w:val="21"/>
              </w:rPr>
            </w:pPr>
            <w:r>
              <w:rPr>
                <w:rFonts w:eastAsia="仿宋_GB2312" w:cs="Times New Roman"/>
                <w:sz w:val="21"/>
                <w:szCs w:val="21"/>
              </w:rPr>
              <w:t>切换大城县城区供水水源为南水北调引江水，同时分批次关停南水北调中线大城县供水工程市政公共供水管网覆盖范围内的自来水公司17眼取水井和32眼自备井。根据《大城县南水北调切换工作方案》，大城县城区水源切换分为永定大街以北，正大街以南、永定大街以南，白马河以北和白马河以南的老城区三个区域，从2017年6月起逐步切换供水水源，直至居民全部用上南水北调水。</w:t>
            </w:r>
          </w:p>
        </w:tc>
        <w:tc>
          <w:tcPr>
            <w:tcW w:w="819"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w:t>
            </w:r>
          </w:p>
        </w:tc>
        <w:tc>
          <w:tcPr>
            <w:tcW w:w="70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338" w:type="dxa"/>
            <w:vAlign w:val="center"/>
          </w:tcPr>
          <w:p>
            <w:pPr>
              <w:spacing w:line="240" w:lineRule="auto"/>
              <w:ind w:firstLine="0" w:firstLineChars="0"/>
              <w:jc w:val="center"/>
              <w:rPr>
                <w:rFonts w:eastAsia="仿宋_GB2312" w:cs="Times New Roman"/>
                <w:sz w:val="21"/>
                <w:szCs w:val="21"/>
              </w:rPr>
            </w:pPr>
          </w:p>
        </w:tc>
      </w:tr>
    </w:tbl>
    <w:p>
      <w:pPr>
        <w:spacing w:line="14" w:lineRule="exact"/>
        <w:ind w:firstLine="480"/>
        <w:rPr>
          <w:rFonts w:cs="Times New Roman"/>
        </w:rPr>
      </w:pPr>
    </w:p>
    <w:p>
      <w:pPr>
        <w:pStyle w:val="2"/>
        <w:autoSpaceDN w:val="0"/>
        <w:snapToGrid w:val="0"/>
        <w:spacing w:line="14" w:lineRule="exact"/>
        <w:ind w:firstLine="640"/>
        <w:jc w:val="center"/>
        <w:rPr>
          <w:rFonts w:eastAsia="仿宋_GB2312"/>
          <w:bCs w:val="0"/>
          <w:szCs w:val="28"/>
        </w:rPr>
        <w:sectPr>
          <w:footerReference r:id="rId19" w:type="default"/>
          <w:footerReference r:id="rId20" w:type="even"/>
          <w:pgSz w:w="16838" w:h="11906" w:orient="landscape"/>
          <w:pgMar w:top="1531" w:right="2098" w:bottom="1531" w:left="1474" w:header="851" w:footer="850" w:gutter="0"/>
          <w:cols w:space="720" w:num="1"/>
          <w:docGrid w:linePitch="326" w:charSpace="0"/>
        </w:sectPr>
      </w:pPr>
    </w:p>
    <w:p>
      <w:pPr>
        <w:pStyle w:val="4"/>
        <w:ind w:firstLine="643"/>
      </w:pPr>
      <w:bookmarkStart w:id="115" w:name="_Toc23790699"/>
      <w:r>
        <w:t>5.3.2未完成工程项目</w:t>
      </w:r>
      <w:bookmarkEnd w:id="115"/>
    </w:p>
    <w:p>
      <w:pPr>
        <w:autoSpaceDN w:val="0"/>
        <w:snapToGrid w:val="0"/>
        <w:spacing w:line="610" w:lineRule="exact"/>
        <w:ind w:firstLine="640"/>
        <w:rPr>
          <w:rFonts w:eastAsia="仿宋_GB2312" w:cs="Times New Roman"/>
          <w:sz w:val="32"/>
          <w:szCs w:val="32"/>
        </w:rPr>
      </w:pPr>
      <w:r>
        <w:rPr>
          <w:rFonts w:eastAsia="仿宋_GB2312" w:cs="Times New Roman"/>
          <w:sz w:val="32"/>
          <w:szCs w:val="32"/>
        </w:rPr>
        <w:t>截止2018年12月，子牙河廊坊市控制单元规划但尚未实施或未完成的项目4个，其中1项处于在建状态。</w:t>
      </w:r>
      <w:bookmarkStart w:id="116" w:name="_Hlk12628739"/>
      <w:r>
        <w:rPr>
          <w:rFonts w:eastAsia="仿宋_GB2312" w:cs="Times New Roman"/>
          <w:sz w:val="32"/>
          <w:szCs w:val="32"/>
        </w:rPr>
        <w:t>未完成工程项目具体情况见表5</w:t>
      </w:r>
      <w:r>
        <w:rPr>
          <w:rFonts w:hint="eastAsia" w:eastAsia="仿宋_GB2312" w:cs="Times New Roman"/>
          <w:sz w:val="32"/>
          <w:szCs w:val="32"/>
        </w:rPr>
        <w:t>-</w:t>
      </w:r>
      <w:r>
        <w:rPr>
          <w:rFonts w:eastAsia="仿宋_GB2312" w:cs="Times New Roman"/>
          <w:sz w:val="32"/>
          <w:szCs w:val="32"/>
        </w:rPr>
        <w:t>2。</w:t>
      </w:r>
    </w:p>
    <w:bookmarkEnd w:id="116"/>
    <w:p>
      <w:pPr>
        <w:ind w:firstLine="233" w:firstLineChars="83"/>
        <w:jc w:val="center"/>
        <w:rPr>
          <w:rFonts w:eastAsia="仿宋_GB2312" w:cs="Times New Roman"/>
          <w:b/>
          <w:sz w:val="28"/>
          <w:szCs w:val="28"/>
        </w:rPr>
      </w:pPr>
    </w:p>
    <w:p>
      <w:pPr>
        <w:pStyle w:val="2"/>
        <w:autoSpaceDN w:val="0"/>
        <w:snapToGrid w:val="0"/>
        <w:spacing w:line="360" w:lineRule="auto"/>
        <w:ind w:firstLine="640"/>
        <w:jc w:val="center"/>
        <w:rPr>
          <w:rFonts w:eastAsia="仿宋_GB2312"/>
          <w:bCs w:val="0"/>
          <w:szCs w:val="28"/>
        </w:rPr>
        <w:sectPr>
          <w:footerReference r:id="rId21" w:type="default"/>
          <w:pgSz w:w="11906" w:h="16838"/>
          <w:pgMar w:top="2098" w:right="1531" w:bottom="1474" w:left="1531" w:header="851" w:footer="850" w:gutter="0"/>
          <w:cols w:space="720" w:num="1"/>
          <w:docGrid w:linePitch="326" w:charSpace="0"/>
        </w:sectPr>
      </w:pPr>
      <w:bookmarkStart w:id="117" w:name="_Hlk12628724"/>
      <w:bookmarkStart w:id="118" w:name="_Hlk12628811"/>
    </w:p>
    <w:p>
      <w:pPr>
        <w:autoSpaceDN w:val="0"/>
        <w:snapToGrid w:val="0"/>
        <w:spacing w:after="120" w:afterLines="50" w:line="240" w:lineRule="auto"/>
        <w:ind w:firstLine="0" w:firstLineChars="0"/>
        <w:jc w:val="center"/>
        <w:rPr>
          <w:rFonts w:hint="eastAsia" w:ascii="黑体" w:hAnsi="黑体" w:eastAsia="黑体" w:cs="黑体"/>
          <w:bCs/>
          <w:sz w:val="32"/>
          <w:szCs w:val="32"/>
        </w:rPr>
      </w:pPr>
      <w:r>
        <w:rPr>
          <w:rFonts w:hint="eastAsia" w:ascii="黑体" w:hAnsi="黑体" w:eastAsia="黑体" w:cs="黑体"/>
          <w:bCs/>
          <w:sz w:val="32"/>
          <w:szCs w:val="32"/>
        </w:rPr>
        <w:t>表</w:t>
      </w:r>
      <w:r>
        <w:rPr>
          <w:rFonts w:eastAsia="黑体" w:cs="Times New Roman"/>
          <w:bCs/>
          <w:sz w:val="32"/>
          <w:szCs w:val="32"/>
        </w:rPr>
        <w:t>5-2</w:t>
      </w:r>
      <w:r>
        <w:rPr>
          <w:rFonts w:hint="eastAsia" w:ascii="黑体" w:hAnsi="黑体" w:eastAsia="黑体" w:cs="黑体"/>
          <w:bCs/>
          <w:sz w:val="32"/>
          <w:szCs w:val="32"/>
        </w:rPr>
        <w:t xml:space="preserve">  未完成工程项目清单</w:t>
      </w:r>
    </w:p>
    <w:bookmarkEnd w:id="117"/>
    <w:tbl>
      <w:tblPr>
        <w:tblStyle w:val="10"/>
        <w:tblW w:w="13260" w:type="dxa"/>
        <w:jc w:val="center"/>
        <w:tblInd w:w="0" w:type="dxa"/>
        <w:tblLayout w:type="fixed"/>
        <w:tblCellMar>
          <w:top w:w="0" w:type="dxa"/>
          <w:left w:w="11" w:type="dxa"/>
          <w:bottom w:w="0" w:type="dxa"/>
          <w:right w:w="11" w:type="dxa"/>
        </w:tblCellMar>
      </w:tblPr>
      <w:tblGrid>
        <w:gridCol w:w="353"/>
        <w:gridCol w:w="786"/>
        <w:gridCol w:w="1138"/>
        <w:gridCol w:w="1840"/>
        <w:gridCol w:w="992"/>
        <w:gridCol w:w="1305"/>
        <w:gridCol w:w="1104"/>
        <w:gridCol w:w="3204"/>
        <w:gridCol w:w="1053"/>
        <w:gridCol w:w="14"/>
        <w:gridCol w:w="826"/>
        <w:gridCol w:w="645"/>
      </w:tblGrid>
      <w:tr>
        <w:tblPrEx>
          <w:tblLayout w:type="fixed"/>
          <w:tblCellMar>
            <w:top w:w="0" w:type="dxa"/>
            <w:left w:w="11" w:type="dxa"/>
            <w:bottom w:w="0" w:type="dxa"/>
            <w:right w:w="11" w:type="dxa"/>
          </w:tblCellMar>
        </w:tblPrEx>
        <w:trPr>
          <w:trHeight w:val="567" w:hRule="atLeast"/>
          <w:jc w:val="center"/>
        </w:trPr>
        <w:tc>
          <w:tcPr>
            <w:tcW w:w="353"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序号</w:t>
            </w:r>
          </w:p>
        </w:tc>
        <w:tc>
          <w:tcPr>
            <w:tcW w:w="78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隶属</w:t>
            </w:r>
          </w:p>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关系</w:t>
            </w:r>
          </w:p>
        </w:tc>
        <w:tc>
          <w:tcPr>
            <w:tcW w:w="1138"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项目类型</w:t>
            </w:r>
          </w:p>
        </w:tc>
        <w:tc>
          <w:tcPr>
            <w:tcW w:w="1840"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项目名称</w:t>
            </w:r>
          </w:p>
        </w:tc>
        <w:tc>
          <w:tcPr>
            <w:tcW w:w="992"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建设地点</w:t>
            </w:r>
          </w:p>
        </w:tc>
        <w:tc>
          <w:tcPr>
            <w:tcW w:w="1305"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建设周期</w:t>
            </w:r>
          </w:p>
        </w:tc>
        <w:tc>
          <w:tcPr>
            <w:tcW w:w="1104"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承担单位</w:t>
            </w:r>
          </w:p>
        </w:tc>
        <w:tc>
          <w:tcPr>
            <w:tcW w:w="3204"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项目建设规模与内容</w:t>
            </w:r>
          </w:p>
        </w:tc>
        <w:tc>
          <w:tcPr>
            <w:tcW w:w="1053"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项目总投资（万元）</w:t>
            </w:r>
          </w:p>
        </w:tc>
        <w:tc>
          <w:tcPr>
            <w:tcW w:w="840" w:type="dxa"/>
            <w:gridSpan w:val="2"/>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关联</w:t>
            </w:r>
          </w:p>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水体</w:t>
            </w:r>
          </w:p>
        </w:tc>
        <w:tc>
          <w:tcPr>
            <w:tcW w:w="645"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备注</w:t>
            </w:r>
          </w:p>
        </w:tc>
      </w:tr>
      <w:tr>
        <w:tblPrEx>
          <w:tblLayout w:type="fixed"/>
          <w:tblCellMar>
            <w:top w:w="0" w:type="dxa"/>
            <w:left w:w="11" w:type="dxa"/>
            <w:bottom w:w="0" w:type="dxa"/>
            <w:right w:w="11" w:type="dxa"/>
          </w:tblCellMar>
        </w:tblPrEx>
        <w:trPr>
          <w:trHeight w:val="567" w:hRule="atLeast"/>
          <w:jc w:val="center"/>
        </w:trPr>
        <w:tc>
          <w:tcPr>
            <w:tcW w:w="13260" w:type="dxa"/>
            <w:gridSpan w:val="12"/>
            <w:tcBorders>
              <w:top w:val="nil"/>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1</w:t>
            </w:r>
            <w:r>
              <w:rPr>
                <w:rFonts w:hint="eastAsia" w:eastAsia="仿宋_GB2312" w:cs="Times New Roman"/>
                <w:b/>
                <w:sz w:val="21"/>
                <w:szCs w:val="21"/>
              </w:rPr>
              <w:t>-</w:t>
            </w:r>
            <w:r>
              <w:rPr>
                <w:rFonts w:eastAsia="仿宋_GB2312" w:cs="Times New Roman"/>
                <w:b/>
                <w:sz w:val="21"/>
                <w:szCs w:val="21"/>
              </w:rPr>
              <w:t>流域污染源治理类项目小计</w:t>
            </w:r>
          </w:p>
        </w:tc>
      </w:tr>
      <w:tr>
        <w:tblPrEx>
          <w:tblLayout w:type="fixed"/>
          <w:tblCellMar>
            <w:top w:w="0" w:type="dxa"/>
            <w:left w:w="11" w:type="dxa"/>
            <w:bottom w:w="0" w:type="dxa"/>
            <w:right w:w="11" w:type="dxa"/>
          </w:tblCellMar>
        </w:tblPrEx>
        <w:trPr>
          <w:trHeight w:val="2205" w:hRule="atLeast"/>
          <w:jc w:val="center"/>
        </w:trPr>
        <w:tc>
          <w:tcPr>
            <w:tcW w:w="353" w:type="dxa"/>
            <w:tcBorders>
              <w:top w:val="nil"/>
              <w:left w:val="single" w:color="auto" w:sz="4" w:space="0"/>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786"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138"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集中式污水处理设施建设及配套管网工程</w:t>
            </w:r>
          </w:p>
        </w:tc>
        <w:tc>
          <w:tcPr>
            <w:tcW w:w="1840"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大城县城区配套截污管网建设工程</w:t>
            </w:r>
          </w:p>
        </w:tc>
        <w:tc>
          <w:tcPr>
            <w:tcW w:w="99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大城县城区</w:t>
            </w:r>
          </w:p>
        </w:tc>
        <w:tc>
          <w:tcPr>
            <w:tcW w:w="1305"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hint="eastAsia"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4"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3204"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完成输往城东污水处理厂配套输水管网长度38660米，管网采用截流式合流制与分流制并用的排水体制，预留远期雨污分流系统改造和城西污水处理厂输水连接接口；建设白马河</w:t>
            </w:r>
            <w:r>
              <w:rPr>
                <w:rFonts w:hint="eastAsia" w:eastAsia="仿宋_GB2312" w:cs="Times New Roman"/>
                <w:sz w:val="21"/>
                <w:szCs w:val="21"/>
              </w:rPr>
              <w:t>—</w:t>
            </w:r>
            <w:r>
              <w:rPr>
                <w:rFonts w:eastAsia="仿宋_GB2312" w:cs="Times New Roman"/>
                <w:sz w:val="21"/>
                <w:szCs w:val="21"/>
              </w:rPr>
              <w:t>安庆屯干渠交口污水泵站一座，提升排水高度3米。</w:t>
            </w:r>
          </w:p>
        </w:tc>
        <w:tc>
          <w:tcPr>
            <w:tcW w:w="1053"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1661</w:t>
            </w:r>
          </w:p>
        </w:tc>
        <w:tc>
          <w:tcPr>
            <w:tcW w:w="840" w:type="dxa"/>
            <w:gridSpan w:val="2"/>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645"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eastAsia="仿宋_GB2312" w:cs="Times New Roman"/>
                <w:sz w:val="21"/>
                <w:szCs w:val="21"/>
              </w:rPr>
            </w:pPr>
          </w:p>
        </w:tc>
      </w:tr>
      <w:tr>
        <w:tblPrEx>
          <w:tblLayout w:type="fixed"/>
          <w:tblCellMar>
            <w:top w:w="0" w:type="dxa"/>
            <w:left w:w="11" w:type="dxa"/>
            <w:bottom w:w="0" w:type="dxa"/>
            <w:right w:w="11" w:type="dxa"/>
          </w:tblCellMar>
        </w:tblPrEx>
        <w:trPr>
          <w:trHeight w:val="1436" w:hRule="atLeast"/>
          <w:jc w:val="center"/>
        </w:trPr>
        <w:tc>
          <w:tcPr>
            <w:tcW w:w="353" w:type="dxa"/>
            <w:tcBorders>
              <w:top w:val="nil"/>
              <w:left w:val="single" w:color="auto" w:sz="4" w:space="0"/>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786"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138"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集中式污水处理设施建设及配套管网工程</w:t>
            </w:r>
          </w:p>
        </w:tc>
        <w:tc>
          <w:tcPr>
            <w:tcW w:w="1840"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大城县留各庄镇污水处理厂及镇区配套污水管网建设工程</w:t>
            </w:r>
          </w:p>
        </w:tc>
        <w:tc>
          <w:tcPr>
            <w:tcW w:w="99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大城县留各庄镇</w:t>
            </w:r>
          </w:p>
        </w:tc>
        <w:tc>
          <w:tcPr>
            <w:tcW w:w="1305"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4"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rFonts w:cs="Times New Roman"/>
              </w:rPr>
            </w:pPr>
            <w:r>
              <w:rPr>
                <w:rFonts w:eastAsia="仿宋_GB2312" w:cs="Times New Roman"/>
                <w:sz w:val="21"/>
                <w:szCs w:val="21"/>
              </w:rPr>
              <w:t>大城县政府</w:t>
            </w:r>
          </w:p>
        </w:tc>
        <w:tc>
          <w:tcPr>
            <w:tcW w:w="3204"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留各庄镇污水处理厂及镇区配套污水管网建设，设计处理规模0.6万吨/日，设计出水标准一级A。</w:t>
            </w:r>
          </w:p>
        </w:tc>
        <w:tc>
          <w:tcPr>
            <w:tcW w:w="1053"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1500</w:t>
            </w:r>
          </w:p>
        </w:tc>
        <w:tc>
          <w:tcPr>
            <w:tcW w:w="840" w:type="dxa"/>
            <w:gridSpan w:val="2"/>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645"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eastAsia="仿宋_GB2312" w:cs="Times New Roman"/>
                <w:sz w:val="21"/>
                <w:szCs w:val="21"/>
              </w:rPr>
            </w:pPr>
          </w:p>
        </w:tc>
      </w:tr>
      <w:tr>
        <w:tblPrEx>
          <w:tblLayout w:type="fixed"/>
          <w:tblCellMar>
            <w:top w:w="0" w:type="dxa"/>
            <w:left w:w="11" w:type="dxa"/>
            <w:bottom w:w="0" w:type="dxa"/>
            <w:right w:w="11" w:type="dxa"/>
          </w:tblCellMar>
        </w:tblPrEx>
        <w:trPr>
          <w:trHeight w:val="1394" w:hRule="atLeast"/>
          <w:jc w:val="center"/>
        </w:trPr>
        <w:tc>
          <w:tcPr>
            <w:tcW w:w="353" w:type="dxa"/>
            <w:tcBorders>
              <w:top w:val="nil"/>
              <w:left w:val="single" w:color="auto" w:sz="4" w:space="0"/>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786"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138"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集中式污水处理设施建设及配套管网工程</w:t>
            </w:r>
          </w:p>
        </w:tc>
        <w:tc>
          <w:tcPr>
            <w:tcW w:w="1840"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大城县南赵扶镇污水处理厂及镇区配套污水管网建设工程</w:t>
            </w:r>
          </w:p>
        </w:tc>
        <w:tc>
          <w:tcPr>
            <w:tcW w:w="99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大城县南赵扶镇</w:t>
            </w:r>
          </w:p>
        </w:tc>
        <w:tc>
          <w:tcPr>
            <w:tcW w:w="1305"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4"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3204"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hint="eastAsia" w:eastAsia="仿宋_GB2312" w:cs="Times New Roman"/>
                <w:sz w:val="21"/>
                <w:szCs w:val="21"/>
              </w:rPr>
            </w:pPr>
            <w:r>
              <w:rPr>
                <w:rFonts w:eastAsia="仿宋_GB2312" w:cs="Times New Roman"/>
                <w:sz w:val="21"/>
                <w:szCs w:val="21"/>
              </w:rPr>
              <w:t>南赵扶镇污水处理厂及镇区配套污水管网建设，设计处理规模0.6万吨/日，设计出水标准一级A</w:t>
            </w:r>
            <w:r>
              <w:rPr>
                <w:rFonts w:hint="eastAsia" w:eastAsia="仿宋_GB2312" w:cs="Times New Roman"/>
                <w:sz w:val="21"/>
                <w:szCs w:val="21"/>
              </w:rPr>
              <w:t>。</w:t>
            </w:r>
          </w:p>
        </w:tc>
        <w:tc>
          <w:tcPr>
            <w:tcW w:w="1053"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1500</w:t>
            </w:r>
          </w:p>
        </w:tc>
        <w:tc>
          <w:tcPr>
            <w:tcW w:w="840" w:type="dxa"/>
            <w:gridSpan w:val="2"/>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645"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eastAsia="仿宋_GB2312" w:cs="Times New Roman"/>
                <w:sz w:val="21"/>
                <w:szCs w:val="21"/>
              </w:rPr>
            </w:pPr>
          </w:p>
        </w:tc>
      </w:tr>
      <w:tr>
        <w:tblPrEx>
          <w:tblLayout w:type="fixed"/>
          <w:tblCellMar>
            <w:top w:w="0" w:type="dxa"/>
            <w:left w:w="11" w:type="dxa"/>
            <w:bottom w:w="0" w:type="dxa"/>
            <w:right w:w="11" w:type="dxa"/>
          </w:tblCellMar>
        </w:tblPrEx>
        <w:trPr>
          <w:trHeight w:val="567" w:hRule="atLeast"/>
          <w:jc w:val="center"/>
        </w:trPr>
        <w:tc>
          <w:tcPr>
            <w:tcW w:w="13260" w:type="dxa"/>
            <w:gridSpan w:val="12"/>
            <w:tcBorders>
              <w:top w:val="nil"/>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2</w:t>
            </w:r>
            <w:r>
              <w:rPr>
                <w:rFonts w:hint="eastAsia" w:eastAsia="仿宋_GB2312" w:cs="Times New Roman"/>
                <w:b/>
                <w:sz w:val="21"/>
                <w:szCs w:val="21"/>
              </w:rPr>
              <w:t>-</w:t>
            </w:r>
            <w:r>
              <w:rPr>
                <w:rFonts w:eastAsia="仿宋_GB2312" w:cs="Times New Roman"/>
                <w:b/>
                <w:sz w:val="21"/>
                <w:szCs w:val="21"/>
              </w:rPr>
              <w:t>流域生态修复与保护类型项目小计</w:t>
            </w:r>
          </w:p>
        </w:tc>
      </w:tr>
      <w:tr>
        <w:tblPrEx>
          <w:tblLayout w:type="fixed"/>
          <w:tblCellMar>
            <w:top w:w="0" w:type="dxa"/>
            <w:left w:w="11" w:type="dxa"/>
            <w:bottom w:w="0" w:type="dxa"/>
            <w:right w:w="11" w:type="dxa"/>
          </w:tblCellMar>
        </w:tblPrEx>
        <w:trPr>
          <w:trHeight w:val="1470" w:hRule="atLeast"/>
          <w:jc w:val="center"/>
        </w:trPr>
        <w:tc>
          <w:tcPr>
            <w:tcW w:w="353" w:type="dxa"/>
            <w:tcBorders>
              <w:top w:val="nil"/>
              <w:left w:val="single" w:color="auto" w:sz="4" w:space="0"/>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786"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138"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流域水生态修复</w:t>
            </w:r>
            <w:r>
              <w:rPr>
                <w:rFonts w:hint="eastAsia" w:eastAsia="仿宋_GB2312" w:cs="Times New Roman"/>
                <w:sz w:val="21"/>
                <w:szCs w:val="21"/>
              </w:rPr>
              <w:t>—</w:t>
            </w:r>
            <w:r>
              <w:rPr>
                <w:rFonts w:eastAsia="仿宋_GB2312" w:cs="Times New Roman"/>
                <w:sz w:val="21"/>
                <w:szCs w:val="21"/>
              </w:rPr>
              <w:t>人工湿地建设项目</w:t>
            </w:r>
          </w:p>
        </w:tc>
        <w:tc>
          <w:tcPr>
            <w:tcW w:w="1840"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大城县污水处理厂尾水人工湿地净化示范工程</w:t>
            </w:r>
          </w:p>
        </w:tc>
        <w:tc>
          <w:tcPr>
            <w:tcW w:w="99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大城县城区</w:t>
            </w:r>
          </w:p>
        </w:tc>
        <w:tc>
          <w:tcPr>
            <w:tcW w:w="1305"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2020</w:t>
            </w:r>
            <w:r>
              <w:rPr>
                <w:rFonts w:hint="eastAsia" w:eastAsia="仿宋_GB2312" w:cs="Times New Roman"/>
                <w:sz w:val="21"/>
                <w:szCs w:val="21"/>
              </w:rPr>
              <w:t>年</w:t>
            </w:r>
          </w:p>
        </w:tc>
        <w:tc>
          <w:tcPr>
            <w:tcW w:w="1104" w:type="dxa"/>
            <w:tcBorders>
              <w:top w:val="nil"/>
              <w:left w:val="nil"/>
              <w:bottom w:val="single" w:color="auto" w:sz="4" w:space="0"/>
              <w:right w:val="single" w:color="auto" w:sz="4" w:space="0"/>
            </w:tcBorders>
            <w:shd w:val="clear" w:color="auto" w:fill="auto"/>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3204"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大城县污水处理厂尾水人工湿地净化示范工程，采用兼性塘</w:t>
            </w:r>
            <w:r>
              <w:rPr>
                <w:rFonts w:hint="eastAsia" w:eastAsia="仿宋_GB2312" w:cs="Times New Roman"/>
                <w:sz w:val="21"/>
                <w:szCs w:val="21"/>
              </w:rPr>
              <w:t>-</w:t>
            </w:r>
            <w:r>
              <w:rPr>
                <w:rFonts w:eastAsia="仿宋_GB2312" w:cs="Times New Roman"/>
                <w:sz w:val="21"/>
                <w:szCs w:val="21"/>
              </w:rPr>
              <w:t>表流湿地组合工艺，建设总湿地面积约35公顷。</w:t>
            </w:r>
          </w:p>
        </w:tc>
        <w:tc>
          <w:tcPr>
            <w:tcW w:w="1067" w:type="dxa"/>
            <w:gridSpan w:val="2"/>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6750</w:t>
            </w:r>
          </w:p>
        </w:tc>
        <w:tc>
          <w:tcPr>
            <w:tcW w:w="826"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子牙河、白马河</w:t>
            </w:r>
          </w:p>
        </w:tc>
        <w:tc>
          <w:tcPr>
            <w:tcW w:w="645"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eastAsia="仿宋_GB2312" w:cs="Times New Roman"/>
                <w:sz w:val="21"/>
                <w:szCs w:val="21"/>
              </w:rPr>
            </w:pPr>
          </w:p>
        </w:tc>
      </w:tr>
    </w:tbl>
    <w:p>
      <w:pPr>
        <w:spacing w:line="14" w:lineRule="exact"/>
        <w:ind w:firstLine="480"/>
        <w:rPr>
          <w:rFonts w:cs="Times New Roman"/>
        </w:rPr>
      </w:pPr>
    </w:p>
    <w:p>
      <w:pPr>
        <w:pStyle w:val="2"/>
        <w:autoSpaceDN w:val="0"/>
        <w:snapToGrid w:val="0"/>
        <w:spacing w:line="14" w:lineRule="exact"/>
        <w:ind w:firstLine="640"/>
        <w:jc w:val="center"/>
        <w:rPr>
          <w:rFonts w:eastAsia="仿宋_GB2312"/>
          <w:bCs w:val="0"/>
          <w:szCs w:val="28"/>
        </w:rPr>
        <w:sectPr>
          <w:footerReference r:id="rId22" w:type="even"/>
          <w:pgSz w:w="16838" w:h="11906" w:orient="landscape"/>
          <w:pgMar w:top="1531" w:right="2098" w:bottom="1531" w:left="1474" w:header="851" w:footer="850" w:gutter="0"/>
          <w:cols w:space="720" w:num="1"/>
          <w:docGrid w:linePitch="326" w:charSpace="0"/>
        </w:sectPr>
      </w:pPr>
    </w:p>
    <w:p>
      <w:pPr>
        <w:pStyle w:val="4"/>
        <w:spacing w:line="590" w:lineRule="exact"/>
        <w:ind w:firstLine="643"/>
      </w:pPr>
      <w:bookmarkStart w:id="119" w:name="_Toc23790700"/>
      <w:r>
        <w:t>5.3.3拟取消工程项目</w:t>
      </w:r>
      <w:bookmarkEnd w:id="119"/>
    </w:p>
    <w:bookmarkEnd w:id="118"/>
    <w:p>
      <w:pPr>
        <w:adjustRightInd w:val="0"/>
        <w:snapToGrid w:val="0"/>
        <w:spacing w:line="590" w:lineRule="exact"/>
        <w:ind w:firstLine="640"/>
        <w:rPr>
          <w:rFonts w:eastAsia="仿宋_GB2312" w:cs="Times New Roman"/>
          <w:sz w:val="32"/>
          <w:szCs w:val="32"/>
        </w:rPr>
      </w:pPr>
      <w:bookmarkStart w:id="120" w:name="_Hlk12630073"/>
      <w:r>
        <w:rPr>
          <w:rFonts w:eastAsia="仿宋_GB2312" w:cs="Times New Roman"/>
          <w:sz w:val="32"/>
          <w:szCs w:val="32"/>
        </w:rPr>
        <w:t>根据实际需要，拟取消原方案中规划的子牙河廊坊市控制单元大城县南赵扶镇污水处理厂建设工程、大城县污水处理厂尾水人工湿地净化示范工程、大城县留各庄镇污水处理厂及镇区配套污水管网建设工程共3项。拟取消工程项目情况具体如下：</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（1）大城县南赵扶镇污水处理厂建设工程</w:t>
      </w:r>
    </w:p>
    <w:bookmarkEnd w:id="120"/>
    <w:p>
      <w:pPr>
        <w:topLinePunct/>
        <w:autoSpaceDE w:val="0"/>
        <w:autoSpaceDN w:val="0"/>
        <w:adjustRightInd w:val="0"/>
        <w:snapToGrid w:val="0"/>
        <w:spacing w:line="590" w:lineRule="exact"/>
        <w:ind w:firstLine="640"/>
        <w:rPr>
          <w:rFonts w:eastAsia="仿宋_GB2312" w:cs="Times New Roman"/>
          <w:sz w:val="32"/>
          <w:szCs w:val="32"/>
        </w:rPr>
      </w:pPr>
      <w:bookmarkStart w:id="121" w:name="_Hlk12630482"/>
      <w:r>
        <w:rPr>
          <w:rFonts w:eastAsia="仿宋_GB2312" w:cs="Times New Roman"/>
          <w:color w:val="000000"/>
          <w:sz w:val="32"/>
          <w:szCs w:val="32"/>
        </w:rPr>
        <w:t>该项目的初衷是解决</w:t>
      </w:r>
      <w:r>
        <w:rPr>
          <w:rFonts w:eastAsia="仿宋_GB2312" w:cs="Times New Roman"/>
          <w:sz w:val="32"/>
          <w:szCs w:val="32"/>
        </w:rPr>
        <w:t>南赵扶镇区及南赵扶镇产业园区污水直排问题。2</w:t>
      </w:r>
      <w:bookmarkEnd w:id="121"/>
      <w:r>
        <w:rPr>
          <w:rFonts w:eastAsia="仿宋_GB2312" w:cs="Times New Roman"/>
          <w:sz w:val="32"/>
          <w:szCs w:val="32"/>
        </w:rPr>
        <w:t>016年之前，南赵扶镇区及南赵扶镇产业园区尚无污水处理设施，也无完善的排水系统，镇区雨水通过地面径流流入排水干渠或道路边沟，生活污水随意排放道路边沟或就近直接排入南赵扶排水干渠。</w:t>
      </w:r>
    </w:p>
    <w:p>
      <w:pPr>
        <w:autoSpaceDE w:val="0"/>
        <w:autoSpaceDN w:val="0"/>
        <w:adjustRightInd w:val="0"/>
        <w:snapToGrid w:val="0"/>
        <w:spacing w:line="590" w:lineRule="exact"/>
        <w:ind w:firstLine="640"/>
        <w:rPr>
          <w:rFonts w:eastAsia="仿宋_GB2312" w:cs="Times New Roman"/>
          <w:sz w:val="32"/>
          <w:szCs w:val="32"/>
        </w:rPr>
      </w:pPr>
      <w:bookmarkStart w:id="122" w:name="_Hlk12630823"/>
      <w:r>
        <w:rPr>
          <w:rFonts w:eastAsia="仿宋_GB2312" w:cs="Times New Roman"/>
          <w:sz w:val="32"/>
          <w:szCs w:val="32"/>
        </w:rPr>
        <w:t>原达标方案建议，</w:t>
      </w:r>
      <w:bookmarkEnd w:id="122"/>
      <w:r>
        <w:rPr>
          <w:rFonts w:eastAsia="仿宋_GB2312" w:cs="Times New Roman"/>
          <w:sz w:val="32"/>
          <w:szCs w:val="32"/>
        </w:rPr>
        <w:t>在红木产业园区东南部新建南赵扶镇污水处理厂，服务南赵扶镇区和南赵扶镇红木产业园区，规模为0.6万吨/</w:t>
      </w:r>
      <w:r>
        <w:rPr>
          <w:rFonts w:hint="eastAsia" w:eastAsia="仿宋_GB2312" w:cs="Times New Roman"/>
          <w:sz w:val="32"/>
          <w:szCs w:val="32"/>
        </w:rPr>
        <w:t>日</w:t>
      </w:r>
      <w:r>
        <w:rPr>
          <w:rFonts w:eastAsia="仿宋_GB2312" w:cs="Times New Roman"/>
          <w:sz w:val="32"/>
          <w:szCs w:val="32"/>
        </w:rPr>
        <w:t>，污水出水水质达到一级A标准，尾水通过排干渠最终排入黑龙港河；同时规划镇区及产业园区均采用雨污分流制排水体制，包括根据镇区、产业园区的地形及用地布局，沿市政道路敷设污水管道，使污水按重力流方式排入污水处理厂处理达标后排放，同时采用雨水管道收集雨水，就近排入水系、沟渠。</w:t>
      </w:r>
    </w:p>
    <w:p>
      <w:pPr>
        <w:autoSpaceDE w:val="0"/>
        <w:autoSpaceDN w:val="0"/>
        <w:adjustRightInd w:val="0"/>
        <w:snapToGrid w:val="0"/>
        <w:spacing w:line="590" w:lineRule="exact"/>
        <w:ind w:firstLine="640"/>
        <w:rPr>
          <w:rFonts w:eastAsia="仿宋_GB2312" w:cs="Times New Roman"/>
          <w:sz w:val="32"/>
          <w:szCs w:val="32"/>
        </w:rPr>
      </w:pPr>
      <w:bookmarkStart w:id="123" w:name="_Hlk12630970"/>
      <w:r>
        <w:rPr>
          <w:rFonts w:eastAsia="仿宋_GB2312" w:cs="Times New Roman"/>
          <w:sz w:val="32"/>
          <w:szCs w:val="32"/>
        </w:rPr>
        <w:t>原达标方案实施过程中，</w:t>
      </w:r>
      <w:bookmarkEnd w:id="123"/>
      <w:r>
        <w:rPr>
          <w:rFonts w:eastAsia="仿宋_GB2312" w:cs="Times New Roman"/>
          <w:sz w:val="32"/>
          <w:szCs w:val="32"/>
        </w:rPr>
        <w:t>规划的“大城县城区配套截污管网建设工程项目”已经将南赵扶镇区及南赵扶镇产业园区纳入收水范围。通过实施大城县城区配套截污管网建设工程中的南赵扶镇规划镇区及产业园区雨污分流制管网建设工程，可将区域产生的全部生活和工业废污水输送至大城县城东污水处理厂集中处理，以彻底解决南赵扶镇生活污水直排问题。</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因此，原方案要求的大城县南赵扶镇污水处理厂建设工程不再具有实施的必要性，建议取消。</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（2）大城县污水处理厂尾水人工湿地净化示范工程</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该项目</w:t>
      </w:r>
      <w:r>
        <w:rPr>
          <w:rFonts w:eastAsia="仿宋_GB2312" w:cs="Times New Roman"/>
          <w:color w:val="000000"/>
          <w:sz w:val="32"/>
          <w:szCs w:val="32"/>
        </w:rPr>
        <w:t>的初衷是</w:t>
      </w:r>
      <w:r>
        <w:rPr>
          <w:rFonts w:eastAsia="仿宋_GB2312" w:cs="Times New Roman"/>
          <w:sz w:val="32"/>
          <w:szCs w:val="32"/>
        </w:rPr>
        <w:t>解决方案编制前，城区雨水和污水处理厂尾水排入城区白马河，夏季极端暴雨条件下，白马河通过南赵扶扬水站向子牙河排洪，对子牙河的水质风险隐患问题。</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原达标方案建议，采用兼性塘-表流湿地组合工艺，在子牙河周边及河道内建设35公顷的人工湿地净化示范工程，进一步净化处理大城县污水处理厂尾水，确保夏季暴雨白马河排洪条件下，污水处理厂尾水汇入不对子牙河水质造成明显污染，子牙河主要断面水质依然能够达标。</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原达标方案实施过程中，通过管网建设改变排水方向，现状大厂县城区雨水和污水处理厂尾水已不再通过南赵扶扬水站排向子牙河，而是直接排往安庆屯干渠和郝庄干渠；近年来白马河水质已经显著改善，并可以稳定达标。</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因此，原方案要求的大城县污水处理厂尾水人工湿地净化示范工程不再具有实施的必要性，建议取消。</w:t>
      </w:r>
    </w:p>
    <w:p>
      <w:pPr>
        <w:autoSpaceDE w:val="0"/>
        <w:autoSpaceDN w:val="0"/>
        <w:adjustRightInd w:val="0"/>
        <w:snapToGrid w:val="0"/>
        <w:spacing w:line="590" w:lineRule="exact"/>
        <w:ind w:firstLine="640"/>
        <w:rPr>
          <w:rFonts w:hint="eastAsia" w:eastAsia="仿宋_GB2312" w:cs="Times New Roman"/>
          <w:spacing w:val="-17"/>
          <w:sz w:val="32"/>
          <w:szCs w:val="32"/>
        </w:rPr>
      </w:pPr>
      <w:r>
        <w:rPr>
          <w:rFonts w:eastAsia="仿宋_GB2312" w:cs="Times New Roman"/>
          <w:sz w:val="32"/>
          <w:szCs w:val="32"/>
        </w:rPr>
        <w:t>（3）</w:t>
      </w:r>
      <w:r>
        <w:rPr>
          <w:rFonts w:eastAsia="仿宋_GB2312" w:cs="Times New Roman"/>
          <w:spacing w:val="-17"/>
          <w:sz w:val="32"/>
          <w:szCs w:val="32"/>
        </w:rPr>
        <w:t>大城县留各庄镇污水处理厂及镇区配套污水管网建设工程</w:t>
      </w:r>
    </w:p>
    <w:p>
      <w:pPr>
        <w:autoSpaceDE w:val="0"/>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原方案拟对大城县留各庄镇生活污水进行处理，目前，由于排水格局的改变，大城县留各庄镇的生活污水不排入子牙河，对子牙河水质影响不大，而且大城县留各庄镇已有一座污水处理厂，由于管网建设原因，目前还未正式运营，故原工程不具备建设的必要性，建议取消。</w:t>
      </w:r>
    </w:p>
    <w:p>
      <w:pPr>
        <w:pStyle w:val="2"/>
        <w:spacing w:line="590" w:lineRule="exact"/>
        <w:ind w:firstLine="640"/>
      </w:pPr>
      <w:bookmarkStart w:id="124" w:name="_Toc23790701"/>
      <w:bookmarkStart w:id="125" w:name="_Toc460430334"/>
      <w:r>
        <w:t>六、水环境重点问题</w:t>
      </w:r>
      <w:bookmarkEnd w:id="124"/>
      <w:bookmarkEnd w:id="125"/>
    </w:p>
    <w:p>
      <w:pPr>
        <w:pStyle w:val="3"/>
        <w:spacing w:line="590" w:lineRule="exact"/>
        <w:ind w:firstLine="643"/>
        <w:rPr>
          <w:rFonts w:eastAsia="楷体_GB2312"/>
        </w:rPr>
      </w:pPr>
      <w:bookmarkStart w:id="126" w:name="_Toc460430335"/>
      <w:bookmarkStart w:id="127" w:name="_Toc23790702"/>
      <w:r>
        <w:rPr>
          <w:rFonts w:eastAsia="楷体_GB2312"/>
        </w:rPr>
        <w:t>6.1</w:t>
      </w:r>
      <w:r>
        <w:rPr>
          <w:rFonts w:hAnsi="楷体_GB2312" w:eastAsia="楷体_GB2312"/>
        </w:rPr>
        <w:t>河道干涸，多年无生态流量</w:t>
      </w:r>
      <w:bookmarkEnd w:id="126"/>
      <w:bookmarkEnd w:id="127"/>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子牙河上游山区水库密布，蓄水能力强，特别是东武仕、朱庄、岗南和黄壁庄等几个大中型水库的库容量几乎占到了流域水库总库容量的95%，加之近年来上游滹沱河、滏阳河来水偏少，几乎被大中型水库群全部截留，廊坊市子牙河河段常年处于断流状态，除夏季汛期可积蓄雨洪，以及“引黄济冀”、南水北调跨流域调来水外，河段基本干涸，已不具有自净、纳污和生态服务功能。此外，上世纪80年代以来，为缓减区域水资源缺乏与社会经济发展的矛盾，流域下游平原河段大量兴建闸坝拦水，进一步破坏了子牙河流连续性。</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2019年5月，对子牙河流域调研发现，因群英闸常年关闸未放水，子牙河大城县段实际已被分成两段。其中，上游段董家房子村入境断面因地势较高，加之2018年补水过程后上游沧州市河间县境内一直未开闸放水，河道已经干涸；臧屯乡以下至群英闸断面全程有水，水质较好，河道长满芦苇，水生态状况较佳；下游段群英闸以下至出境断面小河闸断面河道因群英闸封闭不能受上游补给，现状河道内水为下游天津市静海县倒灌水，水质较上游段明显变差。</w:t>
      </w:r>
    </w:p>
    <w:p>
      <w:pPr>
        <w:pStyle w:val="3"/>
        <w:spacing w:line="590" w:lineRule="exact"/>
        <w:ind w:firstLine="643"/>
        <w:rPr>
          <w:rFonts w:eastAsia="楷体_GB2312"/>
        </w:rPr>
      </w:pPr>
      <w:bookmarkStart w:id="128" w:name="_Toc460430337"/>
      <w:bookmarkStart w:id="129" w:name="_Toc23790703"/>
      <w:r>
        <w:rPr>
          <w:rFonts w:eastAsia="楷体_GB2312"/>
        </w:rPr>
        <w:t>6.2</w:t>
      </w:r>
      <w:r>
        <w:rPr>
          <w:rFonts w:hAnsi="楷体_GB2312" w:eastAsia="楷体_GB2312"/>
        </w:rPr>
        <w:t>沿河村庄农村生活面源污染已经成为突出问题</w:t>
      </w:r>
      <w:bookmarkEnd w:id="128"/>
      <w:bookmarkEnd w:id="129"/>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一是子牙河大堤内部分村庄未搬迁，农村生活垃圾污染问题不容忽视。现状子牙河大城县段有留各庄镇东留各庄村、臧屯乡毕道口村、南赵扶镇白洋桥村、张庄村等4个村庄在子牙河大堤以内尚未搬迁，居民产生的大量生活垃圾直接临时堆存在河道内的生活垃圾收集点（站），等待定期清理运走填埋处理。暴雨情况下，堆存的大量生活垃圾可被雨洪直接冲入子牙河河道内，造成水质污染。</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二是子牙河河道及主要支渠周边农村生活污水处理设施建设滞后。现状子牙河流域内各乡镇普遍未建设村庄污水处理站或分散式污水处理设施，农村居民生活污水多直接泼洒地面，或直接排入村庄周边支渠支沟，造成了严重污染。2019年5月，对子牙河周边调研发现，南赵扶镇泊村牛角湾支渠、杨家口村杨家口排干渠等主要有水支渠均有农村生活污水、旱厕污水直排入河，现状水质黑臭，已经成为子牙河的重要污染源。</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三是子牙河周边禁养区畜禽养殖清理后又有反弹。2019年5月，对子牙河周边调研发现，子牙河周边禁止养区在2016</w:t>
      </w:r>
      <w:r>
        <w:rPr>
          <w:rFonts w:hint="eastAsia" w:eastAsia="仿宋_GB2312" w:cs="Times New Roman"/>
          <w:sz w:val="32"/>
          <w:szCs w:val="32"/>
        </w:rPr>
        <w:t>—</w:t>
      </w:r>
      <w:r>
        <w:rPr>
          <w:rFonts w:eastAsia="仿宋_GB2312" w:cs="Times New Roman"/>
          <w:sz w:val="32"/>
          <w:szCs w:val="32"/>
        </w:rPr>
        <w:t>2017年集中清理、搬迁规模化畜禽养殖场（小区）和养殖专业户，但对于农户散养畜禽并无明确的清理要求，散养畜禽持续存在。留各庄镇、南赵扶镇、臧屯乡等乡镇禁养区内畜禽养殖又有所反弹，禁养区畜禽养殖清理成果需要持续巩固。</w:t>
      </w:r>
    </w:p>
    <w:p>
      <w:pPr>
        <w:pStyle w:val="3"/>
        <w:spacing w:line="590" w:lineRule="exact"/>
        <w:ind w:firstLine="643"/>
        <w:rPr>
          <w:rFonts w:eastAsia="楷体_GB2312"/>
        </w:rPr>
      </w:pPr>
      <w:bookmarkStart w:id="130" w:name="_Toc460430336"/>
      <w:bookmarkStart w:id="131" w:name="_Toc23790704"/>
      <w:r>
        <w:rPr>
          <w:rFonts w:eastAsia="楷体_GB2312"/>
        </w:rPr>
        <w:t>6.3</w:t>
      </w:r>
      <w:r>
        <w:rPr>
          <w:rFonts w:hAnsi="楷体_GB2312" w:eastAsia="楷体_GB2312"/>
        </w:rPr>
        <w:t>城区白马河</w:t>
      </w:r>
      <w:bookmarkEnd w:id="130"/>
      <w:r>
        <w:rPr>
          <w:rFonts w:hAnsi="楷体_GB2312" w:eastAsia="楷体_GB2312"/>
        </w:rPr>
        <w:t>水环境治理有待进一步深化</w:t>
      </w:r>
      <w:bookmarkEnd w:id="131"/>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一是大城县城区配套截污管网工程建设有待进一步推进</w:t>
      </w:r>
      <w:r>
        <w:rPr>
          <w:rFonts w:eastAsia="仿宋_GB2312" w:cs="Times New Roman"/>
          <w:sz w:val="32"/>
          <w:szCs w:val="32"/>
        </w:rPr>
        <w:t>。大城县城区配套截污管网建设工程规划的雨污合流体系的截流管改造、西部新建用地雨污分流体系截流管建设、东部新建用地雨污分流体系建设等工程尚未完成。现状大城县仅在北环路、西环路、南环路、新兴北路、红木城道路、上上家园道路、廊泊路（车站—北环）等区域实现了雨污分流，雨污分流管道合计32.4公里（污水管道总长度13.441公里，雨水管道总长度18.978公里），雨污合流管道总长度29.249公里，部分区域排水管网覆盖不完全，生活污水收集率依然偏低。</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二是</w:t>
      </w:r>
      <w:r>
        <w:rPr>
          <w:rFonts w:eastAsia="仿宋_GB2312" w:cs="Times New Roman"/>
          <w:sz w:val="32"/>
          <w:szCs w:val="32"/>
        </w:rPr>
        <w:t>白马河沿岸非法排污口封堵成果有待进一步巩固。大城县市政办在2016</w:t>
      </w:r>
      <w:r>
        <w:rPr>
          <w:rFonts w:hint="eastAsia" w:eastAsia="仿宋_GB2312" w:cs="Times New Roman"/>
          <w:sz w:val="32"/>
          <w:szCs w:val="32"/>
        </w:rPr>
        <w:t>—</w:t>
      </w:r>
      <w:r>
        <w:rPr>
          <w:rFonts w:eastAsia="仿宋_GB2312" w:cs="Times New Roman"/>
          <w:sz w:val="32"/>
          <w:szCs w:val="32"/>
        </w:rPr>
        <w:t>2017年对白马河所有非法入河排污口进行了排查和封堵，将废污水采用纳管或排污单位自建废污水处理设施等方式进行处理。2019年5月，对子牙河周边调研发现，白马河截污工程完成不彻底，白马河下游南赵扶镇段部分新发现排污口生活污水直排，严重污染河道水质。</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三是</w:t>
      </w:r>
      <w:r>
        <w:rPr>
          <w:rFonts w:eastAsia="仿宋_GB2312" w:cs="Times New Roman"/>
          <w:sz w:val="32"/>
          <w:szCs w:val="32"/>
        </w:rPr>
        <w:t>白马河河道水质较差，良好水生态尚未恢复。白马河来水基本为大城县城东污水处理厂尾水和城区雨洪水，水质依然为劣V类，河道水生态尚未系统恢复。</w:t>
      </w:r>
    </w:p>
    <w:p>
      <w:pPr>
        <w:pStyle w:val="3"/>
        <w:spacing w:line="590" w:lineRule="exact"/>
        <w:ind w:firstLine="643"/>
        <w:rPr>
          <w:rFonts w:eastAsia="楷体_GB2312"/>
        </w:rPr>
      </w:pPr>
      <w:bookmarkStart w:id="132" w:name="_Toc23790705"/>
      <w:bookmarkStart w:id="133" w:name="_Toc460430338"/>
      <w:r>
        <w:rPr>
          <w:rFonts w:eastAsia="楷体_GB2312"/>
        </w:rPr>
        <w:t>6.4</w:t>
      </w:r>
      <w:r>
        <w:rPr>
          <w:rFonts w:hAnsi="楷体_GB2312" w:eastAsia="楷体_GB2312"/>
        </w:rPr>
        <w:t>流域主要污染源防治水平有待提高</w:t>
      </w:r>
      <w:bookmarkEnd w:id="132"/>
      <w:bookmarkEnd w:id="133"/>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一是部分工业废水治理项目建设有待进一步推进。</w:t>
      </w:r>
      <w:r>
        <w:rPr>
          <w:rFonts w:eastAsia="仿宋_GB2312" w:cs="Times New Roman"/>
          <w:sz w:val="32"/>
          <w:szCs w:val="32"/>
        </w:rPr>
        <w:t>原方案规划2015—2016年建设大城县现代制造业工业园区、大城留各庄化工绝热节能材料工业聚集区、大城县旺村有色金属产业园和大城气雾剂产业园区等4家工业园区污水排放设施在线监控设施项目。截</w:t>
      </w:r>
      <w:r>
        <w:rPr>
          <w:rFonts w:hint="eastAsia" w:eastAsia="仿宋_GB2312" w:cs="Times New Roman"/>
          <w:sz w:val="32"/>
          <w:szCs w:val="32"/>
        </w:rPr>
        <w:t>至</w:t>
      </w:r>
      <w:r>
        <w:rPr>
          <w:rFonts w:eastAsia="仿宋_GB2312" w:cs="Times New Roman"/>
          <w:sz w:val="32"/>
          <w:szCs w:val="32"/>
        </w:rPr>
        <w:t>2018年底，大城留各庄化工绝热节能材料工业聚集区的污水排放设施在线监控设施项目尚未完成，较方案任务要求明显滞后。</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二是部分乡镇污水处理厂及配套管网建设滞后。子牙河周边留各庄镇人口较多，镇区生活污水排放量大，且现状污水直接。截</w:t>
      </w:r>
      <w:r>
        <w:rPr>
          <w:rFonts w:hint="eastAsia" w:eastAsia="仿宋_GB2312" w:cs="Times New Roman"/>
          <w:sz w:val="32"/>
          <w:szCs w:val="32"/>
        </w:rPr>
        <w:t>至</w:t>
      </w:r>
      <w:r>
        <w:rPr>
          <w:rFonts w:eastAsia="仿宋_GB2312" w:cs="Times New Roman"/>
          <w:sz w:val="32"/>
          <w:szCs w:val="32"/>
        </w:rPr>
        <w:t>2018年底，原方案规划的留各庄镇污水处理厂0.6万吨/</w:t>
      </w:r>
      <w:r>
        <w:rPr>
          <w:rFonts w:hint="eastAsia" w:eastAsia="仿宋_GB2312" w:cs="Times New Roman"/>
          <w:sz w:val="32"/>
          <w:szCs w:val="32"/>
        </w:rPr>
        <w:t>日</w:t>
      </w:r>
      <w:r>
        <w:rPr>
          <w:rFonts w:eastAsia="仿宋_GB2312" w:cs="Times New Roman"/>
          <w:sz w:val="32"/>
          <w:szCs w:val="32"/>
        </w:rPr>
        <w:t>扩建及镇区配套污水管网建设项目尚未完成，明显滞后于方案要求。尽快推进留各庄等乡镇污水处理厂建设，积极完善配套管网，已成当务之急。</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三是畜禽养殖业污染治理依然存在短板。流域涉及大城县区域畜禽养殖业发达，生猪、肉牛等养殖量较大，但畜禽粪尿的收集设施普遍不规范，大量畜禽粪尿以直接土地利用方式直接消纳，氮磷等营养物质利用率低，流失量高。子牙河周边禁养区内畜禽养殖有所反弹，部分小型畜禽养殖场粪便/尿液无处理直排进入子牙河周边支渠支沟，环境污染较重。</w:t>
      </w:r>
    </w:p>
    <w:p>
      <w:pPr>
        <w:pStyle w:val="3"/>
        <w:spacing w:line="590" w:lineRule="exact"/>
        <w:ind w:firstLine="643"/>
        <w:rPr>
          <w:rFonts w:eastAsia="楷体_GB2312"/>
        </w:rPr>
      </w:pPr>
      <w:bookmarkStart w:id="134" w:name="_Toc460430339"/>
      <w:bookmarkStart w:id="135" w:name="_Toc23790706"/>
      <w:r>
        <w:rPr>
          <w:rFonts w:eastAsia="楷体_GB2312"/>
        </w:rPr>
        <w:t>6.5</w:t>
      </w:r>
      <w:r>
        <w:rPr>
          <w:rFonts w:hAnsi="楷体_GB2312" w:eastAsia="楷体_GB2312"/>
        </w:rPr>
        <w:t>流域水生态不断恶化</w:t>
      </w:r>
      <w:bookmarkEnd w:id="134"/>
      <w:bookmarkEnd w:id="135"/>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一是地下水位不断下降。</w:t>
      </w:r>
      <w:r>
        <w:rPr>
          <w:rFonts w:eastAsia="仿宋_GB2312" w:cs="Times New Roman"/>
          <w:sz w:val="32"/>
          <w:szCs w:val="32"/>
        </w:rPr>
        <w:t>由于地表水资源不足，为保障经济社会发展，大城县主要靠超采地下水来保证生产、生活用水需要，地下水位下降速度平均接近每年0.85米，已经出现“大城漏斗”，漏斗区面积不断扩大。</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二是流域生态环境恶化趋势未能有效扭转。</w:t>
      </w:r>
      <w:r>
        <w:rPr>
          <w:rFonts w:eastAsia="仿宋_GB2312" w:cs="Times New Roman"/>
          <w:sz w:val="32"/>
          <w:szCs w:val="32"/>
        </w:rPr>
        <w:t>子牙河流域森林覆盖率低，水土流失严重，生态环境脆弱。受流域常年干旱缺水影响，子牙河河床长期干涸，河道内杂草丛生、土地沙化、土壤盐分累积，河岸两侧洪泛区冲积沙地和砂质褐土、砂质潮土、砂质草甸土等耕地土壤脱水，沙化趋势严重。如何涵养水源、保护生态、恢复生态流量是子牙河流域治理需要解决的重大问题。</w:t>
      </w:r>
    </w:p>
    <w:p>
      <w:pPr>
        <w:pStyle w:val="3"/>
        <w:spacing w:line="590" w:lineRule="exact"/>
        <w:ind w:firstLine="643"/>
        <w:rPr>
          <w:rFonts w:eastAsia="楷体_GB2312"/>
        </w:rPr>
      </w:pPr>
      <w:bookmarkStart w:id="136" w:name="_Toc460430340"/>
      <w:bookmarkStart w:id="137" w:name="_Toc23790707"/>
      <w:r>
        <w:rPr>
          <w:rFonts w:eastAsia="楷体_GB2312"/>
        </w:rPr>
        <w:t>6.6</w:t>
      </w:r>
      <w:r>
        <w:rPr>
          <w:rFonts w:hAnsi="楷体_GB2312" w:eastAsia="楷体_GB2312"/>
        </w:rPr>
        <w:t>河道管理责任有待进一步落实</w:t>
      </w:r>
      <w:bookmarkEnd w:id="136"/>
      <w:bookmarkEnd w:id="137"/>
    </w:p>
    <w:p>
      <w:pPr>
        <w:pStyle w:val="13"/>
        <w:widowControl w:val="0"/>
        <w:autoSpaceDN w:val="0"/>
        <w:adjustRightInd w:val="0"/>
        <w:snapToGrid w:val="0"/>
        <w:spacing w:line="59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kern w:val="2"/>
          <w:sz w:val="32"/>
          <w:szCs w:val="32"/>
        </w:rPr>
        <w:t>由于子牙河长期断流干涸，水利、环保、国土等部门均对子牙河的保护认识不足，</w:t>
      </w:r>
      <w:r>
        <w:rPr>
          <w:rFonts w:ascii="Times New Roman" w:hAnsi="Times New Roman" w:eastAsia="仿宋_GB2312" w:cs="Times New Roman"/>
          <w:sz w:val="32"/>
          <w:szCs w:val="32"/>
        </w:rPr>
        <w:t>职能交叉、配合不力、责任落实不到等问题较为突出，河道管理长期处于空白状态。调研发现，部分群众在河道上开展挖沙取土、垦荒耕种、植树、放牧等生产活动，进一步加重了子牙河的水土流失和生态破坏。</w:t>
      </w:r>
    </w:p>
    <w:p>
      <w:pPr>
        <w:pStyle w:val="2"/>
        <w:spacing w:line="590" w:lineRule="exact"/>
        <w:ind w:firstLine="640"/>
      </w:pPr>
      <w:bookmarkStart w:id="138" w:name="_Toc23790708"/>
      <w:r>
        <w:t>七、重点任务</w:t>
      </w:r>
      <w:bookmarkEnd w:id="138"/>
    </w:p>
    <w:p>
      <w:pPr>
        <w:pStyle w:val="3"/>
        <w:spacing w:line="590" w:lineRule="exact"/>
        <w:ind w:firstLine="643"/>
        <w:rPr>
          <w:rFonts w:eastAsia="楷体_GB2312"/>
        </w:rPr>
      </w:pPr>
      <w:bookmarkStart w:id="139" w:name="_Toc23790709"/>
      <w:r>
        <w:rPr>
          <w:rFonts w:eastAsia="楷体_GB2312"/>
        </w:rPr>
        <w:t>7.1</w:t>
      </w:r>
      <w:r>
        <w:rPr>
          <w:rFonts w:hAnsi="楷体_GB2312" w:eastAsia="楷体_GB2312"/>
        </w:rPr>
        <w:t>持续推进流域重点镇和农村污水处理设施建设</w:t>
      </w:r>
      <w:bookmarkEnd w:id="139"/>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探索区域农村生活污水治理经验模式，将流域内其他有条件的村庄纳入小流域综合治理范围，结合辖区村庄布局、环境敏感区域分布、周边水体水质等状况，以治理农村生活污水、垃圾为重点，因地制宜选择经济实用、维护简便的生活污水处理设施，合理进行选址治污。农村分散式污水处理设施在工艺路线选择时，应遵循免运行、低维护、低能耗、抗水量和水质变化等原则。推荐选择“一体化污水处理设施+小型人工湿地”处理工艺，充分利用农户庭院和村庄周边坑塘，建设小型人工湿地，深度净化污水处理设施尾水。农户的生活污水通过下水道进入集水池，内置格栅，去掉较大物质，然后排入庭院式体化设备，在其中经过物理和生物作用后大部分污染物得以去除，之后再进入小块人工湿地，污染物通过湿地基质的过滤吸附、湿地植物根系的吸收、好氧与厌氧生物菌群的分解作用被去除，从而使污水得以净化。出水水质可达到《农田灌溉水质标准》（GB5084</w:t>
      </w:r>
      <w:r>
        <w:rPr>
          <w:rFonts w:hint="eastAsia" w:eastAsia="仿宋_GB2312" w:cs="Times New Roman"/>
          <w:sz w:val="32"/>
          <w:szCs w:val="32"/>
        </w:rPr>
        <w:t>—</w:t>
      </w:r>
      <w:r>
        <w:rPr>
          <w:rFonts w:eastAsia="仿宋_GB2312" w:cs="Times New Roman"/>
          <w:sz w:val="32"/>
          <w:szCs w:val="32"/>
        </w:rPr>
        <w:t>2005）旱作标准，可用于浇洒庭院内植物。未来逐步实现流域乡镇、农村污水处理设施全覆盖。</w:t>
      </w:r>
    </w:p>
    <w:p>
      <w:pPr>
        <w:pStyle w:val="3"/>
        <w:spacing w:line="590" w:lineRule="exact"/>
        <w:ind w:firstLine="643"/>
        <w:rPr>
          <w:rFonts w:eastAsia="楷体_GB2312"/>
        </w:rPr>
      </w:pPr>
      <w:bookmarkStart w:id="140" w:name="_Toc460430358"/>
      <w:bookmarkStart w:id="141" w:name="_Toc23790710"/>
      <w:r>
        <w:rPr>
          <w:rFonts w:eastAsia="楷体_GB2312"/>
        </w:rPr>
        <w:t>7.2</w:t>
      </w:r>
      <w:r>
        <w:rPr>
          <w:rFonts w:hAnsi="楷体_GB2312" w:eastAsia="楷体_GB2312"/>
        </w:rPr>
        <w:t>推进大城县城区配套截污管网建设</w:t>
      </w:r>
      <w:bookmarkEnd w:id="140"/>
      <w:r>
        <w:rPr>
          <w:rFonts w:hAnsi="楷体_GB2312" w:eastAsia="楷体_GB2312"/>
        </w:rPr>
        <w:t>，巩固白马河非法排污口封堵成果</w:t>
      </w:r>
      <w:bookmarkEnd w:id="141"/>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推进实施大城县</w:t>
      </w:r>
      <w:r>
        <w:rPr>
          <w:rFonts w:eastAsia="仿宋_GB2312" w:cs="Times New Roman"/>
          <w:bCs/>
          <w:sz w:val="32"/>
          <w:szCs w:val="32"/>
        </w:rPr>
        <w:t>城区配套截污管网项目规划的城区雨污合流体系截流管改造、西部新建用地雨污分流体系截流管建设、东部新建用地雨污分流体系建设等各项工程任务，提高大城县城区和周边南赵扶镇污水收集率，做到管网覆盖范围内的城镇生活污水和工业废污水应收尽收，全部处理；</w:t>
      </w:r>
      <w:r>
        <w:rPr>
          <w:rFonts w:eastAsia="仿宋_GB2312" w:cs="Times New Roman"/>
          <w:sz w:val="32"/>
          <w:szCs w:val="32"/>
        </w:rPr>
        <w:t>远期进一步开展雨污分流改造，确保雨季不再有污水进入河道。</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巩固白马河非法排放口封堵成果，结合大城县</w:t>
      </w:r>
      <w:r>
        <w:rPr>
          <w:rFonts w:eastAsia="仿宋_GB2312" w:cs="Times New Roman"/>
          <w:bCs/>
          <w:sz w:val="32"/>
          <w:szCs w:val="32"/>
        </w:rPr>
        <w:t>城区配套截污管网项目实施，开展</w:t>
      </w:r>
      <w:r>
        <w:rPr>
          <w:rFonts w:eastAsia="仿宋_GB2312" w:cs="Times New Roman"/>
          <w:sz w:val="32"/>
          <w:szCs w:val="32"/>
        </w:rPr>
        <w:t>白马河沿岸非法排放口二次排查工作，封堵新发现的排污口，并将污水截流后送往污水处理厂处理。落实“河长制”工作要求，建立巡查机制，禁止非法排污。</w:t>
      </w:r>
    </w:p>
    <w:p>
      <w:pPr>
        <w:pStyle w:val="3"/>
        <w:spacing w:line="590" w:lineRule="exact"/>
        <w:ind w:firstLine="643"/>
        <w:rPr>
          <w:rFonts w:eastAsia="楷体_GB2312"/>
        </w:rPr>
      </w:pPr>
      <w:bookmarkStart w:id="142" w:name="_Toc460430376"/>
      <w:bookmarkStart w:id="143" w:name="_Toc23790711"/>
      <w:r>
        <w:rPr>
          <w:rFonts w:eastAsia="楷体_GB2312"/>
        </w:rPr>
        <w:t>7.3</w:t>
      </w:r>
      <w:r>
        <w:rPr>
          <w:rFonts w:hAnsi="楷体_GB2312" w:eastAsia="楷体_GB2312"/>
        </w:rPr>
        <w:t>继续开展子牙河生态补水，争取恢复河道生态流量</w:t>
      </w:r>
      <w:bookmarkEnd w:id="142"/>
      <w:bookmarkEnd w:id="143"/>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落实河北省、廊坊市对京津冀生态调水的保障要求，积极争取引黄调水和南水北调生态补水指标，科学安排调水时间和补给水量，尽快扭转流域无生态流量、水资源和水环境容量超承载、水生态不断恶化的不利趋势。</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考虑到跨流域调水涉及区域广，输水距离长，容易受沿程各类点、面源排污影响，难以有效保证调水水质等因素，建议在所提出的各项污染治理措施工程措施的基础上，进一步加强调水期间的水环境监管，保证调水水质安全：</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一是与调水上游区域充分协调，确保源水水质优良；同时，科学规划调水线路和调水时间，做好水利工程引、蓄上游来水的充足准备，确保水资源调得来、保得住。</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二是落实沿岸乡镇主体责任。按照属地管理和事权责任，定期清查封堵子牙河调水线路沿程排污口，禁止工业企业、畜禽养殖场等排污单位向调水河道排污，确保调水水质安全。对调水线路河道、大堤、沿程入汇沟渠内堆放的垃圾等，由镇村两级负责全面清理；对河道内和岸边的乱搭、乱建、乱堆、乱放和违章种植、养殖等，由所在村组织全面清除。</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三是统一规划设置子牙河干流、支流监测断面。重点针对调水期间，实施常规监测、移动监测、动态预警监测“三位一体”的水环境质量监测和水环境预警，及时发现和解决调水期间可能出现的水环境问题。</w:t>
      </w:r>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spacing w:val="-6"/>
          <w:sz w:val="32"/>
          <w:szCs w:val="32"/>
        </w:rPr>
        <w:t>四是完善水环境应急机制，制定和完善水污染事故处置应急预案，落实责任主体，明确预警预报与响应程序、应急处置及保障措施等内容，提高调水期间突发水环境风险事故的应急处置能力。</w:t>
      </w:r>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spacing w:val="-6"/>
          <w:sz w:val="32"/>
          <w:szCs w:val="32"/>
        </w:rPr>
        <w:t>同时，未来随着大城县城东污水处理厂二期工程和污水处理厂尾水净化人工湿地示范工程的建成，白马河水量将会进一步增加，同时水质可有较大程度的改善，也可将净化后的白马河河水通过南赵扶扬水站向子牙河补给，从而进一步补充子牙河生态流量。</w:t>
      </w:r>
    </w:p>
    <w:p>
      <w:pPr>
        <w:pStyle w:val="3"/>
        <w:spacing w:line="590" w:lineRule="exact"/>
        <w:ind w:firstLine="643"/>
        <w:rPr>
          <w:rFonts w:eastAsia="楷体_GB2312"/>
        </w:rPr>
      </w:pPr>
      <w:bookmarkStart w:id="144" w:name="_Toc460430378"/>
      <w:bookmarkStart w:id="145" w:name="_Toc23790712"/>
      <w:r>
        <w:rPr>
          <w:rFonts w:eastAsia="楷体_GB2312"/>
        </w:rPr>
        <w:t>7.4</w:t>
      </w:r>
      <w:r>
        <w:rPr>
          <w:rFonts w:hAnsi="楷体_GB2312" w:eastAsia="楷体_GB2312"/>
        </w:rPr>
        <w:t>巩固畜禽养殖业污染治理</w:t>
      </w:r>
      <w:bookmarkEnd w:id="144"/>
      <w:r>
        <w:rPr>
          <w:rFonts w:hAnsi="楷体_GB2312" w:eastAsia="楷体_GB2312"/>
        </w:rPr>
        <w:t>成果，严防禁养区畜禽养殖反弹</w:t>
      </w:r>
      <w:bookmarkEnd w:id="145"/>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spacing w:val="-6"/>
          <w:sz w:val="32"/>
          <w:szCs w:val="32"/>
        </w:rPr>
        <w:t>在大城县子牙河流域已实施规模化畜禽养殖场（小区）污染治理项目的基础上，进一步推广适用的畜禽养殖粪污治理模式，大力推广干清粪+堆肥/土地利用等方式治理畜禽养殖污染。巩固</w:t>
      </w:r>
      <w:r>
        <w:rPr>
          <w:rFonts w:eastAsia="仿宋_GB2312" w:cs="Times New Roman"/>
          <w:bCs/>
          <w:sz w:val="32"/>
          <w:szCs w:val="32"/>
        </w:rPr>
        <w:t>禁养区畜禽养殖清理取缔成果，进一步排查禁养区内新增的小型养殖户，制定搬迁清理方案并限期清理。</w:t>
      </w:r>
    </w:p>
    <w:p>
      <w:pPr>
        <w:pStyle w:val="3"/>
        <w:spacing w:line="590" w:lineRule="exact"/>
        <w:ind w:firstLine="643"/>
        <w:rPr>
          <w:rFonts w:eastAsia="楷体_GB2312"/>
        </w:rPr>
      </w:pPr>
      <w:bookmarkStart w:id="146" w:name="_Toc460430381"/>
      <w:bookmarkStart w:id="147" w:name="_Toc23790713"/>
      <w:r>
        <w:rPr>
          <w:rFonts w:eastAsia="楷体_GB2312"/>
        </w:rPr>
        <w:t>7.5</w:t>
      </w:r>
      <w:r>
        <w:rPr>
          <w:rFonts w:hAnsi="楷体_GB2312" w:eastAsia="楷体_GB2312"/>
        </w:rPr>
        <w:t>加强工业污染治理</w:t>
      </w:r>
      <w:bookmarkEnd w:id="146"/>
      <w:bookmarkEnd w:id="147"/>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一是推动工业企业入园进区。</w:t>
      </w:r>
      <w:r>
        <w:rPr>
          <w:rFonts w:eastAsia="仿宋_GB2312" w:cs="Times New Roman"/>
          <w:sz w:val="32"/>
          <w:szCs w:val="32"/>
        </w:rPr>
        <w:t>排查大城县现代制造业工业园区、大城留各庄化工绝热节能材料工业聚集区、旺村有色金属环保产业园、摩配园区和电镀小区等工业聚集区环保基础设施建设和运行情况，对预处理不符合要求或集中处理设施不正常运行的工业聚集区，提出限期整改要求。逾期未完成的，一律暂停审批和核准其增加水污染物排放的建设项目。新建危废、化工及涉及重金属的项目原则上必须入园进区。确因不具备入园条件需原地保留的涉水工业企业，须明确保留条件，实施尾水深度处理，执行最严格的排放标准，否则一律予以关停。</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二是清理落后产能，巩固“散乱污”治理成果。</w:t>
      </w:r>
      <w:r>
        <w:rPr>
          <w:rFonts w:eastAsia="仿宋_GB2312" w:cs="Times New Roman"/>
          <w:sz w:val="32"/>
          <w:szCs w:val="32"/>
        </w:rPr>
        <w:t>加强对连片区域工业区的环境管理，重点治理留各庄、权村等地的绝热节能材料加工企业和南赵扶镇机动车钢板弹簧企业，并有效防止反弹。严格执行环境准入制度，根据子牙河断面水质目标，制定和实施子牙河流域范围内的差别化环境准入政策，明确环境准入条件，确保不再新增落后产能。</w:t>
      </w:r>
    </w:p>
    <w:p>
      <w:pPr>
        <w:pStyle w:val="3"/>
        <w:spacing w:line="590" w:lineRule="exact"/>
        <w:ind w:firstLine="643"/>
        <w:rPr>
          <w:rFonts w:eastAsia="楷体_GB2312"/>
        </w:rPr>
      </w:pPr>
      <w:bookmarkStart w:id="148" w:name="_Toc460430383"/>
      <w:bookmarkStart w:id="149" w:name="_Toc23790714"/>
      <w:r>
        <w:rPr>
          <w:rFonts w:eastAsia="楷体_GB2312"/>
        </w:rPr>
        <w:t>7.6</w:t>
      </w:r>
      <w:r>
        <w:rPr>
          <w:rFonts w:hAnsi="楷体_GB2312" w:eastAsia="楷体_GB2312"/>
        </w:rPr>
        <w:t>大力实施农业节水</w:t>
      </w:r>
      <w:bookmarkEnd w:id="148"/>
      <w:bookmarkEnd w:id="149"/>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大力推行退地减水，</w:t>
      </w:r>
      <w:r>
        <w:rPr>
          <w:rFonts w:eastAsia="仿宋_GB2312" w:cs="Times New Roman"/>
          <w:sz w:val="32"/>
          <w:szCs w:val="32"/>
        </w:rPr>
        <w:t>改革种植结构，积极推广化肥农药施用强度小、耗水量少的作物类型，进一步减少小麦等高耗水作物的种植面积，推行改冬小麦、夏玉米一年两熟制或夏玉米一年一熟制，大力推广优质饲用玉米和苜蓿种植，促进农牧结合，降低农业用水消耗。</w:t>
      </w:r>
    </w:p>
    <w:p>
      <w:pPr>
        <w:pStyle w:val="2"/>
        <w:spacing w:line="590" w:lineRule="exact"/>
        <w:ind w:firstLine="640"/>
      </w:pPr>
      <w:bookmarkStart w:id="150" w:name="_Toc23790715"/>
      <w:r>
        <w:t>八、重点工程项目投资及效益分析</w:t>
      </w:r>
      <w:bookmarkEnd w:id="150"/>
    </w:p>
    <w:p>
      <w:pPr>
        <w:pStyle w:val="3"/>
        <w:spacing w:line="590" w:lineRule="exact"/>
        <w:ind w:firstLine="643"/>
        <w:rPr>
          <w:rFonts w:eastAsia="楷体_GB2312"/>
        </w:rPr>
      </w:pPr>
      <w:bookmarkStart w:id="151" w:name="_Toc23790716"/>
      <w:r>
        <w:rPr>
          <w:rFonts w:eastAsia="楷体_GB2312"/>
        </w:rPr>
        <w:t>8.1</w:t>
      </w:r>
      <w:r>
        <w:rPr>
          <w:rFonts w:hAnsi="楷体_GB2312" w:eastAsia="楷体_GB2312"/>
        </w:rPr>
        <w:t>项目安排</w:t>
      </w:r>
      <w:bookmarkEnd w:id="151"/>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方案确定近期（到2020年）在已经实施的13个工程项目的基础上，实施并完成工程项目3个，估算总投资约2800万元。</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建议实施大城县城区配套截污管网建设工程、断面综合管控工程和子牙河生态补水工程，以有效改善子牙河及周边水环境，确保引黄调水和京津冀南水北调生态补水水质安全。</w:t>
      </w:r>
      <w:bookmarkStart w:id="152" w:name="_Toc460430386"/>
      <w:r>
        <w:rPr>
          <w:rFonts w:eastAsia="仿宋_GB2312" w:cs="Times New Roman"/>
          <w:sz w:val="32"/>
          <w:szCs w:val="32"/>
        </w:rPr>
        <w:t>具体项目清单见附表1。</w:t>
      </w:r>
    </w:p>
    <w:p>
      <w:pPr>
        <w:pStyle w:val="3"/>
        <w:spacing w:line="590" w:lineRule="exact"/>
        <w:ind w:firstLine="643"/>
        <w:rPr>
          <w:rFonts w:eastAsia="楷体_GB2312"/>
        </w:rPr>
      </w:pPr>
      <w:bookmarkStart w:id="153" w:name="_Toc23790717"/>
      <w:r>
        <w:rPr>
          <w:rFonts w:eastAsia="楷体_GB2312"/>
        </w:rPr>
        <w:t>8.2</w:t>
      </w:r>
      <w:r>
        <w:rPr>
          <w:rFonts w:hAnsi="楷体_GB2312" w:eastAsia="楷体_GB2312"/>
        </w:rPr>
        <w:t>目标可达性分析</w:t>
      </w:r>
      <w:bookmarkEnd w:id="152"/>
      <w:bookmarkEnd w:id="153"/>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方案措施采用调结构、优布局、控源减排、水资源调度、生态修复相结合的整治思路，一方面通过社会经济发展方式调整，点源与面源治理，实现源头和过程减排；另一方面通过河流生态补水、生态修复提升子牙河河水环境承载力。通过方案实施以来2017、2018年水质监测结果，对照《目标责任书》考核目标要求，子牙河小河闸断面已经提前两年完成消除劣V类任务。</w:t>
      </w:r>
    </w:p>
    <w:p>
      <w:pPr>
        <w:autoSpaceDN w:val="0"/>
        <w:adjustRightInd w:val="0"/>
        <w:snapToGrid w:val="0"/>
        <w:spacing w:line="590" w:lineRule="exact"/>
        <w:ind w:firstLine="640"/>
        <w:rPr>
          <w:rFonts w:hint="eastAsia" w:eastAsia="仿宋_GB2312" w:cs="Times New Roman"/>
          <w:sz w:val="32"/>
          <w:szCs w:val="32"/>
        </w:rPr>
      </w:pPr>
      <w:r>
        <w:rPr>
          <w:rFonts w:eastAsia="仿宋_GB2312" w:cs="Times New Roman"/>
          <w:sz w:val="32"/>
          <w:szCs w:val="32"/>
        </w:rPr>
        <w:t>针对子牙河流域达标方案实施以来出现的新形势和新问题，方案建议继续巩固子牙河河道周边和流域内的各类点、面源治理成果，同时深入推进其他未实施工程项目尽快实施落地，正在实施工程措施尽快完工并发挥环境效益的各项工程措施。通过方案实施，子牙河及周边区域水环境改善效果可以得到进一步巩固和加强，引黄调水和京津冀南水北调生态补水水质安全得到充分保障，可以确保未来到2020年小河闸断面水质达标</w:t>
      </w:r>
      <w:r>
        <w:rPr>
          <w:rFonts w:hint="eastAsia" w:eastAsia="仿宋_GB2312" w:cs="Times New Roman"/>
          <w:sz w:val="32"/>
          <w:szCs w:val="32"/>
        </w:rPr>
        <w:t>。</w:t>
      </w:r>
    </w:p>
    <w:p>
      <w:pPr>
        <w:pStyle w:val="3"/>
        <w:spacing w:line="590" w:lineRule="exact"/>
        <w:ind w:firstLine="643"/>
        <w:rPr>
          <w:rFonts w:eastAsia="楷体_GB2312"/>
        </w:rPr>
      </w:pPr>
      <w:bookmarkStart w:id="154" w:name="_Toc23790718"/>
      <w:bookmarkStart w:id="155" w:name="_Toc460430387"/>
      <w:r>
        <w:rPr>
          <w:rFonts w:eastAsia="楷体_GB2312"/>
        </w:rPr>
        <w:t>8.3</w:t>
      </w:r>
      <w:r>
        <w:rPr>
          <w:rFonts w:hAnsi="楷体_GB2312" w:eastAsia="楷体_GB2312"/>
        </w:rPr>
        <w:t>效益分析</w:t>
      </w:r>
      <w:bookmarkEnd w:id="154"/>
      <w:bookmarkEnd w:id="155"/>
    </w:p>
    <w:p>
      <w:pPr>
        <w:pStyle w:val="4"/>
        <w:spacing w:line="590" w:lineRule="exact"/>
        <w:ind w:firstLine="643"/>
      </w:pPr>
      <w:bookmarkStart w:id="156" w:name="_Toc23790719"/>
      <w:r>
        <w:t>8.3.1生态环境效益</w:t>
      </w:r>
      <w:bookmarkEnd w:id="156"/>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通过子牙河流域水污染治理项目的实施，将进一步降低入河染污的排放总量，水环境质量得到显著改善，生产生活污水得到有效处置，河流生态环境质量全面提升。</w:t>
      </w:r>
    </w:p>
    <w:p>
      <w:pPr>
        <w:pStyle w:val="4"/>
        <w:spacing w:line="590" w:lineRule="exact"/>
        <w:ind w:firstLine="643"/>
      </w:pPr>
      <w:bookmarkStart w:id="157" w:name="_Toc23790720"/>
      <w:r>
        <w:t>8.3.2投融资效益</w:t>
      </w:r>
      <w:bookmarkEnd w:id="157"/>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按照多元化投资投入的原则，投资概算包括中央财政投入、地方财政投入、社会融资三部分构成，体现国家重点扶持引导地方配合实施社会积极参与的融资原则。子牙河水污染治理工程所涉及项目将力争省、市水污染防治资金支持项目。本方案实施后，将在中央资金的引导下，地方自筹资金积极地开展水污染综合治理工程，有效解决子牙河流域水环境问题，形成良好的社会效益和环境效益。</w:t>
      </w:r>
    </w:p>
    <w:p>
      <w:pPr>
        <w:pStyle w:val="4"/>
        <w:spacing w:line="590" w:lineRule="exact"/>
        <w:ind w:firstLine="643"/>
      </w:pPr>
      <w:bookmarkStart w:id="158" w:name="_Toc23790721"/>
      <w:r>
        <w:t>8.3.3管理效力</w:t>
      </w:r>
      <w:bookmarkEnd w:id="158"/>
    </w:p>
    <w:p>
      <w:pPr>
        <w:autoSpaceDN w:val="0"/>
        <w:adjustRightInd w:val="0"/>
        <w:snapToGrid w:val="0"/>
        <w:spacing w:line="590" w:lineRule="exact"/>
        <w:ind w:firstLine="616"/>
        <w:rPr>
          <w:rFonts w:eastAsia="仿宋_GB2312" w:cs="Times New Roman"/>
          <w:sz w:val="32"/>
          <w:szCs w:val="32"/>
        </w:rPr>
      </w:pPr>
      <w:r>
        <w:rPr>
          <w:rFonts w:eastAsia="仿宋_GB2312" w:cs="Times New Roman"/>
          <w:spacing w:val="-6"/>
          <w:sz w:val="32"/>
          <w:szCs w:val="32"/>
        </w:rPr>
        <w:t>本方案实施以后将建立工程进度管理制度、建设单位现场督查制度，建设项目环境保护监督管理制度等一系列管理制度，固化项目管理经验。同时进一步加大对建设环境保护工程的长效管理机制的建设，建立河流污染整治巩固长效机制，和村镇污水处理设施长效运行管理机制。环境管理体系的完善将有效促进区域水污染防治工作，同时将为本市其他水体达标方案实施提供经验借鉴。</w:t>
      </w:r>
    </w:p>
    <w:p>
      <w:pPr>
        <w:pStyle w:val="4"/>
        <w:spacing w:line="590" w:lineRule="exact"/>
        <w:ind w:firstLine="643"/>
      </w:pPr>
      <w:bookmarkStart w:id="159" w:name="_Toc23790722"/>
      <w:r>
        <w:t>8.3.4社会效应</w:t>
      </w:r>
      <w:bookmarkEnd w:id="159"/>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本方案的实施，将有效促进大城县涉及区域水污染物的减少、生态环境的改善、资源的合理化再生，推动生态农业、生态养殖、生态旅游等产业的发展，保证了区域可持续发展，为居民提供更好的生态宜居环境。</w:t>
      </w:r>
    </w:p>
    <w:p>
      <w:pPr>
        <w:pStyle w:val="2"/>
        <w:spacing w:line="590" w:lineRule="exact"/>
        <w:ind w:firstLine="640"/>
      </w:pPr>
      <w:bookmarkStart w:id="160" w:name="_Toc23790723"/>
      <w:r>
        <w:t>九、保障措施</w:t>
      </w:r>
      <w:bookmarkEnd w:id="160"/>
    </w:p>
    <w:p>
      <w:pPr>
        <w:pStyle w:val="3"/>
        <w:spacing w:line="590" w:lineRule="exact"/>
        <w:ind w:firstLine="643"/>
        <w:rPr>
          <w:rFonts w:eastAsia="楷体_GB2312"/>
        </w:rPr>
      </w:pPr>
      <w:bookmarkStart w:id="161" w:name="_Toc23790724"/>
      <w:r>
        <w:rPr>
          <w:rFonts w:eastAsia="楷体_GB2312"/>
        </w:rPr>
        <w:t>9.1</w:t>
      </w:r>
      <w:r>
        <w:rPr>
          <w:rFonts w:hAnsi="楷体_GB2312" w:eastAsia="楷体_GB2312"/>
        </w:rPr>
        <w:t>落实各方责任</w:t>
      </w:r>
      <w:bookmarkEnd w:id="161"/>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落实党政同责、一岗双责和终身追责。</w:t>
      </w:r>
      <w:r>
        <w:rPr>
          <w:rFonts w:eastAsia="仿宋_GB2312" w:cs="Times New Roman"/>
          <w:sz w:val="32"/>
          <w:szCs w:val="32"/>
        </w:rPr>
        <w:t>大城县人民政府是本方案实施主体，要将治污任务逐一落实到有关部门、排污单位，明确任务措施、工程项目完成时限。大城县成立子牙河河水污染治理领导小组，由县长任组长，主管副县长任副组长，有关乡镇一把手和县有关部门的主要负责同志为成员，统筹协调推进子牙河水体治理工作。实行各级党政主要领导亲自抓水污染防治工作机制，县人民政府与涉及乡镇政府签订目标责任书，分解落实目标任务，把每年方案实施情况向社会公布，并作为对领导班子和领导干部综合考核评价的依据。对未能完成水污染防治工作目标任务或者工作责任不落实的，可以通过约谈、挂牌督办、通报等方式，督促整改和落实。对因工作不力、履职缺位等导致未能有效应对水环境污染事件的，以及干预、伪造数据和没有完成年度目标任务的，要依法依纪追究有关单位和人员责任。</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落实沿岸乡镇主体责任。</w:t>
      </w:r>
      <w:r>
        <w:rPr>
          <w:rFonts w:eastAsia="仿宋_GB2312" w:cs="Times New Roman"/>
          <w:sz w:val="32"/>
          <w:szCs w:val="32"/>
        </w:rPr>
        <w:t>按照属地管理和事权责任，落实汛期污染治理，对子牙河主河道、大堤、沿程沟渠内堆放的垃圾等，由镇村两级负责全面清理；对河道内和岸边的乱搭、乱建、乱堆、乱放和违章种植、养殖等，由所在村组织全面清除，所清理垃圾全部运往本地的垃圾处理厂处理。</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明确各部门的责任。</w:t>
      </w:r>
      <w:r>
        <w:rPr>
          <w:rFonts w:eastAsia="仿宋_GB2312" w:cs="Times New Roman"/>
          <w:sz w:val="32"/>
          <w:szCs w:val="32"/>
        </w:rPr>
        <w:t>按照《廊坊市水污染防治工作实施方案》的任务分工，发挥各部门职能作用和专业优势，加强协同配合，做到治理措施上部门联动，执法监督上齐抓共管，工作信息上及时沟通，形成子牙河断面水质达标工作合力。</w:t>
      </w:r>
      <w:r>
        <w:rPr>
          <w:rFonts w:eastAsia="仿宋_GB2312" w:cs="Times New Roman"/>
          <w:bCs/>
          <w:sz w:val="32"/>
          <w:szCs w:val="32"/>
        </w:rPr>
        <w:t>县政府</w:t>
      </w:r>
      <w:r>
        <w:rPr>
          <w:rFonts w:eastAsia="仿宋_GB2312" w:cs="Times New Roman"/>
          <w:sz w:val="32"/>
          <w:szCs w:val="32"/>
        </w:rPr>
        <w:t>要负责组织、协调和指导子牙河河长制落实和子牙河</w:t>
      </w:r>
      <w:r>
        <w:rPr>
          <w:rFonts w:hint="eastAsia" w:eastAsia="仿宋_GB2312" w:cs="Times New Roman"/>
          <w:sz w:val="32"/>
          <w:szCs w:val="32"/>
        </w:rPr>
        <w:t>河</w:t>
      </w:r>
      <w:r>
        <w:rPr>
          <w:rFonts w:eastAsia="仿宋_GB2312" w:cs="Times New Roman"/>
          <w:sz w:val="32"/>
          <w:szCs w:val="32"/>
        </w:rPr>
        <w:t>道综合整治工作，切实加强组织领导，建立健全子牙河河道综合整治工作目标责任制，强化县、乡、村三级管理。</w:t>
      </w:r>
      <w:r>
        <w:rPr>
          <w:rFonts w:eastAsia="仿宋_GB2312" w:cs="Times New Roman"/>
          <w:bCs/>
          <w:sz w:val="32"/>
          <w:szCs w:val="32"/>
        </w:rPr>
        <w:t>县生态环境分局、水利局</w:t>
      </w:r>
      <w:r>
        <w:rPr>
          <w:rFonts w:eastAsia="仿宋_GB2312" w:cs="Times New Roman"/>
          <w:sz w:val="32"/>
          <w:szCs w:val="32"/>
        </w:rPr>
        <w:t>承担检查考核小组的牵头和日常工作，负责对各乡、村实行“段长、点长制”管理工作和乡直有关站（所）的职责履行情况进行监督检查、考核，按照有关法律法规依法打击违反水污染防治、河道管理办法等行为。</w:t>
      </w:r>
      <w:r>
        <w:rPr>
          <w:rFonts w:eastAsia="仿宋_GB2312" w:cs="Times New Roman"/>
          <w:bCs/>
          <w:sz w:val="32"/>
          <w:szCs w:val="32"/>
        </w:rPr>
        <w:t>县国土局</w:t>
      </w:r>
      <w:r>
        <w:rPr>
          <w:rFonts w:eastAsia="仿宋_GB2312" w:cs="Times New Roman"/>
          <w:sz w:val="32"/>
          <w:szCs w:val="32"/>
        </w:rPr>
        <w:t>负责做好河道规划红线范围内的土地权属调查，协调办理综合整治项目用地，协同水利局等有关部门做好沿河道无证堆场及河道取土取缔工作。</w:t>
      </w:r>
      <w:r>
        <w:rPr>
          <w:rFonts w:eastAsia="仿宋_GB2312" w:cs="Times New Roman"/>
          <w:bCs/>
          <w:sz w:val="32"/>
          <w:szCs w:val="32"/>
        </w:rPr>
        <w:t>县财政局</w:t>
      </w:r>
      <w:r>
        <w:rPr>
          <w:rFonts w:eastAsia="仿宋_GB2312" w:cs="Times New Roman"/>
          <w:sz w:val="32"/>
          <w:szCs w:val="32"/>
        </w:rPr>
        <w:t>负责多渠道筹措资金，为综合整治重点项目的推进实施提供必要的资金保障，负责财政资金使用的监管。</w:t>
      </w:r>
    </w:p>
    <w:p>
      <w:pPr>
        <w:pStyle w:val="3"/>
        <w:autoSpaceDN w:val="0"/>
        <w:spacing w:line="590" w:lineRule="exact"/>
        <w:ind w:firstLine="643"/>
        <w:rPr>
          <w:rFonts w:eastAsia="楷体_GB2312"/>
          <w:bCs w:val="0"/>
        </w:rPr>
      </w:pPr>
      <w:bookmarkStart w:id="162" w:name="_Toc23790725"/>
      <w:bookmarkStart w:id="163" w:name="_Toc460430390"/>
      <w:r>
        <w:rPr>
          <w:rFonts w:eastAsia="楷体_GB2312"/>
          <w:bCs w:val="0"/>
        </w:rPr>
        <w:t>9.2</w:t>
      </w:r>
      <w:r>
        <w:rPr>
          <w:rFonts w:hAnsi="楷体_GB2312" w:eastAsia="楷体_GB2312"/>
          <w:bCs w:val="0"/>
        </w:rPr>
        <w:t>严格执法监管</w:t>
      </w:r>
      <w:bookmarkEnd w:id="162"/>
      <w:bookmarkEnd w:id="163"/>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防范水环境风险。</w:t>
      </w:r>
      <w:r>
        <w:rPr>
          <w:rFonts w:eastAsia="仿宋_GB2312" w:cs="Times New Roman"/>
          <w:sz w:val="32"/>
          <w:szCs w:val="32"/>
        </w:rPr>
        <w:t>定期排查沿子牙河及其排干渠周边工业企业、农家乐、养殖户等，落实环境风险防控措施。禁止危险化</w:t>
      </w:r>
      <w:r>
        <w:rPr>
          <w:rFonts w:hint="eastAsia" w:eastAsia="仿宋_GB2312" w:cs="Times New Roman"/>
          <w:sz w:val="32"/>
          <w:szCs w:val="32"/>
        </w:rPr>
        <w:t>学</w:t>
      </w:r>
      <w:r>
        <w:rPr>
          <w:rFonts w:eastAsia="仿宋_GB2312" w:cs="Times New Roman"/>
          <w:sz w:val="32"/>
          <w:szCs w:val="32"/>
        </w:rPr>
        <w:t>品运输车辆进入子牙河大堤路段。</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加大水环境执法力度。</w:t>
      </w:r>
      <w:r>
        <w:rPr>
          <w:rFonts w:eastAsia="仿宋_GB2312" w:cs="Times New Roman"/>
          <w:sz w:val="32"/>
          <w:szCs w:val="32"/>
        </w:rPr>
        <w:t>坚持日常监管和专项整治相结合，深入开展子牙河流域环保专项行动，重点打击工业企业、污水处理厂、畜禽养殖污染等存在的环境违法行为。对非法的作坊式企业、不符合产业政策的“低、小、散”企业进行清理整顿。重点打击私设暗管或利用渗井、渗坑排放、倾倒含有毒有害污染物废水、含病原体污水。对构成犯罪的，要依法追究刑事责任。对负有连带责任的环境服务第三方机构，依法严格追责。健全行政执法与刑事司法联动机制，完善案件移送、联合调查、信息共享和奖惩机制，实现行政执法与刑事司法无缝衔接。</w:t>
      </w:r>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bCs/>
          <w:spacing w:val="-6"/>
          <w:sz w:val="32"/>
          <w:szCs w:val="32"/>
        </w:rPr>
        <w:t>完善子牙河水环境监测网络。</w:t>
      </w:r>
      <w:r>
        <w:rPr>
          <w:rFonts w:eastAsia="仿宋_GB2312" w:cs="Times New Roman"/>
          <w:spacing w:val="-6"/>
          <w:sz w:val="32"/>
          <w:szCs w:val="32"/>
        </w:rPr>
        <w:t>统一规划设置干流、支流（排干渠）监测断面，逐月监测子牙河水质、水量。建立常规监测、移动监测、动态预警监测“三位一体”的子牙河水环境质量监测网络。</w:t>
      </w:r>
    </w:p>
    <w:p>
      <w:pPr>
        <w:pStyle w:val="3"/>
        <w:autoSpaceDN w:val="0"/>
        <w:spacing w:line="590" w:lineRule="exact"/>
        <w:ind w:firstLine="643"/>
        <w:rPr>
          <w:rFonts w:eastAsia="楷体_GB2312"/>
          <w:bCs w:val="0"/>
        </w:rPr>
      </w:pPr>
      <w:bookmarkStart w:id="164" w:name="_Toc23790726"/>
      <w:r>
        <w:rPr>
          <w:rFonts w:eastAsia="楷体_GB2312"/>
          <w:bCs w:val="0"/>
        </w:rPr>
        <w:t>9.3</w:t>
      </w:r>
      <w:r>
        <w:rPr>
          <w:rFonts w:hAnsi="楷体_GB2312" w:eastAsia="楷体_GB2312"/>
          <w:bCs w:val="0"/>
        </w:rPr>
        <w:t>完善工作机制</w:t>
      </w:r>
      <w:bookmarkEnd w:id="164"/>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全面落实河长、段长、点长工作制。</w:t>
      </w:r>
      <w:r>
        <w:rPr>
          <w:rFonts w:eastAsia="仿宋_GB2312" w:cs="Times New Roman"/>
          <w:sz w:val="32"/>
          <w:szCs w:val="32"/>
        </w:rPr>
        <w:t>按照“以块为主、属地负责”的管理责任体系，大城县党政主要负责领导任河长，乡镇党政主要负责领导任辖区内河道的段长，乡镇党政班子成员和各村村委会主要负责人任点长，实行分级挂钩管理。严格落实“谁分管、谁负责”的管理工作责任制，河长全面负责子牙河廊坊段的综合整治工作；段长全面负责子牙河在本乡镇河段的综合整治工作组织和实施，划分责任地段，采取专人管理与群众管理相结合的方式，切实履行综合整治职责，按照河道保洁达到“无阻水障碍物、无非法排污口、无垃圾”标准，落实河道保洁员，开展河道垃圾清理、对非法排污及破坏河道的行为及时制止、报告等工作，所做工作向河长负责；点长重点负责本乡镇内各个污染点源的治理、农村垃圾收集清理、沿岸生态保持和入河断面的环境综合整治</w:t>
      </w:r>
      <w:r>
        <w:rPr>
          <w:rFonts w:hint="eastAsia" w:eastAsia="仿宋_GB2312" w:cs="Times New Roman"/>
          <w:sz w:val="32"/>
          <w:szCs w:val="32"/>
        </w:rPr>
        <w:t>工</w:t>
      </w:r>
      <w:r>
        <w:rPr>
          <w:rFonts w:eastAsia="仿宋_GB2312" w:cs="Times New Roman"/>
          <w:sz w:val="32"/>
          <w:szCs w:val="32"/>
        </w:rPr>
        <w:t>作，并坚持开展河道的巡逻检查，做好工程维护和河道保洁等工作，所做工作向段长负责。</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完善水环境应急机制。</w:t>
      </w:r>
      <w:r>
        <w:rPr>
          <w:rFonts w:eastAsia="仿宋_GB2312" w:cs="Times New Roman"/>
          <w:sz w:val="32"/>
          <w:szCs w:val="32"/>
        </w:rPr>
        <w:t>大城县政府要制定和完善水污染事故处置应急预案，落实责任主体，明确预警预报与响应程序、应急处置及保障措施等内容，依法及时公布预警信息；制定水环境污染应急能力建设规划，全面提升应急处置能力。</w:t>
      </w:r>
    </w:p>
    <w:p>
      <w:pPr>
        <w:pStyle w:val="3"/>
        <w:autoSpaceDN w:val="0"/>
        <w:spacing w:line="590" w:lineRule="exact"/>
        <w:ind w:firstLine="643"/>
        <w:rPr>
          <w:rFonts w:eastAsia="楷体_GB2312"/>
          <w:bCs w:val="0"/>
        </w:rPr>
      </w:pPr>
      <w:bookmarkStart w:id="165" w:name="_Toc23790727"/>
      <w:r>
        <w:rPr>
          <w:rFonts w:eastAsia="楷体_GB2312"/>
          <w:bCs w:val="0"/>
        </w:rPr>
        <w:t>9.4</w:t>
      </w:r>
      <w:r>
        <w:rPr>
          <w:rFonts w:hAnsi="楷体_GB2312" w:eastAsia="楷体_GB2312"/>
          <w:bCs w:val="0"/>
        </w:rPr>
        <w:t>多方筹措资金</w:t>
      </w:r>
      <w:bookmarkEnd w:id="165"/>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加大财政支持力度。</w:t>
      </w:r>
      <w:r>
        <w:rPr>
          <w:rFonts w:eastAsia="仿宋_GB2312" w:cs="Times New Roman"/>
          <w:sz w:val="32"/>
          <w:szCs w:val="32"/>
        </w:rPr>
        <w:t>积极争取国家中央预算、国债等各类水环境保护专项建设补助资金，将水环境保护资金列入各级政府年度财政预算，用于水环境综合整治工程建设、运行管理及日常维护。对环境监管能力建设及运行费用分级予以必要保障。发展改革、生态环境、水利、住建、农业、畜牧、林业等部门要尽快建立相关项目库，积极争取国家、省、市的资金投入。</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引导社会资本投入。</w:t>
      </w:r>
      <w:r>
        <w:rPr>
          <w:rFonts w:eastAsia="仿宋_GB2312" w:cs="Times New Roman"/>
          <w:sz w:val="32"/>
          <w:szCs w:val="32"/>
        </w:rPr>
        <w:t>推广股权、项目收益权、特许经营权、排污权等质押融资担保。采取环境绩效合同服务、授予开发经营权益等方式，鼓励社会资本加大水环境保护投入，积极推广PPP模式，推行环境污染第三方治理。支持生态环保建设项目开展股权和债权融资，探索发行用于生态环保建设的绿色债券等融资。</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加快发展环保服务业。</w:t>
      </w:r>
      <w:r>
        <w:rPr>
          <w:rFonts w:eastAsia="仿宋_GB2312" w:cs="Times New Roman"/>
          <w:sz w:val="32"/>
          <w:szCs w:val="32"/>
        </w:rPr>
        <w:t>明确监管部门、排污企业和环保服务公司的责任和义务，完善风险分担、履约保障等机制。鼓励发展包括系统设计、设备成套、工程施工、调试运行、维护管理的环保服务总承包模式、PPP模式等。以污水、垃圾处理为重点，积极推行环境污染第三方治理。</w:t>
      </w:r>
    </w:p>
    <w:p>
      <w:pPr>
        <w:pStyle w:val="3"/>
        <w:autoSpaceDN w:val="0"/>
        <w:spacing w:line="590" w:lineRule="exact"/>
        <w:ind w:firstLine="643"/>
        <w:rPr>
          <w:rFonts w:eastAsia="楷体_GB2312"/>
          <w:bCs w:val="0"/>
        </w:rPr>
      </w:pPr>
      <w:bookmarkStart w:id="166" w:name="_Toc23790728"/>
      <w:r>
        <w:rPr>
          <w:rFonts w:eastAsia="楷体_GB2312"/>
          <w:bCs w:val="0"/>
        </w:rPr>
        <w:t>9.5</w:t>
      </w:r>
      <w:r>
        <w:rPr>
          <w:rFonts w:hAnsi="楷体_GB2312" w:eastAsia="楷体_GB2312"/>
          <w:bCs w:val="0"/>
        </w:rPr>
        <w:t>推动公众参与</w:t>
      </w:r>
      <w:bookmarkEnd w:id="166"/>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加强环境保护宣传教育。</w:t>
      </w:r>
      <w:r>
        <w:rPr>
          <w:rFonts w:eastAsia="仿宋_GB2312" w:cs="Times New Roman"/>
          <w:sz w:val="32"/>
          <w:szCs w:val="32"/>
        </w:rPr>
        <w:t>把子牙河水资源、水环境保护和水情知识纳入大城县教育体系，充分发挥主流新闻媒体的舆论导向作用，提高公众，特别是子牙河沿岸村庄居民对经济社会发展和环境保护客观规律的认识。</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支持公众、社会组织开展环保工作。</w:t>
      </w:r>
      <w:r>
        <w:rPr>
          <w:rFonts w:eastAsia="仿宋_GB2312" w:cs="Times New Roman"/>
          <w:sz w:val="32"/>
          <w:szCs w:val="32"/>
        </w:rPr>
        <w:t>健全举报制度，充分发挥环保举报热线和网络平台作用，深入开展“随手拍”等活动，依托互联网创新环境保护公众参与模式。公开曝光环境违法典型案件，限期办理群众举报投诉的环境问题，一经查实，可给予举报人奖励。通过公开听证、网络征集等形式，充分听取公众对重大决策和建设项目的意见。完善媒体参与执法、挂牌督办与公开曝光等工作机制。</w:t>
      </w:r>
    </w:p>
    <w:p>
      <w:pPr>
        <w:snapToGrid w:val="0"/>
        <w:spacing w:line="590" w:lineRule="exact"/>
        <w:ind w:firstLine="640"/>
        <w:rPr>
          <w:rFonts w:eastAsia="仿宋_GB2312" w:cs="Times New Roman"/>
          <w:sz w:val="32"/>
          <w:szCs w:val="32"/>
        </w:rPr>
        <w:sectPr>
          <w:footerReference r:id="rId23" w:type="default"/>
          <w:footerReference r:id="rId24" w:type="even"/>
          <w:pgSz w:w="11906" w:h="16838"/>
          <w:pgMar w:top="2098" w:right="1531" w:bottom="1474" w:left="1531" w:header="851" w:footer="850" w:gutter="0"/>
          <w:cols w:space="720" w:num="1"/>
          <w:docGrid w:linePitch="326" w:charSpace="0"/>
        </w:sectPr>
      </w:pPr>
    </w:p>
    <w:p>
      <w:pPr>
        <w:pStyle w:val="2"/>
        <w:autoSpaceDN w:val="0"/>
        <w:snapToGrid w:val="0"/>
        <w:spacing w:line="360" w:lineRule="auto"/>
        <w:ind w:firstLine="0" w:firstLineChars="0"/>
        <w:jc w:val="both"/>
        <w:rPr>
          <w:bCs w:val="0"/>
          <w:szCs w:val="28"/>
        </w:rPr>
      </w:pPr>
      <w:bookmarkStart w:id="167" w:name="_Toc23790729"/>
      <w:r>
        <w:rPr>
          <w:rFonts w:hAnsi="黑体"/>
          <w:bCs w:val="0"/>
          <w:szCs w:val="28"/>
        </w:rPr>
        <w:t>附表</w:t>
      </w:r>
      <w:r>
        <w:rPr>
          <w:bCs w:val="0"/>
          <w:szCs w:val="28"/>
        </w:rPr>
        <w:t>1</w:t>
      </w:r>
      <w:r>
        <w:rPr>
          <w:rFonts w:hAnsi="黑体"/>
          <w:bCs w:val="0"/>
          <w:szCs w:val="28"/>
        </w:rPr>
        <w:t>：</w:t>
      </w:r>
      <w:r>
        <w:rPr>
          <w:rFonts w:hint="eastAsia" w:hAnsi="黑体"/>
          <w:bCs w:val="0"/>
          <w:szCs w:val="28"/>
        </w:rPr>
        <w:t xml:space="preserve">                         </w:t>
      </w:r>
      <w:r>
        <w:rPr>
          <w:rFonts w:hAnsi="黑体"/>
          <w:bCs w:val="0"/>
          <w:szCs w:val="28"/>
        </w:rPr>
        <w:t>重点工程项目及投资汇总</w:t>
      </w:r>
      <w:bookmarkEnd w:id="167"/>
    </w:p>
    <w:tbl>
      <w:tblPr>
        <w:tblStyle w:val="10"/>
        <w:tblW w:w="13265" w:type="dxa"/>
        <w:jc w:val="center"/>
        <w:tblInd w:w="-79" w:type="dxa"/>
        <w:tblLayout w:type="fixed"/>
        <w:tblCellMar>
          <w:top w:w="0" w:type="dxa"/>
          <w:left w:w="11" w:type="dxa"/>
          <w:bottom w:w="0" w:type="dxa"/>
          <w:right w:w="11" w:type="dxa"/>
        </w:tblCellMar>
      </w:tblPr>
      <w:tblGrid>
        <w:gridCol w:w="536"/>
        <w:gridCol w:w="732"/>
        <w:gridCol w:w="1337"/>
        <w:gridCol w:w="1331"/>
        <w:gridCol w:w="1172"/>
        <w:gridCol w:w="1339"/>
        <w:gridCol w:w="1177"/>
        <w:gridCol w:w="4439"/>
        <w:gridCol w:w="1202"/>
      </w:tblGrid>
      <w:tr>
        <w:tblPrEx>
          <w:tblLayout w:type="fixed"/>
          <w:tblCellMar>
            <w:top w:w="0" w:type="dxa"/>
            <w:left w:w="11" w:type="dxa"/>
            <w:bottom w:w="0" w:type="dxa"/>
            <w:right w:w="11" w:type="dxa"/>
          </w:tblCellMar>
        </w:tblPrEx>
        <w:trPr>
          <w:trHeight w:val="592" w:hRule="atLeast"/>
          <w:jc w:val="center"/>
        </w:trPr>
        <w:tc>
          <w:tcPr>
            <w:tcW w:w="536"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序号</w:t>
            </w:r>
          </w:p>
        </w:tc>
        <w:tc>
          <w:tcPr>
            <w:tcW w:w="732"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隶属</w:t>
            </w:r>
          </w:p>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关系</w:t>
            </w:r>
          </w:p>
        </w:tc>
        <w:tc>
          <w:tcPr>
            <w:tcW w:w="1337"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项目类型</w:t>
            </w:r>
          </w:p>
        </w:tc>
        <w:tc>
          <w:tcPr>
            <w:tcW w:w="1331"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项目名称</w:t>
            </w:r>
          </w:p>
        </w:tc>
        <w:tc>
          <w:tcPr>
            <w:tcW w:w="1172"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建设地点</w:t>
            </w:r>
          </w:p>
        </w:tc>
        <w:tc>
          <w:tcPr>
            <w:tcW w:w="1339"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建设周期</w:t>
            </w:r>
          </w:p>
        </w:tc>
        <w:tc>
          <w:tcPr>
            <w:tcW w:w="1177"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承担单位</w:t>
            </w:r>
          </w:p>
        </w:tc>
        <w:tc>
          <w:tcPr>
            <w:tcW w:w="4439"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项目建设规模与内容</w:t>
            </w:r>
          </w:p>
        </w:tc>
        <w:tc>
          <w:tcPr>
            <w:tcW w:w="1202" w:type="dxa"/>
            <w:vMerge w:val="restart"/>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项目总投资（万元）</w:t>
            </w:r>
          </w:p>
        </w:tc>
      </w:tr>
      <w:tr>
        <w:tblPrEx>
          <w:tblLayout w:type="fixed"/>
          <w:tblCellMar>
            <w:top w:w="0" w:type="dxa"/>
            <w:left w:w="11" w:type="dxa"/>
            <w:bottom w:w="0" w:type="dxa"/>
            <w:right w:w="11" w:type="dxa"/>
          </w:tblCellMar>
        </w:tblPrEx>
        <w:trPr>
          <w:trHeight w:val="592" w:hRule="atLeast"/>
          <w:jc w:val="center"/>
        </w:trPr>
        <w:tc>
          <w:tcPr>
            <w:tcW w:w="53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73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33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331"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339"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17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4439"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c>
          <w:tcPr>
            <w:tcW w:w="120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bCs/>
                <w:sz w:val="21"/>
                <w:szCs w:val="21"/>
              </w:rPr>
            </w:pPr>
          </w:p>
        </w:tc>
      </w:tr>
      <w:tr>
        <w:tblPrEx>
          <w:tblLayout w:type="fixed"/>
          <w:tblCellMar>
            <w:top w:w="0" w:type="dxa"/>
            <w:left w:w="11" w:type="dxa"/>
            <w:bottom w:w="0" w:type="dxa"/>
            <w:right w:w="11" w:type="dxa"/>
          </w:tblCellMar>
        </w:tblPrEx>
        <w:trPr>
          <w:trHeight w:val="447" w:hRule="atLeast"/>
          <w:jc w:val="center"/>
        </w:trPr>
        <w:tc>
          <w:tcPr>
            <w:tcW w:w="12063" w:type="dxa"/>
            <w:gridSpan w:val="8"/>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合计</w:t>
            </w:r>
          </w:p>
        </w:tc>
        <w:tc>
          <w:tcPr>
            <w:tcW w:w="1202"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bCs/>
                <w:sz w:val="21"/>
                <w:szCs w:val="21"/>
              </w:rPr>
            </w:pPr>
            <w:r>
              <w:rPr>
                <w:rFonts w:eastAsia="仿宋_GB2312" w:cs="Times New Roman"/>
                <w:b/>
                <w:bCs/>
                <w:sz w:val="21"/>
                <w:szCs w:val="21"/>
              </w:rPr>
              <w:t>3300</w:t>
            </w:r>
          </w:p>
        </w:tc>
      </w:tr>
      <w:tr>
        <w:tblPrEx>
          <w:tblLayout w:type="fixed"/>
          <w:tblCellMar>
            <w:top w:w="0" w:type="dxa"/>
            <w:left w:w="11" w:type="dxa"/>
            <w:bottom w:w="0" w:type="dxa"/>
            <w:right w:w="11" w:type="dxa"/>
          </w:tblCellMar>
        </w:tblPrEx>
        <w:trPr>
          <w:trHeight w:val="447" w:hRule="atLeast"/>
          <w:jc w:val="center"/>
        </w:trPr>
        <w:tc>
          <w:tcPr>
            <w:tcW w:w="12063" w:type="dxa"/>
            <w:gridSpan w:val="8"/>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1</w:t>
            </w:r>
            <w:r>
              <w:rPr>
                <w:rFonts w:hint="eastAsia" w:eastAsia="仿宋_GB2312" w:cs="Times New Roman"/>
                <w:b/>
                <w:sz w:val="21"/>
                <w:szCs w:val="21"/>
              </w:rPr>
              <w:t>-</w:t>
            </w:r>
            <w:r>
              <w:rPr>
                <w:rFonts w:eastAsia="仿宋_GB2312" w:cs="Times New Roman"/>
                <w:b/>
                <w:sz w:val="21"/>
                <w:szCs w:val="21"/>
              </w:rPr>
              <w:t>流域污染源治理类型项目小计</w:t>
            </w:r>
          </w:p>
        </w:tc>
        <w:tc>
          <w:tcPr>
            <w:tcW w:w="1202"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1650</w:t>
            </w:r>
          </w:p>
        </w:tc>
      </w:tr>
      <w:tr>
        <w:tblPrEx>
          <w:tblLayout w:type="fixed"/>
          <w:tblCellMar>
            <w:top w:w="0" w:type="dxa"/>
            <w:left w:w="11" w:type="dxa"/>
            <w:bottom w:w="0" w:type="dxa"/>
            <w:right w:w="11" w:type="dxa"/>
          </w:tblCellMar>
        </w:tblPrEx>
        <w:trPr>
          <w:trHeight w:val="1291" w:hRule="atLeast"/>
          <w:jc w:val="center"/>
        </w:trPr>
        <w:tc>
          <w:tcPr>
            <w:tcW w:w="536" w:type="dxa"/>
            <w:tcBorders>
              <w:top w:val="nil"/>
              <w:left w:val="single" w:color="auto" w:sz="4" w:space="0"/>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73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337"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集中式污水处理设施建设及配套管网工程</w:t>
            </w:r>
          </w:p>
        </w:tc>
        <w:tc>
          <w:tcPr>
            <w:tcW w:w="1331"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大城县城区配套截污管网建设工程</w:t>
            </w:r>
          </w:p>
        </w:tc>
        <w:tc>
          <w:tcPr>
            <w:tcW w:w="1172" w:type="dxa"/>
            <w:tcBorders>
              <w:top w:val="nil"/>
              <w:left w:val="nil"/>
              <w:bottom w:val="single" w:color="auto" w:sz="4" w:space="0"/>
              <w:right w:val="single" w:color="auto" w:sz="4" w:space="0"/>
            </w:tcBorders>
            <w:shd w:val="clear" w:color="auto" w:fill="auto"/>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大城县城区</w:t>
            </w:r>
          </w:p>
        </w:tc>
        <w:tc>
          <w:tcPr>
            <w:tcW w:w="1339" w:type="dxa"/>
            <w:tcBorders>
              <w:top w:val="nil"/>
              <w:left w:val="nil"/>
              <w:bottom w:val="single" w:color="auto" w:sz="4" w:space="0"/>
              <w:right w:val="single" w:color="auto" w:sz="4" w:space="0"/>
            </w:tcBorders>
            <w:shd w:val="clear" w:color="auto" w:fill="FFFFFF"/>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2016—2020</w:t>
            </w:r>
            <w:r>
              <w:rPr>
                <w:rFonts w:hint="eastAsia" w:eastAsia="仿宋_GB2312" w:cs="Times New Roman"/>
                <w:sz w:val="21"/>
                <w:szCs w:val="21"/>
              </w:rPr>
              <w:t>年</w:t>
            </w:r>
          </w:p>
        </w:tc>
        <w:tc>
          <w:tcPr>
            <w:tcW w:w="1177"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4439"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完成输往城东污水处理厂配套输水管网长度7231米，管网采用截流式合流制与分流制并用的排水体制等。</w:t>
            </w:r>
          </w:p>
        </w:tc>
        <w:tc>
          <w:tcPr>
            <w:tcW w:w="1202"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1650</w:t>
            </w:r>
          </w:p>
        </w:tc>
      </w:tr>
      <w:tr>
        <w:tblPrEx>
          <w:tblLayout w:type="fixed"/>
          <w:tblCellMar>
            <w:top w:w="0" w:type="dxa"/>
            <w:left w:w="11" w:type="dxa"/>
            <w:bottom w:w="0" w:type="dxa"/>
            <w:right w:w="11" w:type="dxa"/>
          </w:tblCellMar>
        </w:tblPrEx>
        <w:trPr>
          <w:trHeight w:val="447" w:hRule="atLeast"/>
          <w:jc w:val="center"/>
        </w:trPr>
        <w:tc>
          <w:tcPr>
            <w:tcW w:w="12063" w:type="dxa"/>
            <w:gridSpan w:val="8"/>
            <w:tcBorders>
              <w:top w:val="nil"/>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2</w:t>
            </w:r>
            <w:r>
              <w:rPr>
                <w:rFonts w:hint="eastAsia" w:eastAsia="仿宋_GB2312" w:cs="Times New Roman"/>
                <w:b/>
                <w:sz w:val="21"/>
                <w:szCs w:val="21"/>
              </w:rPr>
              <w:t>-</w:t>
            </w:r>
            <w:r>
              <w:rPr>
                <w:rFonts w:eastAsia="仿宋_GB2312" w:cs="Times New Roman"/>
                <w:b/>
                <w:sz w:val="21"/>
                <w:szCs w:val="21"/>
              </w:rPr>
              <w:t>流域河道综合治理与生态修复类型项目小计</w:t>
            </w:r>
          </w:p>
        </w:tc>
        <w:tc>
          <w:tcPr>
            <w:tcW w:w="1202" w:type="dxa"/>
            <w:tcBorders>
              <w:top w:val="nil"/>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1650</w:t>
            </w:r>
          </w:p>
        </w:tc>
      </w:tr>
      <w:tr>
        <w:tblPrEx>
          <w:tblLayout w:type="fixed"/>
          <w:tblCellMar>
            <w:top w:w="0" w:type="dxa"/>
            <w:left w:w="11" w:type="dxa"/>
            <w:bottom w:w="0" w:type="dxa"/>
            <w:right w:w="11" w:type="dxa"/>
          </w:tblCellMar>
        </w:tblPrEx>
        <w:trPr>
          <w:trHeight w:val="1291" w:hRule="atLeast"/>
          <w:jc w:val="center"/>
        </w:trPr>
        <w:tc>
          <w:tcPr>
            <w:tcW w:w="53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73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33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综合管控工程</w:t>
            </w:r>
          </w:p>
        </w:tc>
        <w:tc>
          <w:tcPr>
            <w:tcW w:w="13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断面综合管控工程</w:t>
            </w:r>
          </w:p>
        </w:tc>
        <w:tc>
          <w:tcPr>
            <w:tcW w:w="117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小河闸断面</w:t>
            </w:r>
          </w:p>
        </w:tc>
        <w:tc>
          <w:tcPr>
            <w:tcW w:w="13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2019—2020</w:t>
            </w:r>
            <w:r>
              <w:rPr>
                <w:rFonts w:hint="eastAsia" w:eastAsia="仿宋_GB2312" w:cs="Times New Roman"/>
                <w:sz w:val="21"/>
                <w:szCs w:val="21"/>
              </w:rPr>
              <w:t>年</w:t>
            </w:r>
          </w:p>
        </w:tc>
        <w:tc>
          <w:tcPr>
            <w:tcW w:w="117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44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小河闸断面上下游1.5公里开展生态维护、藻类监测、水量调度、垃圾清理等维护水质的精细化管理措施。</w:t>
            </w:r>
          </w:p>
        </w:tc>
        <w:tc>
          <w:tcPr>
            <w:tcW w:w="120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150</w:t>
            </w:r>
          </w:p>
        </w:tc>
      </w:tr>
      <w:tr>
        <w:tblPrEx>
          <w:tblLayout w:type="fixed"/>
          <w:tblCellMar>
            <w:top w:w="0" w:type="dxa"/>
            <w:left w:w="11" w:type="dxa"/>
            <w:bottom w:w="0" w:type="dxa"/>
            <w:right w:w="11" w:type="dxa"/>
          </w:tblCellMar>
        </w:tblPrEx>
        <w:trPr>
          <w:trHeight w:val="1085" w:hRule="atLeast"/>
          <w:jc w:val="center"/>
        </w:trPr>
        <w:tc>
          <w:tcPr>
            <w:tcW w:w="53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73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33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生态补水工程</w:t>
            </w:r>
          </w:p>
        </w:tc>
        <w:tc>
          <w:tcPr>
            <w:tcW w:w="13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子牙河生态补水工程</w:t>
            </w:r>
          </w:p>
        </w:tc>
        <w:tc>
          <w:tcPr>
            <w:tcW w:w="117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13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2019—2020</w:t>
            </w:r>
            <w:r>
              <w:rPr>
                <w:rFonts w:hint="eastAsia" w:eastAsia="仿宋_GB2312" w:cs="Times New Roman"/>
                <w:sz w:val="21"/>
                <w:szCs w:val="21"/>
              </w:rPr>
              <w:t>年</w:t>
            </w:r>
          </w:p>
        </w:tc>
        <w:tc>
          <w:tcPr>
            <w:tcW w:w="117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大城县政府</w:t>
            </w:r>
          </w:p>
        </w:tc>
        <w:tc>
          <w:tcPr>
            <w:tcW w:w="44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开展子牙河生态补水接配套设施建设，补水规模7000万立方米。</w:t>
            </w:r>
          </w:p>
        </w:tc>
        <w:tc>
          <w:tcPr>
            <w:tcW w:w="120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1000</w:t>
            </w:r>
          </w:p>
        </w:tc>
      </w:tr>
      <w:tr>
        <w:tblPrEx>
          <w:tblLayout w:type="fixed"/>
          <w:tblCellMar>
            <w:top w:w="0" w:type="dxa"/>
            <w:left w:w="11" w:type="dxa"/>
            <w:bottom w:w="0" w:type="dxa"/>
            <w:right w:w="11" w:type="dxa"/>
          </w:tblCellMar>
        </w:tblPrEx>
        <w:trPr>
          <w:trHeight w:val="1884" w:hRule="atLeast"/>
          <w:jc w:val="center"/>
        </w:trPr>
        <w:tc>
          <w:tcPr>
            <w:tcW w:w="536" w:type="dxa"/>
            <w:tcBorders>
              <w:top w:val="single" w:color="auto" w:sz="4" w:space="0"/>
              <w:left w:val="single" w:color="auto" w:sz="4" w:space="0"/>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73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大城县</w:t>
            </w:r>
          </w:p>
        </w:tc>
        <w:tc>
          <w:tcPr>
            <w:tcW w:w="133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河流沿线综合整治</w:t>
            </w:r>
          </w:p>
        </w:tc>
        <w:tc>
          <w:tcPr>
            <w:tcW w:w="1331"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子牙河沿线农村环境综合治理、河岸修复绿化、堤顶路修建工程</w:t>
            </w:r>
          </w:p>
        </w:tc>
        <w:tc>
          <w:tcPr>
            <w:tcW w:w="117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子牙河</w:t>
            </w:r>
          </w:p>
        </w:tc>
        <w:tc>
          <w:tcPr>
            <w:tcW w:w="13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2019—2020</w:t>
            </w:r>
            <w:r>
              <w:rPr>
                <w:rFonts w:hint="eastAsia" w:eastAsia="仿宋_GB2312" w:cs="Times New Roman"/>
                <w:sz w:val="21"/>
                <w:szCs w:val="21"/>
              </w:rPr>
              <w:t>年</w:t>
            </w:r>
          </w:p>
        </w:tc>
        <w:tc>
          <w:tcPr>
            <w:tcW w:w="1177"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eastAsia="仿宋_GB2312" w:cs="Times New Roman"/>
                <w:sz w:val="21"/>
                <w:szCs w:val="21"/>
              </w:rPr>
            </w:pPr>
            <w:r>
              <w:rPr>
                <w:rFonts w:eastAsia="仿宋_GB2312" w:cs="Times New Roman"/>
                <w:sz w:val="21"/>
                <w:szCs w:val="21"/>
              </w:rPr>
              <w:t>大城县政府</w:t>
            </w:r>
          </w:p>
        </w:tc>
        <w:tc>
          <w:tcPr>
            <w:tcW w:w="4439"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rPr>
                <w:rFonts w:hint="eastAsia" w:eastAsia="仿宋_GB2312" w:cs="Times New Roman"/>
                <w:sz w:val="21"/>
                <w:szCs w:val="21"/>
              </w:rPr>
            </w:pPr>
            <w:r>
              <w:rPr>
                <w:rFonts w:eastAsia="仿宋_GB2312" w:cs="Times New Roman"/>
                <w:sz w:val="21"/>
                <w:szCs w:val="21"/>
              </w:rPr>
              <w:t>启动沿线农村污水处理设施建设、生活垃圾收集转运系统建设、子牙河两岸岸坡修复绿化、堤顶路修建工程</w:t>
            </w:r>
            <w:r>
              <w:rPr>
                <w:rFonts w:hint="eastAsia" w:eastAsia="仿宋_GB2312" w:cs="Times New Roman"/>
                <w:sz w:val="21"/>
                <w:szCs w:val="21"/>
              </w:rPr>
              <w:t>。</w:t>
            </w:r>
          </w:p>
        </w:tc>
        <w:tc>
          <w:tcPr>
            <w:tcW w:w="1202" w:type="dxa"/>
            <w:tcBorders>
              <w:top w:val="single" w:color="auto" w:sz="4" w:space="0"/>
              <w:left w:val="nil"/>
              <w:bottom w:val="single" w:color="auto" w:sz="4" w:space="0"/>
              <w:right w:val="single" w:color="auto" w:sz="4" w:space="0"/>
            </w:tcBorders>
            <w:vAlign w:val="center"/>
          </w:tcPr>
          <w:p>
            <w:pPr>
              <w:autoSpaceDN w:val="0"/>
              <w:adjustRightInd w:val="0"/>
              <w:snapToGrid w:val="0"/>
              <w:spacing w:line="240" w:lineRule="auto"/>
              <w:ind w:firstLine="0" w:firstLineChars="0"/>
              <w:jc w:val="center"/>
              <w:rPr>
                <w:rFonts w:eastAsia="仿宋_GB2312" w:cs="Times New Roman"/>
                <w:sz w:val="21"/>
                <w:szCs w:val="21"/>
              </w:rPr>
            </w:pPr>
            <w:r>
              <w:rPr>
                <w:rFonts w:eastAsia="仿宋_GB2312" w:cs="Times New Roman"/>
                <w:sz w:val="21"/>
                <w:szCs w:val="21"/>
              </w:rPr>
              <w:t>500</w:t>
            </w:r>
          </w:p>
        </w:tc>
      </w:tr>
    </w:tbl>
    <w:p>
      <w:pPr>
        <w:widowControl/>
        <w:spacing w:line="14" w:lineRule="exact"/>
        <w:ind w:firstLine="0" w:firstLineChars="0"/>
        <w:jc w:val="left"/>
        <w:rPr>
          <w:rFonts w:eastAsia="仿宋_GB2312" w:cs="Times New Roman"/>
          <w:sz w:val="32"/>
          <w:szCs w:val="32"/>
        </w:rPr>
      </w:pPr>
    </w:p>
    <w:p>
      <w:pPr>
        <w:pStyle w:val="12"/>
        <w:autoSpaceDN w:val="0"/>
        <w:snapToGrid w:val="0"/>
        <w:spacing w:line="14" w:lineRule="exact"/>
        <w:ind w:firstLine="0" w:firstLineChars="0"/>
        <w:rPr>
          <w:rFonts w:ascii="Times New Roman" w:hAnsi="Times New Roman" w:eastAsia="仿宋_GB2312"/>
          <w:sz w:val="32"/>
          <w:szCs w:val="32"/>
        </w:rPr>
      </w:pPr>
    </w:p>
    <w:p>
      <w:bookmarkStart w:id="168" w:name="_GoBack"/>
      <w:bookmarkEnd w:id="168"/>
    </w:p>
    <w:sectPr>
      <w:headerReference r:id="rId25" w:type="default"/>
      <w:footerReference r:id="rId26" w:type="default"/>
      <w:pgSz w:w="16838" w:h="11906" w:orient="landscape"/>
      <w:pgMar w:top="1531" w:right="2098" w:bottom="1531" w:left="1474" w:header="851" w:footer="850" w:gutter="0"/>
      <w:cols w:space="720" w:num="1"/>
      <w:docGrid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Calibri Light">
    <w:altName w:val="Calibri"/>
    <w:panose1 w:val="020F0302020204030204"/>
    <w:charset w:val="00"/>
    <w:family w:val="swiss"/>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华文细黑">
    <w:altName w:val="微软雅黑"/>
    <w:panose1 w:val="02010600040101010101"/>
    <w:charset w:val="86"/>
    <w:family w:val="auto"/>
    <w:pitch w:val="default"/>
    <w:sig w:usb0="00000000" w:usb1="00000000" w:usb2="00000010" w:usb3="00000000" w:csb0="0004009F" w:csb1="00000000"/>
  </w:font>
  <w:font w:name="??">
    <w:altName w:val="Times New Roman"/>
    <w:panose1 w:val="00000000000000000000"/>
    <w:charset w:val="00"/>
    <w:family w:val="swiss"/>
    <w:pitch w:val="default"/>
    <w:sig w:usb0="00000000" w:usb1="00000000" w:usb2="00000000" w:usb3="00000000" w:csb0="00000001" w:csb1="00000000"/>
  </w:font>
  <w:font w:name="Chicago">
    <w:altName w:val="Arial"/>
    <w:panose1 w:val="00000000000000000000"/>
    <w:charset w:val="00"/>
    <w:family w:val="swiss"/>
    <w:pitch w:val="default"/>
    <w:sig w:usb0="00000000" w:usb1="00000000" w:usb2="00000000" w:usb3="00000000" w:csb0="00000001" w:csb1="00000000"/>
  </w:font>
  <w:font w:name="等线">
    <w:altName w:val="宋体"/>
    <w:panose1 w:val="02010600030101010101"/>
    <w:charset w:val="86"/>
    <w:family w:val="auto"/>
    <w:pitch w:val="default"/>
    <w:sig w:usb0="00000000" w:usb1="00000000" w:usb2="00000016" w:usb3="00000000" w:csb0="0004000F" w:csb1="00000000"/>
  </w:font>
  <w:font w:name="楷体_GB2312">
    <w:altName w:val="楷体"/>
    <w:panose1 w:val="02010609030101010101"/>
    <w:charset w:val="86"/>
    <w:family w:val="modern"/>
    <w:pitch w:val="default"/>
    <w:sig w:usb0="00000000" w:usb1="00000000" w:usb2="0000001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华文楷体">
    <w:altName w:val="宋体"/>
    <w:panose1 w:val="02010600040101010101"/>
    <w:charset w:val="86"/>
    <w:family w:val="auto"/>
    <w:pitch w:val="default"/>
    <w:sig w:usb0="00000000" w:usb1="00000000" w:usb2="00000010" w:usb3="00000000" w:csb0="0004009F" w:csb1="00000000"/>
  </w:font>
  <w:font w:name="方正小标宋简体">
    <w:panose1 w:val="03000509000000000000"/>
    <w:charset w:val="86"/>
    <w:family w:val="auto"/>
    <w:pitch w:val="default"/>
    <w:sig w:usb0="00000001" w:usb1="080E0000" w:usb2="00000000" w:usb3="00000000" w:csb0="00040000" w:csb1="00000000"/>
  </w:font>
  <w:font w:name="方正仿宋_GBK">
    <w:altName w:val="微软雅黑"/>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297</w:t>
    </w:r>
    <w:r>
      <w:rPr>
        <w:rFonts w:ascii="宋体" w:hAnsi="宋体"/>
        <w:sz w:val="28"/>
        <w:szCs w:val="28"/>
      </w:rPr>
      <w:fldChar w:fldCharType="end"/>
    </w:r>
    <w:r>
      <w:rPr>
        <w:rStyle w:val="9"/>
        <w:rFonts w:hint="eastAsia" w:ascii="宋体" w:hAnsi="宋体"/>
        <w:sz w:val="28"/>
        <w:szCs w:val="28"/>
      </w:rPr>
      <w:t xml:space="preserve"> —</w:t>
    </w:r>
    <w:r>
      <w:rPr>
        <w:rStyle w:val="9"/>
        <w:rFonts w:hint="eastAsia" w:ascii="宋体" w:hAnsi="宋体"/>
        <w:color w:val="FFFFFF"/>
        <w:sz w:val="28"/>
        <w:szCs w:val="28"/>
      </w:rPr>
      <w:t>—</w:t>
    </w:r>
  </w:p>
  <w:p>
    <w:pPr>
      <w:pStyle w:val="6"/>
      <w:ind w:firstLine="480"/>
      <w:jc w:val="center"/>
      <w:rPr>
        <w:sz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480"/>
      <w:jc w:val="center"/>
      <w:rPr>
        <w:sz w:val="24"/>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363</w:t>
    </w:r>
    <w:r>
      <w:rPr>
        <w:rFonts w:ascii="宋体" w:hAnsi="宋体"/>
        <w:sz w:val="28"/>
        <w:szCs w:val="28"/>
      </w:rPr>
      <w:fldChar w:fldCharType="end"/>
    </w:r>
    <w:r>
      <w:rPr>
        <w:rStyle w:val="9"/>
        <w:rFonts w:hint="eastAsia" w:ascii="宋体" w:hAnsi="宋体"/>
        <w:sz w:val="28"/>
        <w:szCs w:val="28"/>
      </w:rPr>
      <w:t xml:space="preserve"> —</w:t>
    </w:r>
  </w:p>
  <w:p>
    <w:pPr>
      <w:pStyle w:val="6"/>
      <w:ind w:right="360"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362</w:t>
    </w:r>
    <w:r>
      <w:rPr>
        <w:rFonts w:ascii="宋体" w:hAnsi="宋体"/>
        <w:sz w:val="28"/>
        <w:szCs w:val="28"/>
      </w:rPr>
      <w:fldChar w:fldCharType="end"/>
    </w:r>
    <w:r>
      <w:rPr>
        <w:rStyle w:val="9"/>
        <w:rFonts w:hint="eastAsia" w:ascii="宋体" w:hAnsi="宋体"/>
        <w:sz w:val="28"/>
        <w:szCs w:val="28"/>
      </w:rPr>
      <w:t xml:space="preserve"> —</w:t>
    </w:r>
  </w:p>
  <w:p>
    <w:pPr>
      <w:pStyle w:val="6"/>
      <w:ind w:right="360" w:firstLine="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367</w:t>
    </w:r>
    <w:r>
      <w:rPr>
        <w:rFonts w:ascii="宋体" w:hAnsi="宋体"/>
        <w:sz w:val="28"/>
        <w:szCs w:val="28"/>
      </w:rPr>
      <w:fldChar w:fldCharType="end"/>
    </w:r>
    <w:r>
      <w:rPr>
        <w:rStyle w:val="9"/>
        <w:rFonts w:hint="eastAsia" w:ascii="宋体" w:hAnsi="宋体"/>
        <w:sz w:val="28"/>
        <w:szCs w:val="28"/>
      </w:rPr>
      <w:t xml:space="preserve"> —</w:t>
    </w:r>
  </w:p>
  <w:p>
    <w:pPr>
      <w:pStyle w:val="6"/>
      <w:ind w:right="360" w:firstLine="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385</w:t>
    </w:r>
    <w:r>
      <w:rPr>
        <w:rFonts w:ascii="宋体" w:hAnsi="宋体"/>
        <w:sz w:val="28"/>
        <w:szCs w:val="28"/>
      </w:rPr>
      <w:fldChar w:fldCharType="end"/>
    </w:r>
    <w:r>
      <w:rPr>
        <w:rStyle w:val="9"/>
        <w:rFonts w:hint="eastAsia" w:ascii="宋体" w:hAnsi="宋体"/>
        <w:sz w:val="28"/>
        <w:szCs w:val="28"/>
      </w:rPr>
      <w:t xml:space="preserve"> —</w:t>
    </w:r>
  </w:p>
  <w:p>
    <w:pPr>
      <w:pStyle w:val="6"/>
      <w:ind w:firstLine="480"/>
      <w:jc w:val="center"/>
      <w:rPr>
        <w:sz w:val="24"/>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386</w:t>
    </w:r>
    <w:r>
      <w:rPr>
        <w:rFonts w:ascii="宋体" w:hAnsi="宋体"/>
        <w:sz w:val="28"/>
        <w:szCs w:val="28"/>
      </w:rPr>
      <w:fldChar w:fldCharType="end"/>
    </w:r>
    <w:r>
      <w:rPr>
        <w:rStyle w:val="9"/>
        <w:rFonts w:hint="eastAsia" w:ascii="宋体" w:hAnsi="宋体"/>
        <w:sz w:val="28"/>
        <w:szCs w:val="28"/>
      </w:rPr>
      <w:t xml:space="preserve"> —</w:t>
    </w:r>
  </w:p>
  <w:p>
    <w:pPr>
      <w:pStyle w:val="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page" w:x="1475" w:y="-33"/>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298</w:t>
    </w:r>
    <w:r>
      <w:rPr>
        <w:rFonts w:ascii="宋体" w:hAnsi="宋体"/>
        <w:sz w:val="28"/>
        <w:szCs w:val="28"/>
      </w:rPr>
      <w:fldChar w:fldCharType="end"/>
    </w:r>
    <w:r>
      <w:rPr>
        <w:rStyle w:val="9"/>
        <w:rFonts w:hint="eastAsia" w:ascii="宋体" w:hAnsi="宋体"/>
        <w:sz w:val="28"/>
        <w:szCs w:val="28"/>
      </w:rPr>
      <w:t xml:space="preserve"> —</w:t>
    </w:r>
  </w:p>
  <w:p>
    <w:pPr>
      <w:pStyle w:val="6"/>
      <w:ind w:firstLine="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480"/>
      <w:jc w:val="center"/>
      <w:rPr>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480"/>
      <w:jc w:val="center"/>
      <w:rPr>
        <w:sz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305</w:t>
    </w:r>
    <w:r>
      <w:rPr>
        <w:rFonts w:ascii="宋体" w:hAnsi="宋体"/>
        <w:sz w:val="28"/>
        <w:szCs w:val="28"/>
      </w:rPr>
      <w:fldChar w:fldCharType="end"/>
    </w:r>
    <w:r>
      <w:rPr>
        <w:rStyle w:val="9"/>
        <w:rFonts w:hint="eastAsia" w:ascii="宋体" w:hAnsi="宋体"/>
        <w:sz w:val="28"/>
        <w:szCs w:val="28"/>
      </w:rPr>
      <w:t xml:space="preserve"> —</w:t>
    </w:r>
    <w:r>
      <w:rPr>
        <w:rStyle w:val="9"/>
        <w:rFonts w:hint="eastAsia" w:ascii="宋体" w:hAnsi="宋体"/>
        <w:color w:val="FFFFFF"/>
        <w:sz w:val="28"/>
        <w:szCs w:val="28"/>
      </w:rPr>
      <w:t>—</w:t>
    </w:r>
  </w:p>
  <w:p>
    <w:pPr>
      <w:pStyle w:val="6"/>
      <w:ind w:firstLine="480"/>
      <w:jc w:val="center"/>
      <w:rPr>
        <w:sz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480"/>
      <w:jc w:val="center"/>
      <w:rPr>
        <w:sz w:val="2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329</w:t>
    </w:r>
    <w:r>
      <w:rPr>
        <w:rFonts w:ascii="宋体" w:hAnsi="宋体"/>
        <w:sz w:val="28"/>
        <w:szCs w:val="28"/>
      </w:rPr>
      <w:fldChar w:fldCharType="end"/>
    </w:r>
    <w:r>
      <w:rPr>
        <w:rStyle w:val="9"/>
        <w:rFonts w:hint="eastAsia" w:ascii="宋体" w:hAnsi="宋体"/>
        <w:sz w:val="28"/>
        <w:szCs w:val="28"/>
      </w:rPr>
      <w:t xml:space="preserve"> —</w:t>
    </w:r>
    <w:r>
      <w:rPr>
        <w:rStyle w:val="9"/>
        <w:rFonts w:hint="eastAsia" w:ascii="宋体" w:hAnsi="宋体"/>
        <w:color w:val="FFFFFF"/>
        <w:sz w:val="28"/>
        <w:szCs w:val="28"/>
      </w:rPr>
      <w:t>—</w:t>
    </w:r>
  </w:p>
  <w:p>
    <w:pPr>
      <w:pStyle w:val="6"/>
      <w:ind w:firstLine="480"/>
      <w:jc w:val="center"/>
      <w:rPr>
        <w:sz w:val="24"/>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page" w:x="1475" w:y="-33"/>
      <w:ind w:firstLine="0" w:firstLineChars="0"/>
      <w:rPr>
        <w:rStyle w:val="9"/>
        <w:rFonts w:ascii="宋体" w:hAnsi="宋体"/>
        <w:sz w:val="28"/>
        <w:szCs w:val="28"/>
      </w:rPr>
    </w:pPr>
    <w:r>
      <w:rPr>
        <w:rStyle w:val="9"/>
        <w:rFonts w:hint="eastAsia" w:ascii="宋体" w:hAnsi="宋体"/>
        <w:color w:val="FFFFFF"/>
        <w:sz w:val="28"/>
        <w:szCs w:val="28"/>
      </w:rPr>
      <w:t>—</w:t>
    </w:r>
    <w:r>
      <w:rPr>
        <w:rStyle w:val="9"/>
        <w:rFonts w:hint="eastAsia" w:ascii="宋体" w:hAnsi="宋体"/>
        <w:sz w:val="28"/>
        <w:szCs w:val="28"/>
      </w:rPr>
      <w:t xml:space="preserve">— </w:t>
    </w:r>
    <w:r>
      <w:rPr>
        <w:rFonts w:ascii="宋体" w:hAnsi="宋体"/>
        <w:sz w:val="28"/>
        <w:szCs w:val="28"/>
      </w:rPr>
      <w:fldChar w:fldCharType="begin"/>
    </w:r>
    <w:r>
      <w:rPr>
        <w:rStyle w:val="9"/>
        <w:rFonts w:ascii="宋体" w:hAnsi="宋体"/>
        <w:sz w:val="28"/>
        <w:szCs w:val="28"/>
      </w:rPr>
      <w:instrText xml:space="preserve">PAGE  </w:instrText>
    </w:r>
    <w:r>
      <w:rPr>
        <w:rFonts w:ascii="宋体" w:hAnsi="宋体"/>
        <w:sz w:val="28"/>
        <w:szCs w:val="28"/>
      </w:rPr>
      <w:fldChar w:fldCharType="separate"/>
    </w:r>
    <w:r>
      <w:rPr>
        <w:rStyle w:val="9"/>
        <w:rFonts w:ascii="宋体" w:hAnsi="宋体"/>
        <w:sz w:val="28"/>
        <w:szCs w:val="28"/>
      </w:rPr>
      <w:t>330</w:t>
    </w:r>
    <w:r>
      <w:rPr>
        <w:rFonts w:ascii="宋体" w:hAnsi="宋体"/>
        <w:sz w:val="28"/>
        <w:szCs w:val="28"/>
      </w:rPr>
      <w:fldChar w:fldCharType="end"/>
    </w:r>
    <w:r>
      <w:rPr>
        <w:rStyle w:val="9"/>
        <w:rFonts w:hint="eastAsia" w:ascii="宋体" w:hAnsi="宋体"/>
        <w:sz w:val="28"/>
        <w:szCs w:val="28"/>
      </w:rPr>
      <w:t xml:space="preserve"> —</w:t>
    </w:r>
  </w:p>
  <w:p>
    <w:pPr>
      <w:pStyle w:val="6"/>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55F73D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Arial"/>
      <w:kern w:val="2"/>
      <w:sz w:val="24"/>
      <w:szCs w:val="22"/>
      <w:lang w:val="en-US" w:eastAsia="zh-CN" w:bidi="ar-SA"/>
    </w:rPr>
  </w:style>
  <w:style w:type="paragraph" w:styleId="2">
    <w:name w:val="heading 1"/>
    <w:basedOn w:val="1"/>
    <w:next w:val="1"/>
    <w:qFormat/>
    <w:uiPriority w:val="0"/>
    <w:pPr>
      <w:spacing w:line="584" w:lineRule="exact"/>
      <w:jc w:val="left"/>
      <w:outlineLvl w:val="0"/>
    </w:pPr>
    <w:rPr>
      <w:rFonts w:eastAsia="黑体" w:cs="Times New Roman"/>
      <w:bCs/>
      <w:kern w:val="44"/>
      <w:sz w:val="32"/>
      <w:szCs w:val="44"/>
    </w:rPr>
  </w:style>
  <w:style w:type="paragraph" w:styleId="3">
    <w:name w:val="heading 2"/>
    <w:basedOn w:val="1"/>
    <w:next w:val="1"/>
    <w:unhideWhenUsed/>
    <w:qFormat/>
    <w:uiPriority w:val="0"/>
    <w:pPr>
      <w:spacing w:line="584" w:lineRule="exact"/>
      <w:outlineLvl w:val="1"/>
    </w:pPr>
    <w:rPr>
      <w:rFonts w:eastAsia="仿宋_GB2312" w:cs="Times New Roman"/>
      <w:b/>
      <w:bCs/>
      <w:sz w:val="32"/>
      <w:szCs w:val="32"/>
    </w:rPr>
  </w:style>
  <w:style w:type="paragraph" w:styleId="4">
    <w:name w:val="heading 3"/>
    <w:basedOn w:val="1"/>
    <w:next w:val="1"/>
    <w:unhideWhenUsed/>
    <w:qFormat/>
    <w:uiPriority w:val="0"/>
    <w:pPr>
      <w:spacing w:line="584" w:lineRule="exact"/>
      <w:outlineLvl w:val="2"/>
    </w:pPr>
    <w:rPr>
      <w:rFonts w:eastAsia="仿宋_GB2312" w:cs="Times New Roman"/>
      <w:b/>
      <w:bCs/>
      <w:sz w:val="32"/>
      <w:szCs w:val="32"/>
    </w:rPr>
  </w:style>
  <w:style w:type="character" w:default="1" w:styleId="8">
    <w:name w:val="Default Paragraph Font"/>
    <w:semiHidden/>
    <w:uiPriority w:val="0"/>
  </w:style>
  <w:style w:type="table" w:default="1" w:styleId="10">
    <w:name w:val="Normal Table"/>
    <w:semiHidden/>
    <w:uiPriority w:val="0"/>
    <w:tblPr>
      <w:tblLayout w:type="fixed"/>
      <w:tblCellMar>
        <w:top w:w="0" w:type="dxa"/>
        <w:left w:w="108" w:type="dxa"/>
        <w:bottom w:w="0" w:type="dxa"/>
        <w:right w:w="108" w:type="dxa"/>
      </w:tblCellMar>
    </w:tblPr>
  </w:style>
  <w:style w:type="paragraph" w:styleId="5">
    <w:name w:val="caption"/>
    <w:basedOn w:val="1"/>
    <w:next w:val="1"/>
    <w:unhideWhenUsed/>
    <w:qFormat/>
    <w:uiPriority w:val="0"/>
    <w:rPr>
      <w:rFonts w:ascii="Cambria" w:hAnsi="Cambria" w:eastAsia="黑体" w:cs="Times New Roman"/>
      <w:sz w:val="20"/>
      <w:szCs w:val="20"/>
    </w:rPr>
  </w:style>
  <w:style w:type="paragraph" w:styleId="6">
    <w:name w:val="footer"/>
    <w:basedOn w:val="1"/>
    <w:uiPriority w:val="0"/>
    <w:pPr>
      <w:tabs>
        <w:tab w:val="center" w:pos="4153"/>
        <w:tab w:val="right" w:pos="8306"/>
      </w:tabs>
      <w:snapToGrid w:val="0"/>
      <w:spacing w:line="240" w:lineRule="auto"/>
      <w:jc w:val="left"/>
    </w:pPr>
    <w:rPr>
      <w:sz w:val="18"/>
      <w:szCs w:val="18"/>
    </w:rPr>
  </w:style>
  <w:style w:type="paragraph" w:styleId="7">
    <w:name w:val="header"/>
    <w:basedOn w:val="1"/>
    <w:uiPriority w:val="0"/>
    <w:pPr>
      <w:pBdr>
        <w:bottom w:val="single" w:color="auto" w:sz="6" w:space="1"/>
      </w:pBdr>
      <w:tabs>
        <w:tab w:val="center" w:pos="4153"/>
        <w:tab w:val="right" w:pos="8306"/>
      </w:tabs>
      <w:snapToGrid w:val="0"/>
      <w:spacing w:line="240" w:lineRule="auto"/>
      <w:jc w:val="center"/>
    </w:pPr>
    <w:rPr>
      <w:sz w:val="18"/>
      <w:szCs w:val="18"/>
    </w:rPr>
  </w:style>
  <w:style w:type="character" w:styleId="9">
    <w:name w:val="page number"/>
    <w:basedOn w:val="8"/>
    <w:uiPriority w:val="0"/>
  </w:style>
  <w:style w:type="paragraph" w:customStyle="1" w:styleId="11">
    <w:name w:val="List Paragraph1"/>
    <w:basedOn w:val="1"/>
    <w:uiPriority w:val="0"/>
    <w:pPr>
      <w:widowControl/>
      <w:ind w:firstLine="0" w:firstLineChars="0"/>
      <w:contextualSpacing/>
      <w:jc w:val="center"/>
    </w:pPr>
    <w:rPr>
      <w:rFonts w:eastAsia="黑体" w:cs="Times New Roman"/>
      <w:kern w:val="0"/>
      <w:sz w:val="21"/>
      <w:szCs w:val="24"/>
    </w:rPr>
  </w:style>
  <w:style w:type="paragraph" w:customStyle="1" w:styleId="12">
    <w:name w:val="泃河"/>
    <w:basedOn w:val="1"/>
    <w:qFormat/>
    <w:uiPriority w:val="0"/>
    <w:rPr>
      <w:rFonts w:ascii="宋体" w:hAnsi="宋体" w:cs="Times New Roman"/>
      <w:szCs w:val="28"/>
    </w:rPr>
  </w:style>
  <w:style w:type="paragraph" w:customStyle="1" w:styleId="13">
    <w:name w:val="List Paragraph"/>
    <w:basedOn w:val="1"/>
    <w:qFormat/>
    <w:uiPriority w:val="0"/>
    <w:pPr>
      <w:widowControl/>
      <w:spacing w:line="240" w:lineRule="auto"/>
      <w:jc w:val="left"/>
    </w:pPr>
    <w:rPr>
      <w:rFonts w:ascii="宋体" w:hAnsi="宋体" w:cs="宋体"/>
      <w:kern w:val="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header" Target="header1.xml"/><Relationship Id="rId6" Type="http://schemas.openxmlformats.org/officeDocument/2006/relationships/footer" Target="footer4.xml"/><Relationship Id="rId50" Type="http://schemas.openxmlformats.org/officeDocument/2006/relationships/fontTable" Target="fontTable.xml"/><Relationship Id="rId5" Type="http://schemas.openxmlformats.org/officeDocument/2006/relationships/footer" Target="footer3.xml"/><Relationship Id="rId49" Type="http://schemas.openxmlformats.org/officeDocument/2006/relationships/customXml" Target="../customXml/item1.xml"/><Relationship Id="rId48" Type="http://schemas.openxmlformats.org/officeDocument/2006/relationships/image" Target="media/image21.jpeg"/><Relationship Id="rId47" Type="http://schemas.openxmlformats.org/officeDocument/2006/relationships/image" Target="media/image20.jpeg"/><Relationship Id="rId46" Type="http://schemas.openxmlformats.org/officeDocument/2006/relationships/image" Target="media/image19.jpeg"/><Relationship Id="rId45" Type="http://schemas.openxmlformats.org/officeDocument/2006/relationships/image" Target="media/image18.jpeg"/><Relationship Id="rId44" Type="http://schemas.openxmlformats.org/officeDocument/2006/relationships/image" Target="media/image17.jpeg"/><Relationship Id="rId43" Type="http://schemas.openxmlformats.org/officeDocument/2006/relationships/image" Target="media/image16.jpeg"/><Relationship Id="rId42" Type="http://schemas.openxmlformats.org/officeDocument/2006/relationships/image" Target="media/image15.jpeg"/><Relationship Id="rId41" Type="http://schemas.openxmlformats.org/officeDocument/2006/relationships/image" Target="media/image14.jpeg"/><Relationship Id="rId40" Type="http://schemas.openxmlformats.org/officeDocument/2006/relationships/image" Target="media/image13.jpeg"/><Relationship Id="rId4" Type="http://schemas.openxmlformats.org/officeDocument/2006/relationships/footer" Target="footer2.xml"/><Relationship Id="rId39" Type="http://schemas.openxmlformats.org/officeDocument/2006/relationships/image" Target="media/image12.jpeg"/><Relationship Id="rId38" Type="http://schemas.openxmlformats.org/officeDocument/2006/relationships/image" Target="media/image11.jpeg"/><Relationship Id="rId37" Type="http://schemas.openxmlformats.org/officeDocument/2006/relationships/image" Target="media/image10.jpeg"/><Relationship Id="rId36" Type="http://schemas.openxmlformats.org/officeDocument/2006/relationships/image" Target="media/image9.jpeg"/><Relationship Id="rId35" Type="http://schemas.openxmlformats.org/officeDocument/2006/relationships/image" Target="media/image8.emf"/><Relationship Id="rId34" Type="http://schemas.openxmlformats.org/officeDocument/2006/relationships/image" Target="media/image7.emf"/><Relationship Id="rId33" Type="http://schemas.openxmlformats.org/officeDocument/2006/relationships/image" Target="media/image6.emf"/><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er" Target="footer1.xml"/><Relationship Id="rId29" Type="http://schemas.openxmlformats.org/officeDocument/2006/relationships/image" Target="media/image2.png"/><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20.xml"/><Relationship Id="rId25" Type="http://schemas.openxmlformats.org/officeDocument/2006/relationships/header" Target="header4.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header" Target="header3.xml"/><Relationship Id="rId15" Type="http://schemas.openxmlformats.org/officeDocument/2006/relationships/header" Target="header2.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Lenovo</cp:lastModifiedBy>
  <dcterms:modified xsi:type="dcterms:W3CDTF">2019-12-17T02:53:04Z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